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4B" w:rsidRDefault="00A72E4B"/>
    <w:p w:rsidR="009A6C38" w:rsidRPr="00E41F36" w:rsidRDefault="009A6C38" w:rsidP="009A6C38">
      <w:pPr>
        <w:pStyle w:val="GvdeMetni"/>
        <w:spacing w:after="160" w:line="360" w:lineRule="auto"/>
        <w:ind w:firstLine="709"/>
        <w:jc w:val="center"/>
        <w:rPr>
          <w:rFonts w:ascii="Times New Roman" w:hAnsi="Times New Roman"/>
          <w:b/>
          <w:sz w:val="28"/>
          <w:szCs w:val="24"/>
          <w:lang w:val="az-Latn-AZ"/>
        </w:rPr>
      </w:pPr>
      <w:r w:rsidRPr="00631151">
        <w:rPr>
          <w:rFonts w:ascii="Times New Roman" w:hAnsi="Times New Roman"/>
          <w:b/>
          <w:sz w:val="28"/>
          <w:szCs w:val="24"/>
          <w:lang w:val="tr-TR"/>
        </w:rPr>
        <w:t>АКТИВЫ ИСЛАМСКИХ БАНКОВ И ТЕНДЕНЦИИ ИХ РАЗВИТИЯ</w:t>
      </w:r>
    </w:p>
    <w:p w:rsidR="009A6C38" w:rsidRPr="00631151" w:rsidRDefault="009A6C38" w:rsidP="009A6C38">
      <w:pPr>
        <w:spacing w:after="0"/>
        <w:jc w:val="right"/>
        <w:rPr>
          <w:rFonts w:eastAsia="Calibri" w:cs="Times New Roman"/>
          <w:b/>
          <w:bCs/>
          <w:szCs w:val="24"/>
          <w:bdr w:val="none" w:sz="0" w:space="0" w:color="auto" w:frame="1"/>
          <w:lang w:val="kk-KZ" w:eastAsia="tr-TR"/>
        </w:rPr>
      </w:pPr>
      <w:bookmarkStart w:id="0" w:name="_GoBack"/>
      <w:r w:rsidRPr="00631151">
        <w:rPr>
          <w:rFonts w:eastAsia="Calibri" w:cs="Times New Roman"/>
          <w:b/>
          <w:bCs/>
          <w:szCs w:val="24"/>
          <w:bdr w:val="none" w:sz="0" w:space="0" w:color="auto" w:frame="1"/>
          <w:lang w:eastAsia="tr-TR"/>
        </w:rPr>
        <w:t>Ниязбекова</w:t>
      </w:r>
      <w:bookmarkEnd w:id="0"/>
      <w:r w:rsidRPr="00631151">
        <w:rPr>
          <w:rFonts w:eastAsia="Calibri" w:cs="Times New Roman"/>
          <w:b/>
          <w:bCs/>
          <w:szCs w:val="24"/>
          <w:bdr w:val="none" w:sz="0" w:space="0" w:color="auto" w:frame="1"/>
          <w:lang w:eastAsia="tr-TR"/>
        </w:rPr>
        <w:t xml:space="preserve"> Ш</w:t>
      </w:r>
      <w:r w:rsidRPr="00631151">
        <w:rPr>
          <w:rFonts w:eastAsia="Calibri" w:cs="Times New Roman"/>
          <w:b/>
          <w:bCs/>
          <w:szCs w:val="24"/>
          <w:bdr w:val="none" w:sz="0" w:space="0" w:color="auto" w:frame="1"/>
          <w:lang w:val="kk-KZ" w:eastAsia="tr-TR"/>
        </w:rPr>
        <w:t>.</w:t>
      </w:r>
      <w:r w:rsidRPr="00631151">
        <w:rPr>
          <w:rFonts w:eastAsia="Calibri" w:cs="Times New Roman"/>
          <w:b/>
          <w:bCs/>
          <w:szCs w:val="24"/>
          <w:bdr w:val="none" w:sz="0" w:space="0" w:color="auto" w:frame="1"/>
          <w:lang w:eastAsia="tr-TR"/>
        </w:rPr>
        <w:t>У</w:t>
      </w:r>
      <w:r w:rsidRPr="00631151">
        <w:rPr>
          <w:rFonts w:eastAsia="Calibri" w:cs="Times New Roman"/>
          <w:bCs/>
          <w:szCs w:val="24"/>
          <w:bdr w:val="none" w:sz="0" w:space="0" w:color="auto" w:frame="1"/>
          <w:vertAlign w:val="superscript"/>
          <w:lang w:eastAsia="tr-TR"/>
        </w:rPr>
        <w:footnoteReference w:id="1"/>
      </w:r>
    </w:p>
    <w:p w:rsidR="009A6C38" w:rsidRPr="00631151" w:rsidRDefault="009A6C38" w:rsidP="009A6C38">
      <w:pPr>
        <w:spacing w:after="0"/>
        <w:jc w:val="right"/>
        <w:rPr>
          <w:rFonts w:eastAsia="Calibri" w:cs="Times New Roman"/>
          <w:b/>
          <w:bCs/>
          <w:szCs w:val="24"/>
          <w:bdr w:val="none" w:sz="0" w:space="0" w:color="auto" w:frame="1"/>
          <w:lang w:val="kk-KZ" w:eastAsia="tr-TR"/>
        </w:rPr>
      </w:pPr>
      <w:r w:rsidRPr="00631151">
        <w:rPr>
          <w:rFonts w:eastAsia="Calibri" w:cs="Times New Roman"/>
          <w:b/>
          <w:bCs/>
          <w:szCs w:val="24"/>
          <w:bdr w:val="none" w:sz="0" w:space="0" w:color="auto" w:frame="1"/>
          <w:lang w:val="kk-KZ" w:eastAsia="tr-TR"/>
        </w:rPr>
        <w:t>Курманкулова Р.Ж.</w:t>
      </w:r>
      <w:r w:rsidRPr="00631151">
        <w:rPr>
          <w:rFonts w:eastAsia="Calibri" w:cs="Times New Roman"/>
          <w:b/>
          <w:bCs/>
          <w:szCs w:val="24"/>
          <w:bdr w:val="none" w:sz="0" w:space="0" w:color="auto" w:frame="1"/>
          <w:vertAlign w:val="superscript"/>
          <w:lang w:val="kk-KZ" w:eastAsia="tr-TR"/>
        </w:rPr>
        <w:t>2</w:t>
      </w:r>
    </w:p>
    <w:p w:rsidR="009A6C38" w:rsidRPr="00631151" w:rsidRDefault="009A6C38" w:rsidP="009A6C38">
      <w:pPr>
        <w:spacing w:after="0"/>
        <w:jc w:val="right"/>
        <w:rPr>
          <w:rFonts w:eastAsia="Times New Roman" w:cs="Times New Roman"/>
          <w:b/>
          <w:szCs w:val="24"/>
          <w:vertAlign w:val="superscript"/>
          <w:lang w:val="kk-KZ" w:eastAsia="tr-TR"/>
        </w:rPr>
      </w:pPr>
      <w:r w:rsidRPr="00631151">
        <w:rPr>
          <w:rFonts w:eastAsia="Calibri" w:cs="Times New Roman"/>
          <w:b/>
          <w:bCs/>
          <w:szCs w:val="24"/>
          <w:bdr w:val="none" w:sz="0" w:space="0" w:color="auto" w:frame="1"/>
          <w:lang w:val="kk-KZ" w:eastAsia="tr-TR"/>
        </w:rPr>
        <w:t>Мусиров Г.</w:t>
      </w:r>
      <w:r w:rsidRPr="00631151">
        <w:rPr>
          <w:rFonts w:eastAsia="Calibri" w:cs="Times New Roman"/>
          <w:b/>
          <w:bCs/>
          <w:szCs w:val="24"/>
          <w:bdr w:val="none" w:sz="0" w:space="0" w:color="auto" w:frame="1"/>
          <w:vertAlign w:val="superscript"/>
          <w:lang w:val="kk-KZ" w:eastAsia="tr-TR"/>
        </w:rPr>
        <w:t>3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center"/>
        <w:rPr>
          <w:rFonts w:eastAsia="Calibri" w:cs="Times New Roman"/>
          <w:b/>
          <w:color w:val="000000"/>
          <w:szCs w:val="24"/>
          <w:lang w:val="kk-KZ"/>
        </w:rPr>
      </w:pPr>
    </w:p>
    <w:p w:rsidR="009A6C38" w:rsidRPr="00631151" w:rsidRDefault="009A6C38" w:rsidP="009A6C38">
      <w:pPr>
        <w:tabs>
          <w:tab w:val="left" w:pos="0"/>
        </w:tabs>
        <w:spacing w:after="0"/>
        <w:rPr>
          <w:rFonts w:eastAsia="Times New Roman" w:cs="Times New Roman"/>
          <w:b/>
          <w:color w:val="000000"/>
          <w:szCs w:val="24"/>
          <w:lang w:val="kk-KZ" w:eastAsia="tr-TR"/>
        </w:rPr>
      </w:pPr>
    </w:p>
    <w:p w:rsidR="009A6C38" w:rsidRPr="00631151" w:rsidRDefault="009A6C38" w:rsidP="009A6C38">
      <w:pPr>
        <w:tabs>
          <w:tab w:val="left" w:pos="0"/>
        </w:tabs>
        <w:spacing w:after="0"/>
        <w:rPr>
          <w:rFonts w:eastAsia="Times New Roman" w:cs="Times New Roman"/>
          <w:b/>
          <w:color w:val="000000"/>
          <w:szCs w:val="24"/>
          <w:lang w:val="kk-KZ" w:eastAsia="tr-TR"/>
        </w:rPr>
      </w:pPr>
      <w:r w:rsidRPr="00631151">
        <w:rPr>
          <w:rFonts w:eastAsia="Times New Roman" w:cs="Times New Roman"/>
          <w:b/>
          <w:color w:val="000000"/>
          <w:szCs w:val="24"/>
          <w:lang w:val="kk-KZ" w:eastAsia="tr-TR"/>
        </w:rPr>
        <w:t>Аннотация</w:t>
      </w:r>
    </w:p>
    <w:p w:rsidR="009A6C38" w:rsidRPr="00631151" w:rsidRDefault="009A6C38" w:rsidP="009A6C38">
      <w:pPr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9A6C38" w:rsidRPr="00631151" w:rsidRDefault="009A6C38" w:rsidP="009A6C38">
      <w:pPr>
        <w:spacing w:after="120"/>
        <w:jc w:val="both"/>
        <w:rPr>
          <w:rFonts w:eastAsia="Times New Roman" w:cs="Times New Roman"/>
          <w:color w:val="000000"/>
          <w:szCs w:val="24"/>
          <w:lang w:val="kk-KZ" w:eastAsia="tr-TR"/>
        </w:rPr>
      </w:pPr>
      <w:r w:rsidRPr="00631151">
        <w:rPr>
          <w:rFonts w:eastAsia="Times New Roman" w:cs="Times New Roman"/>
          <w:szCs w:val="24"/>
          <w:lang w:eastAsia="ru-RU"/>
        </w:rPr>
        <w:t>В настоящее время в мире исламская финансовая индустрия обладает всеми шансами на продолжительную положительную динамику.</w:t>
      </w:r>
      <w:r w:rsidRPr="00631151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В данной статье </w:t>
      </w:r>
      <w:r w:rsidRPr="00631151">
        <w:rPr>
          <w:rFonts w:eastAsia="Times New Roman" w:cs="Times New Roman"/>
          <w:color w:val="000000"/>
          <w:szCs w:val="24"/>
          <w:lang w:eastAsia="tr-TR"/>
        </w:rPr>
        <w:t>изуча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ется </w:t>
      </w:r>
      <w:r w:rsidRPr="00631151">
        <w:rPr>
          <w:rFonts w:eastAsia="Times New Roman" w:cs="Times New Roman"/>
          <w:color w:val="000000"/>
          <w:szCs w:val="24"/>
          <w:lang w:eastAsia="tr-TR"/>
        </w:rPr>
        <w:t>активы исламских банков и процесс, отражающий специфику развития исламских активов и финансов в экономике стран.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 </w:t>
      </w:r>
      <w:r w:rsidRPr="00631151">
        <w:rPr>
          <w:rFonts w:eastAsia="Times New Roman" w:cs="Times New Roman"/>
          <w:szCs w:val="24"/>
          <w:lang w:val="kk-KZ" w:eastAsia="tr-TR"/>
        </w:rPr>
        <w:t xml:space="preserve">Так же </w:t>
      </w:r>
      <w:r w:rsidRPr="00631151">
        <w:rPr>
          <w:rFonts w:eastAsia="Times New Roman" w:cs="Times New Roman"/>
          <w:szCs w:val="24"/>
          <w:lang w:eastAsia="tr-TR"/>
        </w:rPr>
        <w:t xml:space="preserve">сделан </w:t>
      </w:r>
      <w:r w:rsidRPr="00631151">
        <w:rPr>
          <w:rFonts w:eastAsia="Times New Roman" w:cs="Times New Roman"/>
          <w:szCs w:val="24"/>
          <w:lang w:val="kk-KZ" w:eastAsia="tr-TR"/>
        </w:rPr>
        <w:t xml:space="preserve">сравнительно </w:t>
      </w:r>
      <w:r w:rsidRPr="00631151">
        <w:rPr>
          <w:rFonts w:eastAsia="Times New Roman" w:cs="Times New Roman"/>
          <w:szCs w:val="24"/>
          <w:lang w:eastAsia="tr-TR"/>
        </w:rPr>
        <w:t>широкий анализ динамики роста</w:t>
      </w:r>
      <w:r w:rsidRPr="00631151">
        <w:rPr>
          <w:rFonts w:eastAsia="Times New Roman" w:cs="Times New Roman"/>
          <w:color w:val="000000"/>
          <w:szCs w:val="24"/>
          <w:lang w:eastAsia="tr-TR"/>
        </w:rPr>
        <w:t xml:space="preserve"> исламских активов  в современной экономике. Для достижения поставленной цели решены следующие задачи: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 </w:t>
      </w:r>
      <w:r w:rsidRPr="00631151">
        <w:rPr>
          <w:rFonts w:eastAsia="Times New Roman" w:cs="Times New Roman"/>
          <w:color w:val="000000"/>
          <w:szCs w:val="24"/>
          <w:lang w:eastAsia="tr-TR"/>
        </w:rPr>
        <w:t>изучено развитие активов исламских банков;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 </w:t>
      </w:r>
      <w:r w:rsidRPr="00631151">
        <w:rPr>
          <w:rFonts w:eastAsia="Times New Roman" w:cs="Times New Roman"/>
          <w:color w:val="000000"/>
          <w:szCs w:val="24"/>
          <w:lang w:eastAsia="tr-TR"/>
        </w:rPr>
        <w:t>охарактеризованы особенности исламских активов;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 </w:t>
      </w:r>
      <w:r w:rsidRPr="00631151">
        <w:rPr>
          <w:rFonts w:eastAsia="Times New Roman" w:cs="Times New Roman"/>
          <w:color w:val="000000"/>
          <w:szCs w:val="24"/>
          <w:lang w:eastAsia="tr-TR"/>
        </w:rPr>
        <w:t>оценены возможности использования опыта развития отрасли исламских финансов.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 При этом</w:t>
      </w:r>
      <w:r w:rsidRPr="00631151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авторами </w:t>
      </w:r>
      <w:r w:rsidRPr="00631151">
        <w:rPr>
          <w:rFonts w:eastAsia="Times New Roman" w:cs="Times New Roman"/>
          <w:color w:val="000000"/>
          <w:szCs w:val="24"/>
          <w:lang w:eastAsia="tr-TR"/>
        </w:rPr>
        <w:t>предложены меры для внедрения существующего механизма в современную российскую экономику и экономику Казахстана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>.</w:t>
      </w:r>
    </w:p>
    <w:p w:rsidR="009A6C38" w:rsidRPr="00631151" w:rsidRDefault="009A6C38" w:rsidP="009A6C38">
      <w:pPr>
        <w:spacing w:after="120"/>
        <w:jc w:val="both"/>
        <w:rPr>
          <w:rFonts w:eastAsia="Times New Roman" w:cs="Times New Roman"/>
          <w:color w:val="000000"/>
          <w:szCs w:val="24"/>
          <w:lang w:val="kk-KZ" w:eastAsia="tr-TR"/>
        </w:rPr>
      </w:pPr>
      <w:r w:rsidRPr="00631151">
        <w:rPr>
          <w:rFonts w:eastAsia="Times New Roman" w:cs="Times New Roman"/>
          <w:b/>
          <w:color w:val="000000"/>
          <w:szCs w:val="24"/>
          <w:lang w:val="kk-KZ" w:eastAsia="tr-TR"/>
        </w:rPr>
        <w:t xml:space="preserve">Ключевые слова: </w:t>
      </w:r>
      <w:r w:rsidRPr="00631151">
        <w:rPr>
          <w:rFonts w:eastAsia="Times New Roman" w:cs="Times New Roman"/>
          <w:color w:val="000000"/>
          <w:szCs w:val="24"/>
          <w:lang w:val="kk-KZ" w:eastAsia="tr-TR"/>
        </w:rPr>
        <w:t xml:space="preserve">исламские финансы, исламские банки, активы исламских банков, мусульманское право (шариат), социальная ответственность, сукук, традиционные банки,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lastRenderedPageBreak/>
        <w:t>Отрасль исламских финансов – одна из самых быстрорастущих отраслей в мире: за последние десять лет с годовым темпом роста активов 15-20 %.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Несмотря на глобальное замедление, наблюдаемое в исламском банковском деле, активы между 2015 г. и 2016 г. (в USD), доля внутреннего рынка относительно увеличилась, полный банковский сектор увеличился в   разных  странах. Обзор активов исламских банков по странам представлен в рисунке 1.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w:drawing>
          <wp:inline distT="0" distB="0" distL="0" distR="0" wp14:anchorId="23C6359A" wp14:editId="06032AE4">
            <wp:extent cx="4826442" cy="3760967"/>
            <wp:effectExtent l="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8249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szCs w:val="24"/>
        </w:rPr>
        <w:t>Рисунок 1.  Активы исламских банков по 35-ти странам [8]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Примечание: разработано авторами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Исламские банки увеличили внутренний рынок акций в 18 странах, исключение: Иран и Судан, которые занимают 100 % долю рынка.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Только пять стран испытали очень крайние снижения, среди них, две юрисдикции, которые являются лицами, не являющимися членом какой-либо организации. В OIC последние 7 – 10 лет добавились такие страны, их доля на рынке исламского банковского дела составила следующим образом (рисунок 2).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12D6B" wp14:editId="56882B60">
                <wp:simplePos x="0" y="0"/>
                <wp:positionH relativeFrom="column">
                  <wp:posOffset>162069</wp:posOffset>
                </wp:positionH>
                <wp:positionV relativeFrom="paragraph">
                  <wp:posOffset>119584</wp:posOffset>
                </wp:positionV>
                <wp:extent cx="5615797" cy="1034580"/>
                <wp:effectExtent l="0" t="0" r="23495" b="13335"/>
                <wp:wrapNone/>
                <wp:docPr id="844" name="Группа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797" cy="1034580"/>
                          <a:chOff x="0" y="0"/>
                          <a:chExt cx="5430753" cy="1034580"/>
                        </a:xfrm>
                      </wpg:grpSpPr>
                      <wps:wsp>
                        <wps:cNvPr id="850" name="Прямоугольник 320"/>
                        <wps:cNvSpPr>
                          <a:spLocks noChangeArrowheads="1"/>
                        </wps:cNvSpPr>
                        <wps:spPr bwMode="auto">
                          <a:xfrm>
                            <a:off x="3971736" y="638073"/>
                            <a:ext cx="1459017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C38" w:rsidRPr="005C6F4D" w:rsidRDefault="009A6C38" w:rsidP="009A6C38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Казахстан 0,1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Прямоугольник 319"/>
                        <wps:cNvSpPr>
                          <a:spLocks noChangeArrowheads="1"/>
                        </wps:cNvSpPr>
                        <wps:spPr bwMode="auto">
                          <a:xfrm>
                            <a:off x="2633124" y="644055"/>
                            <a:ext cx="1103989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C38" w:rsidRPr="00D1509E" w:rsidRDefault="009A6C38" w:rsidP="009A6C3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Ирак 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Прямоугольник 321"/>
                        <wps:cNvSpPr>
                          <a:spLocks noChangeArrowheads="1"/>
                        </wps:cNvSpPr>
                        <wps:spPr bwMode="auto">
                          <a:xfrm>
                            <a:off x="1" y="638073"/>
                            <a:ext cx="1226298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C38" w:rsidRPr="00D1509E" w:rsidRDefault="009A6C38" w:rsidP="009A6C3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Афганистан 5.9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Прямоугольник 315"/>
                        <wps:cNvSpPr>
                          <a:spLocks noChangeArrowheads="1"/>
                        </wps:cNvSpPr>
                        <wps:spPr bwMode="auto">
                          <a:xfrm>
                            <a:off x="523875" y="0"/>
                            <a:ext cx="4393565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6C38" w:rsidRPr="00D1509E" w:rsidRDefault="009A6C38" w:rsidP="009A6C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1509E">
                                <w:rPr>
                                  <w:b/>
                                </w:rPr>
                                <w:t xml:space="preserve">Доля стран </w:t>
                              </w:r>
                              <w:r w:rsidRPr="00D1509E">
                                <w:rPr>
                                  <w:b/>
                                  <w:color w:val="000000"/>
                                </w:rPr>
                                <w:t>на рынке исламского банковского дела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Стрелка вниз 318"/>
                        <wps:cNvSpPr>
                          <a:spLocks noChangeArrowheads="1"/>
                        </wps:cNvSpPr>
                        <wps:spPr bwMode="auto">
                          <a:xfrm>
                            <a:off x="432435" y="410210"/>
                            <a:ext cx="367665" cy="22796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Стрелка вниз 316"/>
                        <wps:cNvSpPr>
                          <a:spLocks noChangeArrowheads="1"/>
                        </wps:cNvSpPr>
                        <wps:spPr bwMode="auto">
                          <a:xfrm>
                            <a:off x="3074338" y="397565"/>
                            <a:ext cx="367665" cy="22796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Стрелка вниз 317"/>
                        <wps:cNvSpPr>
                          <a:spLocks noChangeArrowheads="1"/>
                        </wps:cNvSpPr>
                        <wps:spPr bwMode="auto">
                          <a:xfrm>
                            <a:off x="4333875" y="409575"/>
                            <a:ext cx="367665" cy="22796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Прямая со стрелкой 324"/>
                        <wps:cNvCnPr>
                          <a:cxnSpLocks noChangeShapeType="1"/>
                        </wps:cNvCnPr>
                        <wps:spPr bwMode="auto">
                          <a:xfrm>
                            <a:off x="0" y="102870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Прямая со стрелкой 323"/>
                        <wps:cNvCnPr>
                          <a:cxnSpLocks noChangeShapeType="1"/>
                        </wps:cNvCnPr>
                        <wps:spPr bwMode="auto">
                          <a:xfrm>
                            <a:off x="3781425" y="102870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Прямая со стрелкой 322"/>
                        <wps:cNvCnPr>
                          <a:cxnSpLocks noChangeShapeType="1"/>
                        </wps:cNvCnPr>
                        <wps:spPr bwMode="auto">
                          <a:xfrm>
                            <a:off x="3971925" y="102870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12D6B" id="Группа 844" o:spid="_x0000_s1026" style="position:absolute;left:0;text-align:left;margin-left:12.75pt;margin-top:9.4pt;width:442.2pt;height:81.45pt;z-index:251659264" coordsize="54307,1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">
                <v:rect id="Прямоугольник 320" o:spid="_x0000_s1027" style="position:absolute;left:39717;top:6380;width:1459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Yh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">
                  <v:textbox>
                    <w:txbxContent>
                      <w:p w:rsidR="009A6C38" w:rsidRPr="005C6F4D" w:rsidRDefault="009A6C38" w:rsidP="009A6C38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 xml:space="preserve">Казахстан 0,1 </w:t>
                        </w:r>
                      </w:p>
                    </w:txbxContent>
                  </v:textbox>
                </v:rect>
                <v:rect id="_x0000_s1028" style="position:absolute;left:26331;top:6440;width:1104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6O6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">
                  <v:textbox>
                    <w:txbxContent>
                      <w:p w:rsidR="009A6C38" w:rsidRPr="00D1509E" w:rsidRDefault="009A6C38" w:rsidP="009A6C3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Ирак 1,5</w:t>
                        </w:r>
                      </w:p>
                    </w:txbxContent>
                  </v:textbox>
                </v:rect>
                <v:rect id="Прямоугольник 321" o:spid="_x0000_s1029" style="position:absolute;top:6380;width:12262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3N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">
                  <v:textbox>
                    <w:txbxContent>
                      <w:p w:rsidR="009A6C38" w:rsidRPr="00D1509E" w:rsidRDefault="009A6C38" w:rsidP="009A6C3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Афганистан 5.9</w:t>
                        </w:r>
                      </w:p>
                    </w:txbxContent>
                  </v:textbox>
                </v:rect>
                <v:rect id="Прямоугольник 315" o:spid="_x0000_s1030" style="position:absolute;left:5238;width:4393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hW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rGwwG8zoQjIOdPAAAA//8DAFBLAQItABQABgAIAAAAIQDb4fbL7gAAAIUBAAATAAAAAAAAAAAA&#10;AAAAAAAAAABbQ29udGVudF9UeXBlc10ueG1sUEsBAi0AFAAGAAgAAAAhAFr0LFu/AAAAFQEAAAsA&#10;AAAAAAAAAAAAAAAAHwEAAF9yZWxzLy5yZWxzUEsBAi0AFAAGAAgAAAAhAOUxmFbEAAAA3AAAAA8A&#10;AAAAAAAAAAAAAAAABwIAAGRycy9kb3ducmV2LnhtbFBLBQYAAAAAAwADALcAAAD4AgAAAAA=&#10;">
                  <v:textbox>
                    <w:txbxContent>
                      <w:p w:rsidR="009A6C38" w:rsidRPr="00D1509E" w:rsidRDefault="009A6C38" w:rsidP="009A6C38">
                        <w:pPr>
                          <w:jc w:val="center"/>
                          <w:rPr>
                            <w:b/>
                          </w:rPr>
                        </w:pPr>
                        <w:r w:rsidRPr="00D1509E">
                          <w:rPr>
                            <w:b/>
                          </w:rPr>
                          <w:t xml:space="preserve">Доля стран </w:t>
                        </w:r>
                        <w:r w:rsidRPr="00D1509E">
                          <w:rPr>
                            <w:b/>
                            <w:color w:val="000000"/>
                          </w:rPr>
                          <w:t>на рынке исламского банковского дела</w:t>
                        </w: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18" o:spid="_x0000_s1031" type="#_x0000_t67" style="position:absolute;left:4324;top:4102;width:367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" fillcolor="#d8d8d8">
                  <v:textbox style="layout-flow:vertical-ideographic"/>
                </v:shape>
                <v:shape id="Стрелка вниз 316" o:spid="_x0000_s1032" type="#_x0000_t67" style="position:absolute;left:30743;top:3975;width:367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" fillcolor="#d8d8d8">
                  <v:textbox style="layout-flow:vertical-ideographic"/>
                </v:shape>
                <v:shape id="Стрелка вниз 317" o:spid="_x0000_s1033" type="#_x0000_t67" style="position:absolute;left:43338;top:4095;width:367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" fillcolor="#d8d8d8">
                  <v:textbox style="layout-flow:vertical-ideographic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24" o:spid="_x0000_s1034" type="#_x0000_t32" style="position:absolute;top:10287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"/>
                <v:shape id="Прямая со стрелкой 323" o:spid="_x0000_s1035" type="#_x0000_t32" style="position:absolute;left:37814;top:10287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"/>
                <v:shape id="Прямая со стрелкой 322" o:spid="_x0000_s1036" type="#_x0000_t32" style="position:absolute;left:39719;top:10287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"/>
              </v:group>
            </w:pict>
          </mc:Fallback>
        </mc:AlternateConten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E2FB" wp14:editId="0DB4A09C">
                <wp:simplePos x="0" y="0"/>
                <wp:positionH relativeFrom="column">
                  <wp:posOffset>1910715</wp:posOffset>
                </wp:positionH>
                <wp:positionV relativeFrom="paragraph">
                  <wp:posOffset>249547</wp:posOffset>
                </wp:positionV>
                <wp:extent cx="367665" cy="240038"/>
                <wp:effectExtent l="38100" t="0" r="0" b="45720"/>
                <wp:wrapNone/>
                <wp:docPr id="300" name="Стрелка вниз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240038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64F0" id="Стрелка вниз 316" o:spid="_x0000_s1026" type="#_x0000_t67" style="position:absolute;margin-left:150.45pt;margin-top:19.65pt;width:28.95pt;height:18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" fillcolor="#d8d8d8">
                <v:textbox style="layout-flow:vertical-ideographic"/>
              </v:shape>
            </w:pict>
          </mc:Fallback>
        </mc:AlternateConten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249F3" wp14:editId="525BE1D8">
                <wp:simplePos x="0" y="0"/>
                <wp:positionH relativeFrom="column">
                  <wp:posOffset>1605915</wp:posOffset>
                </wp:positionH>
                <wp:positionV relativeFrom="paragraph">
                  <wp:posOffset>246379</wp:posOffset>
                </wp:positionV>
                <wp:extent cx="1103989" cy="390525"/>
                <wp:effectExtent l="0" t="0" r="20320" b="28575"/>
                <wp:wrapNone/>
                <wp:docPr id="301" name="Прямоугольник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989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C38" w:rsidRPr="00D1509E" w:rsidRDefault="009A6C38" w:rsidP="009A6C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Мальдивы 4.3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249F3" id="Прямоугольник 319" o:spid="_x0000_s1037" style="position:absolute;left:0;text-align:left;margin-left:126.45pt;margin-top:19.4pt;width:86.95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">
                <v:textbox>
                  <w:txbxContent>
                    <w:p w:rsidR="009A6C38" w:rsidRPr="00D1509E" w:rsidRDefault="009A6C38" w:rsidP="009A6C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Мальдивы 4.3</w:t>
                      </w:r>
                    </w:p>
                  </w:txbxContent>
                </v:textbox>
              </v:rect>
            </w:pict>
          </mc:Fallback>
        </mc:AlternateConten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szCs w:val="24"/>
        </w:rPr>
        <w:t xml:space="preserve">Рисунок 2. Активы исламских банков по 35-ти странам </w:t>
      </w:r>
      <w:r w:rsidRPr="00631151">
        <w:rPr>
          <w:rFonts w:eastAsia="Calibri" w:cs="Times New Roman"/>
          <w:color w:val="000000"/>
          <w:szCs w:val="24"/>
        </w:rPr>
        <w:t xml:space="preserve">(в %) [8] 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Примечание: разработано авторами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На местах GCC наблюдается устойчивость исламских финансовых активов (рисунок 3).</w:t>
      </w: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w:drawing>
          <wp:inline distT="0" distB="0" distL="0" distR="0" wp14:anchorId="29F3EAE5" wp14:editId="0D871B5A">
            <wp:extent cx="4797631" cy="2683823"/>
            <wp:effectExtent l="0" t="0" r="3175" b="254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7701" cy="269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szCs w:val="24"/>
        </w:rPr>
        <w:t xml:space="preserve">Рисунок 3. Исламские финансовые активы в регионе </w:t>
      </w:r>
      <w:r w:rsidRPr="00631151">
        <w:rPr>
          <w:rFonts w:eastAsia="Calibri" w:cs="Times New Roman"/>
          <w:color w:val="000000"/>
          <w:szCs w:val="24"/>
        </w:rPr>
        <w:t>GCC</w:t>
      </w:r>
      <w:r w:rsidRPr="00631151">
        <w:rPr>
          <w:rFonts w:eastAsia="Calibri" w:cs="Times New Roman"/>
          <w:szCs w:val="24"/>
        </w:rPr>
        <w:t xml:space="preserve"> 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Примечание: разработано авторами [8]</w:t>
      </w: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  <w:highlight w:val="green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  <w:vertAlign w:val="superscript"/>
        </w:rPr>
      </w:pPr>
      <w:r w:rsidRPr="00631151">
        <w:rPr>
          <w:rFonts w:eastAsia="Calibri" w:cs="Times New Roman"/>
          <w:color w:val="000000"/>
          <w:szCs w:val="24"/>
        </w:rPr>
        <w:t xml:space="preserve">Так из рисунка 3 видно, что в 2016 году регион GCC увеличил долю рынка до 42.3 % глобального IFSI. </w:t>
      </w: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Доля Ближнего Востока и Северной Африки (исключение GCC (MENA ex-GCC) сократилась до 29.9 %.</w:t>
      </w: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Исламские финансы проникли в разные регионы, а Африка (экс-Северная Африка), Америка, Австралия и Европа, до сих пор не активизировались в этом направлении.</w:t>
      </w:r>
    </w:p>
    <w:p w:rsidR="009A6C38" w:rsidRPr="00631151" w:rsidRDefault="009A6C38" w:rsidP="009A6C38">
      <w:pPr>
        <w:tabs>
          <w:tab w:val="left" w:pos="0"/>
        </w:tabs>
        <w:spacing w:after="0"/>
        <w:ind w:firstLine="567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spacing w:after="0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w:lastRenderedPageBreak/>
        <w:drawing>
          <wp:inline distT="0" distB="0" distL="0" distR="0" wp14:anchorId="1330FC1A" wp14:editId="594431F5">
            <wp:extent cx="5905500" cy="1971675"/>
            <wp:effectExtent l="0" t="0" r="0" b="9525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667" cy="19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C38" w:rsidRPr="00631151" w:rsidRDefault="009A6C38" w:rsidP="009A6C38">
      <w:pPr>
        <w:spacing w:after="0"/>
        <w:contextualSpacing/>
        <w:jc w:val="center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 xml:space="preserve">Рисунок 4. Тенденция роста мировых исламских банковских активов </w:t>
      </w:r>
    </w:p>
    <w:p w:rsidR="009A6C38" w:rsidRPr="00631151" w:rsidRDefault="009A6C38" w:rsidP="009A6C38">
      <w:pPr>
        <w:spacing w:after="0"/>
        <w:contextualSpacing/>
        <w:jc w:val="center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за 2012 – 2016 гг.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Примечание: разработано авторами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На высокий темп роста индустрии исламских финансов оказывает влияние ряд факторов:</w:t>
      </w:r>
    </w:p>
    <w:p w:rsidR="009A6C38" w:rsidRPr="00631151" w:rsidRDefault="009A6C38" w:rsidP="009A6C38">
      <w:pPr>
        <w:numPr>
          <w:ilvl w:val="0"/>
          <w:numId w:val="1"/>
        </w:numPr>
        <w:spacing w:after="0" w:line="240" w:lineRule="auto"/>
        <w:ind w:left="142" w:firstLine="425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высокий темп роста населения, расширяющих круг лиц, предъявляющих спрос на исламские финансовые продукты;</w:t>
      </w:r>
    </w:p>
    <w:p w:rsidR="009A6C38" w:rsidRPr="00631151" w:rsidRDefault="009A6C38" w:rsidP="009A6C38">
      <w:pPr>
        <w:numPr>
          <w:ilvl w:val="0"/>
          <w:numId w:val="1"/>
        </w:numPr>
        <w:spacing w:after="0" w:line="240" w:lineRule="auto"/>
        <w:ind w:left="142" w:firstLine="425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высокий уровень нормы сбережений в значительном числе исламских экономик;</w:t>
      </w:r>
    </w:p>
    <w:p w:rsidR="009A6C38" w:rsidRPr="00631151" w:rsidRDefault="009A6C38" w:rsidP="009A6C38">
      <w:pPr>
        <w:numPr>
          <w:ilvl w:val="0"/>
          <w:numId w:val="1"/>
        </w:numPr>
        <w:spacing w:after="0" w:line="240" w:lineRule="auto"/>
        <w:ind w:left="142" w:firstLine="425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опережающий рост экономики в исламском мире.</w:t>
      </w:r>
    </w:p>
    <w:p w:rsidR="009A6C38" w:rsidRPr="00631151" w:rsidRDefault="009A6C38" w:rsidP="009A6C38">
      <w:pPr>
        <w:spacing w:after="0"/>
        <w:ind w:firstLine="709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Наглядно рост мировых исламских банковских активов изображен в рисунке 5, средний темп роста равен 17 %.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szCs w:val="24"/>
        </w:rPr>
        <w:t xml:space="preserve">В Иране, Малайзии, Турции исламские финансовые институты активно развиваются, причиной является – преобладающее количество мусульманского населения.  </w:t>
      </w:r>
      <w:r w:rsidRPr="00631151">
        <w:rPr>
          <w:rFonts w:eastAsia="Calibri" w:cs="Times New Roman"/>
          <w:color w:val="000000"/>
          <w:szCs w:val="24"/>
        </w:rPr>
        <w:t xml:space="preserve">Исламский финансовый сектор показал более быстрый рост после мирового кризиса 2008 года по сравнению с традиционными, получил развитие во многих странах за пределами исламского мира. В настоящее время либерализация рынка исламских финансов в различной степени произошла в США, Великобритании, Франции, Германии, Японии, Австрии. </w:t>
      </w:r>
    </w:p>
    <w:p w:rsidR="009A6C38" w:rsidRPr="00631151" w:rsidRDefault="009A6C38" w:rsidP="009A6C38">
      <w:pPr>
        <w:tabs>
          <w:tab w:val="left" w:pos="0"/>
        </w:tabs>
        <w:spacing w:after="0"/>
        <w:ind w:hanging="142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color w:val="000000"/>
          <w:szCs w:val="24"/>
          <w:lang w:eastAsia="tr-TR"/>
        </w:rPr>
        <w:drawing>
          <wp:inline distT="0" distB="0" distL="0" distR="0" wp14:anchorId="283D6CE8" wp14:editId="5787BF25">
            <wp:extent cx="6219825" cy="2343150"/>
            <wp:effectExtent l="0" t="0" r="9525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C38" w:rsidRPr="00631151" w:rsidRDefault="009A6C38" w:rsidP="009A6C38">
      <w:pPr>
        <w:tabs>
          <w:tab w:val="left" w:pos="0"/>
        </w:tabs>
        <w:spacing w:after="0"/>
        <w:ind w:hanging="142"/>
        <w:contextualSpacing/>
        <w:jc w:val="center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lastRenderedPageBreak/>
        <w:t xml:space="preserve">Рисунок 5. Динамика роста исламских банковских активов по странам </w:t>
      </w:r>
    </w:p>
    <w:p w:rsidR="009A6C38" w:rsidRPr="00631151" w:rsidRDefault="009A6C38" w:rsidP="009A6C38">
      <w:pPr>
        <w:tabs>
          <w:tab w:val="left" w:pos="0"/>
        </w:tabs>
        <w:spacing w:after="0"/>
        <w:ind w:hanging="142"/>
        <w:contextualSpacing/>
        <w:jc w:val="center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за 2010-2016 гг.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Примечание: разработано авторами </w:t>
      </w:r>
    </w:p>
    <w:p w:rsidR="009A6C38" w:rsidRPr="00631151" w:rsidRDefault="009A6C38" w:rsidP="009A6C38">
      <w:pPr>
        <w:tabs>
          <w:tab w:val="left" w:pos="0"/>
        </w:tabs>
        <w:spacing w:after="20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20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Отрасль исламских банковских услуг планирует занять ключевые позиции. Исламские банки усилили конкуренцию за клиентов, интересующихся финансовыми инструментами приносящие высокие доходы, на таких крупных рынках, как, например, Саудовская Аравия. За 2010 – 2016 годы исламские банковские активы увеличились, ожидается дальнейшее увеличение в связи с улучшением экономики и рыночной ситуации на основных рынках. </w:t>
      </w:r>
    </w:p>
    <w:p w:rsidR="009A6C38" w:rsidRPr="00631151" w:rsidRDefault="009A6C38" w:rsidP="009A6C38">
      <w:pPr>
        <w:tabs>
          <w:tab w:val="left" w:pos="0"/>
        </w:tabs>
        <w:spacing w:after="20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Около </w:t>
      </w:r>
      <w:r w:rsidRPr="00631151">
        <w:rPr>
          <w:rFonts w:eastAsia="Calibri" w:cs="Times New Roman"/>
          <w:bCs/>
          <w:color w:val="000000"/>
          <w:szCs w:val="24"/>
        </w:rPr>
        <w:t>95 % мировых исламских банковских активов</w:t>
      </w:r>
      <w:r w:rsidRPr="00631151">
        <w:rPr>
          <w:rFonts w:eastAsia="Calibri" w:cs="Times New Roman"/>
          <w:b/>
          <w:bCs/>
          <w:color w:val="000000"/>
          <w:szCs w:val="24"/>
        </w:rPr>
        <w:t xml:space="preserve"> </w:t>
      </w:r>
      <w:r w:rsidRPr="00631151">
        <w:rPr>
          <w:rFonts w:eastAsia="Calibri" w:cs="Times New Roman"/>
          <w:color w:val="000000"/>
          <w:szCs w:val="24"/>
        </w:rPr>
        <w:t xml:space="preserve">на счетах коммерческих банков находятся в девяти странах (рис.6). Основу отрасли исламских банковских услуг составляют Катар, Индонезия, Саудовская Аравия, Малайзия, Объединенные Арабские Эмираты и Турция — их доля в мировых исламских банковских активах 80 %. </w:t>
      </w:r>
    </w:p>
    <w:p w:rsidR="009A6C38" w:rsidRPr="00631151" w:rsidRDefault="009A6C38" w:rsidP="009A6C38">
      <w:pPr>
        <w:tabs>
          <w:tab w:val="left" w:pos="0"/>
        </w:tabs>
        <w:spacing w:after="0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noProof/>
          <w:color w:val="000000"/>
          <w:szCs w:val="24"/>
          <w:lang w:eastAsia="tr-TR"/>
        </w:rPr>
        <w:drawing>
          <wp:inline distT="0" distB="0" distL="0" distR="0" wp14:anchorId="0DBCD77F" wp14:editId="20A3C994">
            <wp:extent cx="6110605" cy="2476500"/>
            <wp:effectExtent l="0" t="0" r="4445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46" cy="248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C38" w:rsidRPr="00631151" w:rsidRDefault="009A6C38" w:rsidP="009A6C38">
      <w:pPr>
        <w:tabs>
          <w:tab w:val="left" w:pos="0"/>
        </w:tabs>
        <w:spacing w:after="0"/>
        <w:contextualSpacing/>
        <w:jc w:val="center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Рисунок 6. Доля исламских банковских услуг в странах мира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   Примечание: разработано авторами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Знаковым примером развития исламской финансовой системы служит Великобритания, которая является одним из главных исламских финансовых центров среди стран Запада. В настоящее время в Великобритании действует более 20 банков (к сведению: 6 – полноценные исламские банки с объемом исламских активов 19 млрд USD, а на Лондонской фондовой бирже проведено 50 размещений исламских инвестиционных ценных бумаг на общую сумму 35 млрд USD.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lastRenderedPageBreak/>
        <w:t xml:space="preserve">Также стоит отметить, что правительства Республики Казахстан и Кыргызской Республики адаптировали законодательства под требования исламских финансов.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В Российской Федерации исламское финансирование налицо слабо развито.</w:t>
      </w:r>
    </w:p>
    <w:p w:rsidR="009A6C38" w:rsidRPr="00631151" w:rsidRDefault="009A6C38" w:rsidP="009A6C38">
      <w:pPr>
        <w:tabs>
          <w:tab w:val="left" w:pos="0"/>
        </w:tabs>
        <w:spacing w:after="0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ab/>
        <w:t xml:space="preserve">Стоит отметить, что Татарстан не так богат природными ресурсами, как другие развиты российские регионы. В этом смысле идея исламского капитала наряду с активным технологическим развитием носит вполне прагматичный и оправданный характер.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Однако регулирование и развитие отрасли исламских финансов в других регионах России тоже очень важно. На данный факт оказывает влияние ряд причин.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Во-первых, в настоящее время доля мусульманского населения в стране растет, и важно сейчас учесть тот факт, что данная часть населения отказывается от традиционных финансовых услуг из-за своих религиозных принципов, что создает необходимость создания альтернативных финансовых услуг, чтобы снизить отток капитала с российских рынков.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>Во-вторых, развитие исламских финансов может быть новым источником развития экономики России как в общем, так как многочисленное мусульманское население способно обеспечить необходимый спрос для развития отдельных отраслей.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В-третьих, создание условий для функционирования бизнеса в соответствии с религиозными принципами потенциальных инвесторов привлечет иностранные инвестиции из стран Ближнего Востока и других мусульманских стран на российские рынки, что послужит способом улучшения существующей экономической ситуации. </w:t>
      </w:r>
    </w:p>
    <w:p w:rsidR="009A6C38" w:rsidRPr="00631151" w:rsidRDefault="009A6C38" w:rsidP="009A6C38">
      <w:pPr>
        <w:tabs>
          <w:tab w:val="left" w:pos="0"/>
        </w:tabs>
        <w:spacing w:after="0"/>
        <w:contextualSpacing/>
        <w:jc w:val="both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ab/>
        <w:t>Российское законодательство не адаптировано к вхождению на рынок исламских банковских структур. Многие сторонники расширения присутствия исламских финансовых институтов на рынке продвигают идею создания углубленной и самостоятельной законодательной базы. То есть речь идет об исламизации правовой сферы, о создании параллельно существующему законодательного сектора, а это противоречит Конституции России и светскому характеру государства.</w:t>
      </w:r>
    </w:p>
    <w:p w:rsidR="009A6C38" w:rsidRDefault="009A6C38" w:rsidP="009A6C38">
      <w:pPr>
        <w:tabs>
          <w:tab w:val="left" w:pos="0"/>
        </w:tabs>
        <w:spacing w:after="0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color w:val="000000"/>
          <w:szCs w:val="24"/>
        </w:rPr>
        <w:tab/>
      </w:r>
      <w:r w:rsidRPr="00631151">
        <w:rPr>
          <w:rFonts w:eastAsia="Calibri" w:cs="Times New Roman"/>
          <w:szCs w:val="24"/>
        </w:rPr>
        <w:t>Примечательно, что несмотря на быстрый рост активов исламских банков, удельный вес в большинстве исламских стран все же относительно невелик. Так, например, их доля по отношению к активам традиционных банков в разных странах показала следующие данные (рисунок 7).</w:t>
      </w:r>
    </w:p>
    <w:p w:rsidR="009A6C38" w:rsidRDefault="009A6C38" w:rsidP="009A6C38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9A6C38" w:rsidRPr="00631151" w:rsidRDefault="009A6C38" w:rsidP="009A6C38">
      <w:pPr>
        <w:tabs>
          <w:tab w:val="left" w:pos="0"/>
        </w:tabs>
        <w:spacing w:after="0"/>
        <w:contextualSpacing/>
        <w:jc w:val="both"/>
        <w:rPr>
          <w:rFonts w:eastAsia="Calibri" w:cs="Times New Roman"/>
          <w:szCs w:val="24"/>
        </w:rPr>
      </w:pPr>
    </w:p>
    <w:p w:rsidR="009A6C38" w:rsidRPr="00631151" w:rsidRDefault="009A6C38" w:rsidP="009A6C38">
      <w:pPr>
        <w:widowControl w:val="0"/>
        <w:shd w:val="clear" w:color="auto" w:fill="FFFFFF"/>
        <w:spacing w:after="0"/>
        <w:jc w:val="both"/>
        <w:rPr>
          <w:rFonts w:eastAsia="Times New Roman" w:cs="Times New Roman"/>
          <w:szCs w:val="24"/>
          <w:lang w:val="ru-RU" w:eastAsia="ru-RU" w:bidi="ru-RU"/>
        </w:rPr>
      </w:pPr>
      <w:r w:rsidRPr="00631151">
        <w:rPr>
          <w:rFonts w:eastAsia="Times New Roman" w:cs="Times New Roman"/>
          <w:noProof/>
          <w:szCs w:val="24"/>
          <w:lang w:eastAsia="tr-TR"/>
        </w:rPr>
        <w:drawing>
          <wp:inline distT="0" distB="0" distL="0" distR="0" wp14:anchorId="4678ED36" wp14:editId="2830FE2B">
            <wp:extent cx="5943600" cy="2438400"/>
            <wp:effectExtent l="0" t="0" r="19050" b="0"/>
            <wp:docPr id="1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A6C38" w:rsidRPr="00631151" w:rsidRDefault="009A6C38" w:rsidP="009A6C38">
      <w:pPr>
        <w:tabs>
          <w:tab w:val="left" w:pos="0"/>
        </w:tabs>
        <w:spacing w:after="0"/>
        <w:ind w:left="720"/>
        <w:contextualSpacing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Рисунок 7. Доля исламских банковских услуг в странах мира </w:t>
      </w:r>
      <w:r w:rsidRPr="00631151">
        <w:rPr>
          <w:rFonts w:eastAsia="Calibri" w:cs="Times New Roman"/>
          <w:bCs/>
          <w:color w:val="000000"/>
          <w:szCs w:val="24"/>
        </w:rPr>
        <w:t>(в %)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Примечание: разработано авторами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В регионах Ближнего Востока и Северной Африки, где сосредоточено большинство исламских банковских активов, более половины активов принадлежит банком Исламской Республики Иран – 451 млрд USD, а на 7 крупнейших банков приходится 80 % иранского рынка, что составляет более 20 млрд USD (рис. 8).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142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noProof/>
          <w:szCs w:val="24"/>
          <w:lang w:eastAsia="tr-TR"/>
        </w:rPr>
        <w:drawing>
          <wp:inline distT="0" distB="0" distL="0" distR="0" wp14:anchorId="7A939162" wp14:editId="0A3D4DAC">
            <wp:extent cx="5973288" cy="2310933"/>
            <wp:effectExtent l="0" t="0" r="889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82701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C38" w:rsidRPr="00631151" w:rsidRDefault="009A6C38" w:rsidP="009A6C38">
      <w:pPr>
        <w:tabs>
          <w:tab w:val="left" w:pos="0"/>
        </w:tabs>
        <w:spacing w:after="0"/>
        <w:ind w:hanging="142"/>
        <w:contextualSpacing/>
        <w:jc w:val="center"/>
        <w:rPr>
          <w:rFonts w:eastAsia="Calibri" w:cs="Times New Roman"/>
          <w:szCs w:val="24"/>
        </w:rPr>
      </w:pPr>
      <w:r w:rsidRPr="00631151">
        <w:rPr>
          <w:rFonts w:eastAsia="Calibri" w:cs="Times New Roman"/>
          <w:color w:val="000000"/>
          <w:szCs w:val="24"/>
        </w:rPr>
        <w:t xml:space="preserve">Рисунок 8. </w:t>
      </w:r>
      <w:r w:rsidRPr="00631151">
        <w:rPr>
          <w:rFonts w:eastAsia="Calibri" w:cs="Times New Roman"/>
          <w:szCs w:val="24"/>
        </w:rPr>
        <w:t xml:space="preserve">Региональная структура активов и количество исламских банков, </w:t>
      </w:r>
    </w:p>
    <w:p w:rsidR="009A6C38" w:rsidRPr="00631151" w:rsidRDefault="009A6C38" w:rsidP="009A6C38">
      <w:pPr>
        <w:tabs>
          <w:tab w:val="left" w:pos="0"/>
        </w:tabs>
        <w:spacing w:after="0"/>
        <w:ind w:hanging="142"/>
        <w:contextualSpacing/>
        <w:jc w:val="center"/>
        <w:rPr>
          <w:rFonts w:eastAsia="Calibri" w:cs="Times New Roman"/>
          <w:color w:val="000000"/>
          <w:szCs w:val="24"/>
        </w:rPr>
      </w:pPr>
      <w:r w:rsidRPr="00631151">
        <w:rPr>
          <w:rFonts w:eastAsia="Calibri" w:cs="Times New Roman"/>
          <w:szCs w:val="24"/>
        </w:rPr>
        <w:t>в % [11, 12]</w:t>
      </w:r>
    </w:p>
    <w:p w:rsidR="009A6C38" w:rsidRPr="00631151" w:rsidRDefault="009A6C38" w:rsidP="009A6C38">
      <w:pPr>
        <w:spacing w:after="0"/>
        <w:ind w:firstLine="709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Примечание: разработано авторами 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 xml:space="preserve">Таким образом, в настоящий момент исламские финансы развиваются не только в мусульманских странах, интерес к развитию финансового банкинга проявляют и </w:t>
      </w:r>
      <w:r w:rsidRPr="00631151">
        <w:rPr>
          <w:rFonts w:eastAsia="Calibri" w:cs="Times New Roman"/>
          <w:szCs w:val="24"/>
        </w:rPr>
        <w:lastRenderedPageBreak/>
        <w:t xml:space="preserve">немусульманские страны. Индустрия исламских активов зарождается в США, Швейцарии, Германии, Дании, Китае. 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Отметим, что среднегодовые темпы роста активов ИБ имели факт снижения в 2013–2015 гг. около 10 %, когда как в 2008–2011 гг. наблюдался – 17 %.</w:t>
      </w:r>
    </w:p>
    <w:p w:rsidR="009A6C38" w:rsidRPr="00631151" w:rsidRDefault="009A6C38" w:rsidP="009A6C38">
      <w:pPr>
        <w:tabs>
          <w:tab w:val="left" w:pos="0"/>
        </w:tabs>
        <w:spacing w:after="0"/>
        <w:ind w:firstLine="709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Это вызвано снижением курса валют многих стран, замедлением темпа роста экономики, длительным периодом снижения цен на энергоносители, ослаблением доверия инвесторов, потребителей к сфере банковской деятельности [5].  С другой стороны, учитывая данные 2015 года, ожидается, что среднегодовые темпы роста активов исламских банков вернутся к показателям предыдущих лет.</w:t>
      </w:r>
    </w:p>
    <w:p w:rsidR="009A6C38" w:rsidRPr="00631151" w:rsidRDefault="009A6C38" w:rsidP="009A6C38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</w:p>
    <w:p w:rsidR="009A6C38" w:rsidRPr="00631151" w:rsidRDefault="009A6C38" w:rsidP="009A6C38">
      <w:pPr>
        <w:spacing w:after="0"/>
        <w:jc w:val="both"/>
        <w:rPr>
          <w:rFonts w:eastAsia="Times New Roman" w:cs="Times New Roman"/>
          <w:b/>
          <w:szCs w:val="24"/>
          <w:lang w:eastAsia="tr-TR"/>
        </w:rPr>
      </w:pPr>
      <w:r w:rsidRPr="00631151">
        <w:rPr>
          <w:rFonts w:eastAsia="Times New Roman" w:cs="Times New Roman"/>
          <w:b/>
          <w:szCs w:val="24"/>
          <w:lang w:eastAsia="tr-TR"/>
        </w:rPr>
        <w:t>Активы, депозиты, кредиты исламских банков ОАЭ.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val="en-US" w:eastAsia="tr-TR"/>
        </w:rPr>
        <w:t>C</w:t>
      </w:r>
      <w:r w:rsidRPr="00631151">
        <w:rPr>
          <w:rFonts w:eastAsia="Times New Roman" w:cs="Times New Roman"/>
          <w:szCs w:val="24"/>
          <w:lang w:eastAsia="tr-TR"/>
        </w:rPr>
        <w:t xml:space="preserve">огласно данным Центрального Банка ОАЭ по состоянию на 01.07.2017 года активы соответствующих законам шариата финансовых учреждений стояли на уровне 143 млрд </w:t>
      </w:r>
      <w:r w:rsidRPr="00631151">
        <w:rPr>
          <w:rFonts w:eastAsia="Times New Roman" w:cs="Times New Roman"/>
          <w:szCs w:val="24"/>
          <w:lang w:val="en-US" w:eastAsia="tr-TR"/>
        </w:rPr>
        <w:t>USD</w:t>
      </w:r>
      <w:r w:rsidRPr="00631151">
        <w:rPr>
          <w:rFonts w:eastAsia="Times New Roman" w:cs="Times New Roman"/>
          <w:szCs w:val="24"/>
          <w:lang w:eastAsia="tr-TR"/>
        </w:rPr>
        <w:t xml:space="preserve"> в конце роста на 6.9 % в течение </w:t>
      </w:r>
      <w:proofErr w:type="gramStart"/>
      <w:r w:rsidRPr="00631151">
        <w:rPr>
          <w:rFonts w:eastAsia="Times New Roman" w:cs="Times New Roman"/>
          <w:szCs w:val="24"/>
          <w:lang w:eastAsia="tr-TR"/>
        </w:rPr>
        <w:t>года,.</w:t>
      </w:r>
      <w:proofErr w:type="gramEnd"/>
      <w:r w:rsidRPr="00631151">
        <w:rPr>
          <w:rFonts w:eastAsia="Times New Roman" w:cs="Times New Roman"/>
          <w:szCs w:val="24"/>
          <w:lang w:eastAsia="tr-TR"/>
        </w:rPr>
        <w:t xml:space="preserve"> Тем не менее, это на 3.7 процентных пункта ниже, чем в июле 2016 г</w:t>
      </w:r>
      <w:proofErr w:type="gramStart"/>
      <w:r w:rsidRPr="00631151">
        <w:rPr>
          <w:rFonts w:eastAsia="Times New Roman" w:cs="Times New Roman"/>
          <w:szCs w:val="24"/>
          <w:lang w:eastAsia="tr-TR"/>
        </w:rPr>
        <w:t>.,</w:t>
      </w:r>
      <w:proofErr w:type="gramEnd"/>
      <w:r w:rsidRPr="00631151">
        <w:rPr>
          <w:rFonts w:eastAsia="Times New Roman" w:cs="Times New Roman"/>
          <w:szCs w:val="24"/>
          <w:lang w:eastAsia="tr-TR"/>
        </w:rPr>
        <w:t xml:space="preserve"> когда исламская банковская система показала рост на 10.6 %.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Активы банковского дела шариата теперь представляют одну пятую или 20.07 % совокупных банковских активов страны и больше чем одну четверть или 25.12 % активов обычных банков [5].</w:t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По данным аналитиков, к 2019 г. совокупная прибыль банков исламских стран достигнет отметки более 37 млрд </w:t>
      </w:r>
      <w:r w:rsidRPr="00631151">
        <w:rPr>
          <w:rFonts w:eastAsia="Times New Roman" w:cs="Times New Roman"/>
          <w:szCs w:val="24"/>
          <w:lang w:val="en-US" w:eastAsia="tr-TR"/>
        </w:rPr>
        <w:t>USD</w:t>
      </w:r>
      <w:r w:rsidRPr="00631151">
        <w:rPr>
          <w:rFonts w:eastAsia="Times New Roman" w:cs="Times New Roman"/>
          <w:szCs w:val="24"/>
          <w:lang w:eastAsia="tr-TR"/>
        </w:rPr>
        <w:t xml:space="preserve">, из которых 36 млрд </w:t>
      </w:r>
      <w:r w:rsidRPr="00631151">
        <w:rPr>
          <w:rFonts w:eastAsia="Times New Roman" w:cs="Times New Roman"/>
          <w:szCs w:val="24"/>
          <w:lang w:val="en-US" w:eastAsia="tr-TR"/>
        </w:rPr>
        <w:t>USD</w:t>
      </w:r>
      <w:r w:rsidRPr="00631151">
        <w:rPr>
          <w:rFonts w:eastAsia="Times New Roman" w:cs="Times New Roman"/>
          <w:szCs w:val="24"/>
          <w:lang w:eastAsia="tr-TR"/>
        </w:rPr>
        <w:t xml:space="preserve"> придётся на Катар, Индонезию, Саудовскую Аравию, Малайзию, Объединенные Арабские Эмираты и Турцию. </w:t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Предполагается, что развитию отрасли будет способствовать появление нескольких организаций среднего размера. Капитал по меньшей мере ещё пяти банков превысит отметку в 10 млрд </w:t>
      </w:r>
      <w:r w:rsidRPr="00631151">
        <w:rPr>
          <w:rFonts w:eastAsia="Times New Roman" w:cs="Times New Roman"/>
          <w:szCs w:val="24"/>
          <w:lang w:val="en-US" w:eastAsia="tr-TR"/>
        </w:rPr>
        <w:t>USD</w:t>
      </w:r>
      <w:r w:rsidRPr="00631151">
        <w:rPr>
          <w:rFonts w:eastAsia="Times New Roman" w:cs="Times New Roman"/>
          <w:szCs w:val="24"/>
          <w:lang w:eastAsia="tr-TR"/>
        </w:rPr>
        <w:t xml:space="preserve">. </w:t>
      </w:r>
      <w:r w:rsidRPr="00631151">
        <w:rPr>
          <w:rFonts w:eastAsia="Times New Roman" w:cs="Times New Roman"/>
          <w:szCs w:val="24"/>
          <w:lang w:eastAsia="tr-TR"/>
        </w:rPr>
        <w:tab/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Благодаря увеличению размера рынка, а также готовности внедрять наукоёмкие решения для удовлетворения потребительского спроса, следует ожидать сокращения отставания по рентабельности от традиционных коммерческих банков. 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По данным Standard &amp; Poor's и издания </w:t>
      </w:r>
      <w:r w:rsidRPr="00631151">
        <w:rPr>
          <w:rFonts w:eastAsia="Times New Roman" w:cs="Times New Roman"/>
          <w:szCs w:val="24"/>
          <w:lang w:val="en-US" w:eastAsia="tr-TR"/>
        </w:rPr>
        <w:t>Gulf</w:t>
      </w:r>
      <w:r w:rsidRPr="00631151">
        <w:rPr>
          <w:rFonts w:eastAsia="Times New Roman" w:cs="Times New Roman"/>
          <w:szCs w:val="24"/>
          <w:lang w:eastAsia="tr-TR"/>
        </w:rPr>
        <w:t xml:space="preserve"> </w:t>
      </w:r>
      <w:r w:rsidRPr="00631151">
        <w:rPr>
          <w:rFonts w:eastAsia="Times New Roman" w:cs="Times New Roman"/>
          <w:szCs w:val="24"/>
          <w:lang w:val="en-US" w:eastAsia="tr-TR"/>
        </w:rPr>
        <w:t>News</w:t>
      </w:r>
      <w:r w:rsidRPr="00631151">
        <w:rPr>
          <w:rFonts w:eastAsia="Times New Roman" w:cs="Times New Roman"/>
          <w:szCs w:val="24"/>
          <w:lang w:eastAsia="tr-TR"/>
        </w:rPr>
        <w:t xml:space="preserve"> </w:t>
      </w:r>
      <w:r w:rsidRPr="00631151">
        <w:rPr>
          <w:rFonts w:eastAsia="Times New Roman" w:cs="Times New Roman"/>
          <w:szCs w:val="24"/>
          <w:lang w:val="en-US" w:eastAsia="tr-TR"/>
        </w:rPr>
        <w:t>Banking</w:t>
      </w:r>
      <w:r w:rsidRPr="00631151">
        <w:rPr>
          <w:rFonts w:eastAsia="Times New Roman" w:cs="Times New Roman"/>
          <w:szCs w:val="24"/>
          <w:lang w:eastAsia="tr-TR"/>
        </w:rPr>
        <w:t>, качество активов исламских банков Дубая немного ухудшилось.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Из-за поддерживающего актив принципа исламских финансов, исламские банки склонны иметь более высокое развитие в сектора недвижимости. Кроме того, шариат </w:t>
      </w:r>
      <w:r w:rsidRPr="00631151">
        <w:rPr>
          <w:rFonts w:eastAsia="Times New Roman" w:cs="Times New Roman"/>
          <w:szCs w:val="24"/>
          <w:lang w:eastAsia="tr-TR"/>
        </w:rPr>
        <w:lastRenderedPageBreak/>
        <w:t>запрещает применять штрафы задержки выплаты, некоторые клиенты склонны располагать по приоритетам свои выплаты к обычным банкам.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За 2017 год, качественные характеристики актива исламских банков ухудшились немного. Однако аналитики отметили, что ухудшение не было соразмерно с экономическим спадом, испытанным в различных странах. В нормальном цикле банки реструктурируют свои воздействия, чтобы принять документы к оплате финансирования к новым фактам потока наличности их клиентов. В какой-то момент во время экономического цикла, некоторые из этих финансирований производят обнаруженные новые неработающие кредиты.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С принятием IFRS9 Международных Стандартов финансовой отчетности и FAS30 Финансовых Стандартов бухгалтерского учета, воздействие этих кредитов на стоимости исламских банков стало прозрачным в части риска. Кредиты реструктурированные или просроченные требуют ожидаемой потери целой фазы, обеспечивающей вместо ожидаемой обеспечивающей потери 12 месяцев. Поэтому, когда экономический цикл повторяется и исламские банки видят скачок [6].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Глобальные тенденции исламских финансов в развитии британского рынка показывают, что важность роста промышленности для исламских инвесторов во всем мире свидетельствуется увеличением. Активы исламских банков согласно Шариата (мусульманское право) составили около 1 % в мире; глобальность означает, что приблизительно каждый четвертый человек является мусульманином. И расширение географии необходимо для этого рынка.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Всем известно, что сегодня Великобритания – это ведущий Западный центр исламских финансов. Число финансовых учреждений в основном базируется в Лондоне (к сведению: </w:t>
      </w:r>
      <w:r w:rsidRPr="00631151">
        <w:rPr>
          <w:rFonts w:eastAsia="Times New Roman" w:cs="Times New Roman"/>
          <w:bCs/>
          <w:szCs w:val="24"/>
          <w:shd w:val="clear" w:color="auto" w:fill="FFFFFF"/>
          <w:lang w:eastAsia="tr-TR"/>
        </w:rPr>
        <w:t xml:space="preserve">население Лондона </w:t>
      </w:r>
      <w:r w:rsidRPr="00631151">
        <w:rPr>
          <w:rFonts w:eastAsia="Times New Roman" w:cs="Times New Roman"/>
          <w:szCs w:val="24"/>
          <w:shd w:val="clear" w:color="auto" w:fill="FFFFFF"/>
          <w:lang w:eastAsia="tr-TR"/>
        </w:rPr>
        <w:t xml:space="preserve">составляет 8,6 млн человек) </w:t>
      </w:r>
      <w:r w:rsidRPr="00631151">
        <w:rPr>
          <w:rFonts w:eastAsia="Times New Roman" w:cs="Times New Roman"/>
          <w:szCs w:val="24"/>
          <w:lang w:eastAsia="tr-TR"/>
        </w:rPr>
        <w:t>и по всей стране предлагаются исламские финансовые услуги, в последнее время, число удвоилось, по сравнению с США и другими западными странами. Лицензию в Великобритании имеют более 20 коммерческих банков, из которых пять полностью работают по законам Шариата. Крупнейшая Лондонская фондовая биржа (LSE) является глобальным местом выпуска сукука (исламские ценные бумаги).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Банки, сукук и биржевые продукты предлагаются ведущими в мире профессиональными услугами исламских финансовых соглашений и сделок. Услуги в Великобритании предлагаются и финансовыми посредниками, компаниями по управлению активами, страховыми компаниями, и более чем 30 компаниями международного права, бухгалтерского учета и консультирования.</w:t>
      </w:r>
    </w:p>
    <w:p w:rsidR="009A6C38" w:rsidRPr="00631151" w:rsidRDefault="009A6C38" w:rsidP="009A6C38">
      <w:pPr>
        <w:spacing w:after="0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lastRenderedPageBreak/>
        <w:t>Исламские финансовые учреждения и мусульманские инвесторы используют Великобританию в качестве инвестиционного места назначения и основы для деловых операций.</w:t>
      </w:r>
    </w:p>
    <w:p w:rsidR="009A6C38" w:rsidRPr="00631151" w:rsidRDefault="009A6C38" w:rsidP="009A6C38">
      <w:pPr>
        <w:spacing w:after="0"/>
        <w:ind w:firstLine="567"/>
        <w:contextualSpacing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Снижение цен на британскую недвижимость и обесценивание стерлинга в 2016 – 2017 гг. создал более благоприятные условия для иностранных инвесторов недвижимости в покупке британских активов – включая исламских инвесторов, которые захотят исламского финансирования.</w:t>
      </w:r>
    </w:p>
    <w:p w:rsidR="009A6C38" w:rsidRPr="00631151" w:rsidRDefault="009A6C38" w:rsidP="009A6C38">
      <w:pPr>
        <w:spacing w:after="0"/>
        <w:contextualSpacing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Таким образом, Правительство Великобритании, регуляторы и промышленность тесно сотрудничают, сохраняют выдающуюся позицию Великобритании в исламских финансах, но также и стали ведущим игроком в урегулировании стандартов международного шариата. Такие как британский суверенный сукук, исламский мир и другие британские правительственные инициативы создали единое игровое поле для исламских учреждений и рады принятию клиентов.</w:t>
      </w:r>
    </w:p>
    <w:p w:rsidR="009A6C38" w:rsidRPr="00631151" w:rsidRDefault="009A6C38" w:rsidP="009A6C38">
      <w:pPr>
        <w:shd w:val="clear" w:color="auto" w:fill="FFFFFF"/>
        <w:spacing w:before="100" w:beforeAutospacing="1" w:after="0" w:afterAutospacing="1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Таким образом, в ходе изучения темы исследования, были сделаны следующие выводы и предложения.</w:t>
      </w:r>
    </w:p>
    <w:p w:rsidR="009A6C38" w:rsidRPr="00631151" w:rsidRDefault="009A6C38" w:rsidP="009A6C38">
      <w:pPr>
        <w:shd w:val="clear" w:color="auto" w:fill="FFFFFF"/>
        <w:spacing w:before="100" w:beforeAutospacing="1" w:after="0" w:afterAutospacing="1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22 международных исламских банка имеют акционерный капитал в размере свыше 1 млрд </w:t>
      </w:r>
      <w:r w:rsidRPr="00631151">
        <w:rPr>
          <w:rFonts w:eastAsia="Times New Roman" w:cs="Times New Roman"/>
          <w:szCs w:val="24"/>
          <w:lang w:val="en-US" w:eastAsia="tr-TR"/>
        </w:rPr>
        <w:t>USD</w:t>
      </w:r>
      <w:r w:rsidRPr="00631151">
        <w:rPr>
          <w:rFonts w:eastAsia="Times New Roman" w:cs="Times New Roman"/>
          <w:szCs w:val="24"/>
          <w:lang w:eastAsia="tr-TR"/>
        </w:rPr>
        <w:t>, благодаря чему они находятся в отличных условиях для дальнейшей регионализации индустрии. В то же время, в относительных величинах они составляют всего лишь треть от величины своих крупнейших конкурентов из числа неисламских банков на внутренних рынках.</w:t>
      </w:r>
    </w:p>
    <w:p w:rsidR="009A6C38" w:rsidRPr="00631151" w:rsidRDefault="009A6C38" w:rsidP="009A6C38">
      <w:pPr>
        <w:shd w:val="clear" w:color="auto" w:fill="FFFFFF"/>
        <w:spacing w:before="100" w:beforeAutospacing="1" w:after="0" w:afterAutospacing="1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В будущем, следующей важной задачей для исламских банков будет переход в электронный формат предоставления услуг, так как онлайн-банкинг зачастую становится фактором предпочтений клиентов при выборе банка.</w:t>
      </w:r>
    </w:p>
    <w:p w:rsidR="009A6C38" w:rsidRPr="00631151" w:rsidRDefault="009A6C38" w:rsidP="009A6C38">
      <w:pPr>
        <w:shd w:val="clear" w:color="auto" w:fill="FFFFFF"/>
        <w:spacing w:before="100" w:beforeAutospacing="1" w:after="0" w:afterAutospacing="1"/>
        <w:ind w:firstLine="567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Индустрия еще не достигла 100 млн клиентов. Потенциальная величина рынка в 6 раз превышает нынешний, но требует иной модели банкинга. Стратегия с упором на электронный банкинг должна помочь исламским банкам заполучить еще 100 млн клиентов в ближайшее десятилетие.</w:t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В настоящий момент отрасль исламских финансов является одной из быстрорастущих. Исламские банки стремятся увеличить клиентскую базу путём прямой конкуренции с традиционными коммерческими банками. Для этого они разрабатывают </w:t>
      </w:r>
      <w:r w:rsidRPr="00631151">
        <w:rPr>
          <w:rFonts w:eastAsia="Times New Roman" w:cs="Times New Roman"/>
          <w:szCs w:val="24"/>
          <w:lang w:eastAsia="tr-TR"/>
        </w:rPr>
        <w:lastRenderedPageBreak/>
        <w:t xml:space="preserve">с использованием современных технологий продукты, предназначенные для удовлетворения разнообразного потребительского спроса. </w:t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Ожидается, что активы исламского банкинга в мире будут расти с удвоенной скоростью по сравнению с активами обыкновенных банков [10].</w:t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Несколько крупных региональных исламских банков реализуют трансформационные программы, нацеленные на перевод расчётов по большинству операций на современные цифровые технологии. Открываются возможности для увеличения продуктовой линейки, доли обслуживаемых операций, а также улучшения клиентского опыта, что позволит привлекать и удерживать потребителей, а также предлагать большее количество банковских продуктов.</w:t>
      </w:r>
    </w:p>
    <w:p w:rsidR="009A6C38" w:rsidRPr="00631151" w:rsidRDefault="009A6C38" w:rsidP="009A6C38">
      <w:pPr>
        <w:spacing w:after="0"/>
        <w:ind w:firstLine="709"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 xml:space="preserve">Также, важной особенностью отрасли исламских финансов является то, что данная отрасль позиционируется как в качестве социально ответственной. Активы исламских банков и инвестиции, направляются на развитие секторов предпринимательства, образования, развития общественной инфраструктуры способствует созданию новых представлений об исламском банкинге, росту заинтересованности экономик стран мира в развитии отрасли. </w:t>
      </w:r>
      <w:bookmarkStart w:id="1" w:name="_Toc500963155"/>
    </w:p>
    <w:p w:rsidR="009A6C38" w:rsidRPr="00631151" w:rsidRDefault="009A6C38" w:rsidP="009A6C38">
      <w:pPr>
        <w:rPr>
          <w:rFonts w:eastAsia="Times New Roman" w:cs="Times New Roman"/>
          <w:szCs w:val="24"/>
          <w:lang w:val="ru-RU"/>
        </w:rPr>
      </w:pPr>
      <w:r w:rsidRPr="00631151">
        <w:rPr>
          <w:rFonts w:eastAsia="Times New Roman" w:cs="Times New Roman"/>
          <w:szCs w:val="24"/>
          <w:lang w:eastAsia="tr-TR"/>
        </w:rPr>
        <w:br w:type="page"/>
      </w:r>
    </w:p>
    <w:p w:rsidR="009A6C38" w:rsidRDefault="009A6C38" w:rsidP="009A6C38">
      <w:pPr>
        <w:keepNext/>
        <w:keepLines/>
        <w:spacing w:after="120"/>
        <w:outlineLvl w:val="0"/>
        <w:rPr>
          <w:rFonts w:eastAsia="Times New Roman" w:cs="Times New Roman"/>
          <w:b/>
          <w:szCs w:val="24"/>
          <w:lang w:val="ru-RU"/>
        </w:rPr>
      </w:pPr>
    </w:p>
    <w:p w:rsidR="009A6C38" w:rsidRPr="00631151" w:rsidRDefault="009A6C38" w:rsidP="009A6C38">
      <w:pPr>
        <w:keepNext/>
        <w:keepLines/>
        <w:spacing w:after="120"/>
        <w:outlineLvl w:val="0"/>
        <w:rPr>
          <w:rFonts w:eastAsia="Times New Roman" w:cs="Times New Roman"/>
          <w:b/>
          <w:szCs w:val="24"/>
          <w:lang w:val="ru-RU"/>
        </w:rPr>
      </w:pPr>
      <w:r w:rsidRPr="00631151">
        <w:rPr>
          <w:rFonts w:eastAsia="Times New Roman" w:cs="Times New Roman"/>
          <w:b/>
          <w:szCs w:val="24"/>
          <w:lang w:val="ru-RU"/>
        </w:rPr>
        <w:t>СПИСОК ЛИТЕРАТУРЫ</w:t>
      </w:r>
      <w:bookmarkEnd w:id="1"/>
    </w:p>
    <w:p w:rsidR="009A6C38" w:rsidRPr="00631151" w:rsidRDefault="009A6C38" w:rsidP="009A6C38">
      <w:pPr>
        <w:numPr>
          <w:ilvl w:val="0"/>
          <w:numId w:val="2"/>
        </w:numPr>
        <w:tabs>
          <w:tab w:val="left" w:pos="851"/>
        </w:tabs>
        <w:spacing w:after="120"/>
        <w:ind w:left="0" w:firstLine="0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631151">
        <w:rPr>
          <w:rFonts w:eastAsia="Calibri" w:cs="Times New Roman"/>
          <w:szCs w:val="24"/>
        </w:rPr>
        <w:t>URL:  https://www.mhe.su/news/aktivy-islamskogo-bankinga-dostignut-1-trilliona-dollarov-k-koncu-goda-15264</w:t>
      </w:r>
    </w:p>
    <w:p w:rsidR="009A6C38" w:rsidRPr="00631151" w:rsidRDefault="009A6C38" w:rsidP="009A6C38">
      <w:pPr>
        <w:numPr>
          <w:ilvl w:val="0"/>
          <w:numId w:val="2"/>
        </w:numPr>
        <w:tabs>
          <w:tab w:val="left" w:pos="851"/>
        </w:tabs>
        <w:spacing w:after="120"/>
        <w:ind w:left="0" w:firstLine="0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631151">
        <w:rPr>
          <w:rFonts w:eastAsia="Calibri" w:cs="Times New Roman"/>
          <w:color w:val="000000" w:themeColor="text1"/>
          <w:szCs w:val="24"/>
        </w:rPr>
        <w:t>Вахитов Р. У</w:t>
      </w:r>
      <w:r w:rsidRPr="00631151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 xml:space="preserve">правляющий партнер International Tax Associates B.V. Нидерланды – </w:t>
      </w:r>
      <w:r w:rsidRPr="00631151">
        <w:rPr>
          <w:rFonts w:eastAsia="Calibri" w:cs="Times New Roman"/>
          <w:color w:val="000000" w:themeColor="text1"/>
          <w:szCs w:val="24"/>
        </w:rPr>
        <w:t xml:space="preserve">Журнал «Эксперт Online» интервью - </w:t>
      </w:r>
      <w:r w:rsidRPr="00631151">
        <w:rPr>
          <w:rFonts w:eastAsia="Times New Roman" w:cs="Times New Roman"/>
          <w:color w:val="000000" w:themeColor="text1"/>
          <w:szCs w:val="24"/>
          <w:shd w:val="clear" w:color="auto" w:fill="FFFFFF"/>
          <w:lang w:eastAsia="ru-RU"/>
        </w:rPr>
        <w:t>2014</w:t>
      </w:r>
    </w:p>
    <w:p w:rsidR="009A6C38" w:rsidRPr="00631151" w:rsidRDefault="009A6C38" w:rsidP="009A6C38">
      <w:pPr>
        <w:numPr>
          <w:ilvl w:val="0"/>
          <w:numId w:val="2"/>
        </w:numPr>
        <w:spacing w:after="120"/>
        <w:ind w:left="0" w:hanging="11"/>
        <w:jc w:val="both"/>
        <w:rPr>
          <w:rFonts w:eastAsia="Times New Roman" w:cs="Times New Roman"/>
          <w:szCs w:val="24"/>
          <w:lang w:val="ru-RU" w:eastAsia="ru-RU"/>
        </w:rPr>
      </w:pPr>
      <w:r w:rsidRPr="00631151">
        <w:rPr>
          <w:rFonts w:eastAsia="Times New Roman" w:cs="Times New Roman"/>
          <w:szCs w:val="24"/>
          <w:shd w:val="clear" w:color="auto" w:fill="FFFFFF"/>
          <w:lang w:val="ru-RU" w:eastAsia="ru-RU"/>
        </w:rPr>
        <w:t>Основы исламских финансов [Text]: учебное пособие / Ш. У. Ниязбекова Д. К. Смагулова З. К. Есымханова К. Ж. Садвокасова М. А. Абильмажинов - Астана: [б. и.], 2015. - 268 c. -978-9965-610-29-5</w:t>
      </w:r>
      <w:r w:rsidRPr="00631151">
        <w:rPr>
          <w:rFonts w:eastAsia="Times New Roman" w:cs="Times New Roman"/>
          <w:szCs w:val="24"/>
          <w:lang w:val="ru-RU" w:eastAsia="ru-RU"/>
        </w:rPr>
        <w:t>.</w:t>
      </w:r>
    </w:p>
    <w:p w:rsidR="009A6C38" w:rsidRPr="00631151" w:rsidRDefault="009A6C38" w:rsidP="009A6C38">
      <w:pPr>
        <w:spacing w:after="120"/>
        <w:jc w:val="both"/>
        <w:rPr>
          <w:rFonts w:eastAsia="Times New Roman" w:cs="Times New Roman"/>
          <w:szCs w:val="24"/>
          <w:lang w:val="ru-RU" w:eastAsia="ru-RU"/>
        </w:rPr>
      </w:pPr>
      <w:r w:rsidRPr="00631151">
        <w:rPr>
          <w:rFonts w:eastAsia="Times New Roman" w:cs="Times New Roman"/>
          <w:szCs w:val="24"/>
          <w:lang w:val="ru-RU" w:eastAsia="ru-RU"/>
        </w:rPr>
        <w:t xml:space="preserve">Электронный ресурс. Режим доступа: </w:t>
      </w:r>
      <w:hyperlink r:id="rId18" w:history="1">
        <w:r w:rsidRPr="00631151">
          <w:rPr>
            <w:rFonts w:eastAsia="Times New Roman" w:cs="Times New Roman"/>
            <w:color w:val="0563C1" w:themeColor="hyperlink"/>
            <w:szCs w:val="24"/>
            <w:u w:val="single"/>
            <w:lang w:val="ru-RU" w:eastAsia="ru-RU"/>
          </w:rPr>
          <w:t>http://nabrk.kz/ecatalogue?search=%D0%BE%D1%81%D0%BD%D0%BE%D0%B2%D1%8B+%D0%B8%D1%81%D0%BB%D0%B0%D0%BC%D1%81%D0%BA%D0%B8%D1%85+%D1%84%D0%B8%D0%BD%D0%B0%D0%BD%D1%81%D0%BE%D0%B2</w:t>
        </w:r>
      </w:hyperlink>
      <w:r w:rsidRPr="00631151">
        <w:rPr>
          <w:rFonts w:eastAsia="Times New Roman" w:cs="Times New Roman"/>
          <w:szCs w:val="24"/>
          <w:lang w:val="ru-RU" w:eastAsia="ru-RU"/>
        </w:rPr>
        <w:t xml:space="preserve"> – (Дата обращения – 26.05.2018)</w:t>
      </w:r>
    </w:p>
    <w:p w:rsidR="009A6C38" w:rsidRPr="00631151" w:rsidRDefault="009A6C38" w:rsidP="009A6C38">
      <w:pPr>
        <w:numPr>
          <w:ilvl w:val="0"/>
          <w:numId w:val="2"/>
        </w:numPr>
        <w:tabs>
          <w:tab w:val="left" w:pos="851"/>
        </w:tabs>
        <w:spacing w:after="120"/>
        <w:ind w:left="0" w:firstLine="0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631151">
        <w:rPr>
          <w:rFonts w:eastAsia="Calibri" w:cs="Times New Roman"/>
          <w:color w:val="000000" w:themeColor="text1"/>
          <w:szCs w:val="24"/>
        </w:rPr>
        <w:t xml:space="preserve">К исламским банкам слишком много вопросов - Федеральная радиостанция «Вести ФМ».- 16.01.2016 </w:t>
      </w:r>
    </w:p>
    <w:p w:rsidR="009A6C38" w:rsidRPr="00631151" w:rsidRDefault="009A6C38" w:rsidP="009A6C3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20"/>
        <w:ind w:left="0" w:firstLine="0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 xml:space="preserve">   UAE Islamic banks outperforming conventional peers despite slower growth. URL: </w:t>
      </w:r>
      <w:hyperlink r:id="rId19" w:history="1">
        <w:r w:rsidRPr="00631151">
          <w:rPr>
            <w:rFonts w:eastAsia="Calibri" w:cs="Times New Roman"/>
            <w:color w:val="0563C1" w:themeColor="hyperlink"/>
            <w:szCs w:val="24"/>
            <w:u w:val="single"/>
          </w:rPr>
          <w:t>http://www.chinagoabroad.com/en/article/uae-islamic-banks-outperforming-conventional-peers-despite-slower-growth</w:t>
        </w:r>
      </w:hyperlink>
    </w:p>
    <w:p w:rsidR="009A6C38" w:rsidRPr="00631151" w:rsidRDefault="009A6C38" w:rsidP="009A6C3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20"/>
        <w:ind w:left="0" w:firstLine="0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b/>
          <w:szCs w:val="24"/>
        </w:rPr>
        <w:t xml:space="preserve"> </w:t>
      </w:r>
      <w:r w:rsidRPr="00631151">
        <w:rPr>
          <w:rFonts w:eastAsia="Calibri" w:cs="Times New Roman"/>
          <w:bCs/>
          <w:szCs w:val="24"/>
        </w:rPr>
        <w:t xml:space="preserve">Islamic banks’ asset quality remains weaker. </w:t>
      </w:r>
      <w:r w:rsidRPr="00631151">
        <w:rPr>
          <w:rFonts w:eastAsia="Calibri" w:cs="Times New Roman"/>
          <w:szCs w:val="24"/>
        </w:rPr>
        <w:t>URL:</w:t>
      </w:r>
      <w:r w:rsidRPr="00631151">
        <w:rPr>
          <w:rFonts w:eastAsia="Calibri" w:cs="Times New Roman"/>
          <w:b/>
          <w:szCs w:val="24"/>
        </w:rPr>
        <w:t xml:space="preserve"> </w:t>
      </w:r>
      <w:hyperlink r:id="rId20" w:history="1">
        <w:r w:rsidRPr="00631151">
          <w:rPr>
            <w:rFonts w:eastAsia="Calibri" w:cs="Times New Roman"/>
            <w:color w:val="0563C1" w:themeColor="hyperlink"/>
            <w:szCs w:val="24"/>
            <w:u w:val="single"/>
          </w:rPr>
          <w:t>https://gulfnews.com/business/sectors/banking/islamic-banks-asset-quality-remains-weaker-1.2216955</w:t>
        </w:r>
      </w:hyperlink>
    </w:p>
    <w:p w:rsidR="009A6C38" w:rsidRPr="00631151" w:rsidRDefault="009A6C38" w:rsidP="009A6C38">
      <w:pPr>
        <w:numPr>
          <w:ilvl w:val="0"/>
          <w:numId w:val="2"/>
        </w:numPr>
        <w:shd w:val="clear" w:color="auto" w:fill="FFFFFF"/>
        <w:spacing w:after="120"/>
        <w:ind w:left="0" w:hanging="11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Global trends in islamic finance and the UK market. URL:</w:t>
      </w:r>
      <w:r w:rsidRPr="00631151">
        <w:rPr>
          <w:rFonts w:eastAsia="Calibri" w:cs="Times New Roman"/>
          <w:b/>
          <w:szCs w:val="24"/>
        </w:rPr>
        <w:t xml:space="preserve"> </w:t>
      </w:r>
      <w:hyperlink r:id="rId21" w:history="1">
        <w:r w:rsidRPr="00631151">
          <w:rPr>
            <w:rFonts w:eastAsia="Calibri" w:cs="Times New Roman"/>
            <w:color w:val="0563C1" w:themeColor="hyperlink"/>
            <w:szCs w:val="24"/>
            <w:u w:val="single"/>
          </w:rPr>
          <w:t>http://ethicalfinancehub.org/wp-content/uploads/2017/12/Global-trends-in-Islamic-finance-and-the-UK-market-2017.pdf</w:t>
        </w:r>
      </w:hyperlink>
    </w:p>
    <w:p w:rsidR="009A6C38" w:rsidRPr="00631151" w:rsidRDefault="009A6C38" w:rsidP="009A6C38">
      <w:pPr>
        <w:numPr>
          <w:ilvl w:val="0"/>
          <w:numId w:val="2"/>
        </w:numPr>
        <w:spacing w:after="120"/>
        <w:ind w:left="0" w:hanging="11"/>
        <w:jc w:val="both"/>
        <w:rPr>
          <w:rFonts w:eastAsia="Times New Roman" w:cs="Times New Roman"/>
          <w:szCs w:val="24"/>
          <w:lang w:val="en-US" w:eastAsia="ru-RU"/>
        </w:rPr>
      </w:pPr>
      <w:r w:rsidRPr="00631151">
        <w:rPr>
          <w:rFonts w:eastAsia="Times New Roman" w:cs="Times New Roman"/>
          <w:szCs w:val="24"/>
          <w:lang w:val="en-US" w:eastAsia="ru-RU"/>
        </w:rPr>
        <w:t>URL: https://www.ifsb.org/docs/IFSB%20IFSI%20Stability%20Report%202017.pdf</w:t>
      </w:r>
    </w:p>
    <w:p w:rsidR="009A6C38" w:rsidRPr="00631151" w:rsidRDefault="009A6C38" w:rsidP="009A6C38">
      <w:pPr>
        <w:numPr>
          <w:ilvl w:val="0"/>
          <w:numId w:val="2"/>
        </w:numPr>
        <w:shd w:val="clear" w:color="auto" w:fill="FFFFFF"/>
        <w:spacing w:after="120"/>
        <w:ind w:left="0" w:hanging="11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 xml:space="preserve">URL:  </w:t>
      </w:r>
      <w:hyperlink r:id="rId22" w:history="1">
        <w:r w:rsidRPr="00631151">
          <w:rPr>
            <w:rFonts w:eastAsia="Calibri" w:cs="Times New Roman"/>
            <w:color w:val="0563C1" w:themeColor="hyperlink"/>
            <w:szCs w:val="24"/>
            <w:u w:val="single"/>
          </w:rPr>
          <w:t>http://www.imam.ru/news/aktivy-islamskix-bankov-dinamichno-rastut/</w:t>
        </w:r>
      </w:hyperlink>
    </w:p>
    <w:p w:rsidR="009A6C38" w:rsidRPr="00631151" w:rsidRDefault="009A6C38" w:rsidP="009A6C38">
      <w:pPr>
        <w:numPr>
          <w:ilvl w:val="0"/>
          <w:numId w:val="2"/>
        </w:numPr>
        <w:shd w:val="clear" w:color="auto" w:fill="FFFFFF"/>
        <w:spacing w:after="120"/>
        <w:ind w:left="0" w:hanging="11"/>
        <w:contextualSpacing/>
        <w:jc w:val="both"/>
        <w:rPr>
          <w:rFonts w:eastAsia="Calibri" w:cs="Times New Roman"/>
          <w:szCs w:val="24"/>
        </w:rPr>
      </w:pPr>
      <w:r w:rsidRPr="00631151">
        <w:rPr>
          <w:rFonts w:eastAsia="Calibri" w:cs="Times New Roman"/>
          <w:szCs w:val="24"/>
        </w:rPr>
        <w:t>URL:  https://www.cbr.ru/Content/Document/File/26389/antropov_07_17.pdf</w:t>
      </w:r>
    </w:p>
    <w:p w:rsidR="009A6C38" w:rsidRPr="00631151" w:rsidRDefault="009A6C38" w:rsidP="009A6C38">
      <w:pPr>
        <w:numPr>
          <w:ilvl w:val="0"/>
          <w:numId w:val="2"/>
        </w:numPr>
        <w:spacing w:after="120"/>
        <w:ind w:left="0" w:hanging="11"/>
        <w:jc w:val="both"/>
        <w:rPr>
          <w:rFonts w:eastAsia="Times New Roman" w:cs="Times New Roman"/>
          <w:szCs w:val="24"/>
          <w:lang w:val="en-US" w:eastAsia="ru-RU"/>
        </w:rPr>
      </w:pPr>
      <w:r w:rsidRPr="00631151">
        <w:rPr>
          <w:rFonts w:eastAsia="Times New Roman" w:cs="Times New Roman"/>
          <w:szCs w:val="24"/>
          <w:lang w:val="en-US" w:eastAsia="ru-RU"/>
        </w:rPr>
        <w:t xml:space="preserve">Islamic Finance: A Catalyst for Shared Prosperity? Global Report on Islamic Finance 2016. Jeddah: Islamic Research and Training Institute (IRTI), 2016 </w:t>
      </w:r>
    </w:p>
    <w:p w:rsidR="009A6C38" w:rsidRPr="00631151" w:rsidRDefault="009A6C38" w:rsidP="009A6C38">
      <w:pPr>
        <w:numPr>
          <w:ilvl w:val="0"/>
          <w:numId w:val="2"/>
        </w:numPr>
        <w:spacing w:after="120"/>
        <w:ind w:left="0" w:hanging="11"/>
        <w:jc w:val="both"/>
        <w:rPr>
          <w:rFonts w:eastAsia="Times New Roman" w:cs="Times New Roman"/>
          <w:szCs w:val="24"/>
          <w:lang w:val="en-US" w:eastAsia="ru-RU"/>
        </w:rPr>
      </w:pPr>
      <w:r w:rsidRPr="00631151">
        <w:rPr>
          <w:rFonts w:eastAsia="Times New Roman" w:cs="Times New Roman"/>
          <w:szCs w:val="24"/>
          <w:lang w:val="en-US" w:eastAsia="ru-RU"/>
        </w:rPr>
        <w:t>Islamic Financial Services Industry Stability Report 2016. Kuala Lumpur: Islamic Financial Services Board, 2016</w:t>
      </w:r>
    </w:p>
    <w:p w:rsidR="009A6C38" w:rsidRPr="00631151" w:rsidRDefault="009A6C38" w:rsidP="009A6C38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0" w:hanging="11"/>
        <w:jc w:val="both"/>
        <w:rPr>
          <w:rFonts w:eastAsia="Times New Roman" w:cs="Times New Roman"/>
          <w:bCs/>
          <w:sz w:val="16"/>
          <w:szCs w:val="16"/>
          <w:lang w:val="en-US" w:eastAsia="ru-RU"/>
        </w:rPr>
      </w:pPr>
      <w:r w:rsidRPr="00631151">
        <w:rPr>
          <w:rFonts w:eastAsia="Times New Roman" w:cs="Times New Roman"/>
          <w:b/>
          <w:bCs/>
          <w:sz w:val="16"/>
          <w:szCs w:val="16"/>
          <w:lang w:val="en-US" w:eastAsia="ru-RU"/>
        </w:rPr>
        <w:lastRenderedPageBreak/>
        <w:t>Accounting, Auditing and Governance Standards for Islamic Financial Institutions, 1420H – 1999. Accounting and Auditing Organization for Islamic Financial Institutions, State of Bahrain.</w:t>
      </w:r>
    </w:p>
    <w:p w:rsidR="009A6C38" w:rsidRPr="00631151" w:rsidRDefault="009A6C38" w:rsidP="009A6C38">
      <w:pPr>
        <w:spacing w:after="120"/>
        <w:contextualSpacing/>
        <w:jc w:val="both"/>
        <w:rPr>
          <w:rFonts w:eastAsia="Times New Roman" w:cs="Times New Roman"/>
          <w:szCs w:val="24"/>
          <w:lang w:eastAsia="tr-TR"/>
        </w:rPr>
      </w:pPr>
      <w:r w:rsidRPr="00631151">
        <w:rPr>
          <w:rFonts w:eastAsia="Times New Roman" w:cs="Times New Roman"/>
          <w:szCs w:val="24"/>
          <w:lang w:eastAsia="tr-TR"/>
        </w:rPr>
        <w:t>14.Данилов Ю.А</w:t>
      </w:r>
      <w:proofErr w:type="gramStart"/>
      <w:r w:rsidRPr="00631151">
        <w:rPr>
          <w:rFonts w:eastAsia="Times New Roman" w:cs="Times New Roman"/>
          <w:szCs w:val="24"/>
          <w:lang w:eastAsia="tr-TR"/>
        </w:rPr>
        <w:t>.,</w:t>
      </w:r>
      <w:proofErr w:type="gramEnd"/>
      <w:r w:rsidRPr="00631151">
        <w:rPr>
          <w:rFonts w:eastAsia="Times New Roman" w:cs="Times New Roman"/>
          <w:szCs w:val="24"/>
          <w:lang w:eastAsia="tr-TR"/>
        </w:rPr>
        <w:t xml:space="preserve"> Яндиев М.И. «Развитие «исламских» финансов в Российской Федерации: проблемы и перспективы». Журнал «Российское предпринимательство» № 2.- 2016</w:t>
      </w:r>
    </w:p>
    <w:p w:rsidR="009A6C38" w:rsidRPr="00631151" w:rsidRDefault="009A6C38" w:rsidP="009A6C38">
      <w:pPr>
        <w:spacing w:after="120"/>
        <w:contextualSpacing/>
        <w:jc w:val="both"/>
        <w:rPr>
          <w:rFonts w:eastAsia="Times New Roman" w:cs="Times New Roman"/>
          <w:szCs w:val="24"/>
          <w:lang w:eastAsia="tr-TR"/>
        </w:rPr>
      </w:pPr>
    </w:p>
    <w:p w:rsidR="009A6C38" w:rsidRPr="00E41F36" w:rsidRDefault="009A6C38" w:rsidP="009A6C38">
      <w:pPr>
        <w:autoSpaceDE w:val="0"/>
        <w:autoSpaceDN w:val="0"/>
        <w:adjustRightInd w:val="0"/>
        <w:ind w:firstLine="709"/>
        <w:jc w:val="both"/>
        <w:rPr>
          <w:iCs/>
          <w:szCs w:val="24"/>
          <w:lang w:val="en-US"/>
        </w:rPr>
      </w:pPr>
    </w:p>
    <w:p w:rsidR="009A6C38" w:rsidRDefault="009A6C38" w:rsidP="009A6C38">
      <w:pPr>
        <w:rPr>
          <w:iCs/>
          <w:szCs w:val="24"/>
          <w:lang w:val="en-US"/>
        </w:rPr>
      </w:pPr>
      <w:r>
        <w:rPr>
          <w:iCs/>
          <w:szCs w:val="24"/>
          <w:lang w:val="en-US"/>
        </w:rPr>
        <w:br w:type="page"/>
      </w:r>
    </w:p>
    <w:p w:rsidR="009A6C38" w:rsidRDefault="009A6C38"/>
    <w:p w:rsidR="009A6C38" w:rsidRDefault="009A6C38"/>
    <w:sectPr w:rsidR="009A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38" w:rsidRDefault="009A6C38" w:rsidP="009A6C38">
      <w:pPr>
        <w:spacing w:after="0" w:line="240" w:lineRule="auto"/>
      </w:pPr>
      <w:r>
        <w:separator/>
      </w:r>
    </w:p>
  </w:endnote>
  <w:endnote w:type="continuationSeparator" w:id="0">
    <w:p w:rsidR="009A6C38" w:rsidRDefault="009A6C38" w:rsidP="009A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38" w:rsidRDefault="009A6C38" w:rsidP="009A6C38">
      <w:pPr>
        <w:spacing w:after="0" w:line="240" w:lineRule="auto"/>
      </w:pPr>
      <w:r>
        <w:separator/>
      </w:r>
    </w:p>
  </w:footnote>
  <w:footnote w:type="continuationSeparator" w:id="0">
    <w:p w:rsidR="009A6C38" w:rsidRDefault="009A6C38" w:rsidP="009A6C38">
      <w:pPr>
        <w:spacing w:after="0" w:line="240" w:lineRule="auto"/>
      </w:pPr>
      <w:r>
        <w:continuationSeparator/>
      </w:r>
    </w:p>
  </w:footnote>
  <w:footnote w:id="1">
    <w:p w:rsidR="009A6C38" w:rsidRDefault="009A6C38" w:rsidP="009A6C38">
      <w:pPr>
        <w:pStyle w:val="NormalWeb"/>
        <w:spacing w:after="0"/>
        <w:contextualSpacing/>
        <w:jc w:val="both"/>
        <w:rPr>
          <w:color w:val="000000"/>
          <w:lang w:val="kk-KZ"/>
        </w:rPr>
      </w:pPr>
      <w:r>
        <w:rPr>
          <w:rStyle w:val="DipnotBavurusu"/>
        </w:rPr>
        <w:footnoteRef/>
      </w:r>
      <w:r>
        <w:t xml:space="preserve"> </w:t>
      </w:r>
      <w:r w:rsidRPr="005262B5">
        <w:rPr>
          <w:rStyle w:val="Gl"/>
          <w:rFonts w:eastAsia="Calibri"/>
          <w:bdr w:val="none" w:sz="0" w:space="0" w:color="auto" w:frame="1"/>
        </w:rPr>
        <w:t>Ниязбекова Ш</w:t>
      </w:r>
      <w:r w:rsidRPr="005262B5">
        <w:rPr>
          <w:rStyle w:val="Gl"/>
          <w:rFonts w:eastAsia="Calibri"/>
          <w:bdr w:val="none" w:sz="0" w:space="0" w:color="auto" w:frame="1"/>
          <w:lang w:val="kk-KZ"/>
        </w:rPr>
        <w:t>.</w:t>
      </w:r>
      <w:r w:rsidRPr="005262B5">
        <w:rPr>
          <w:rStyle w:val="Gl"/>
          <w:rFonts w:eastAsia="Calibri"/>
          <w:bdr w:val="none" w:sz="0" w:space="0" w:color="auto" w:frame="1"/>
        </w:rPr>
        <w:t>У</w:t>
      </w:r>
      <w:r w:rsidRPr="005262B5">
        <w:rPr>
          <w:rStyle w:val="Gl"/>
          <w:rFonts w:eastAsia="Calibri"/>
          <w:bdr w:val="none" w:sz="0" w:space="0" w:color="auto" w:frame="1"/>
          <w:lang w:val="kk-KZ"/>
        </w:rPr>
        <w:t xml:space="preserve"> </w:t>
      </w:r>
      <w:r w:rsidRPr="005262B5">
        <w:rPr>
          <w:color w:val="000000"/>
        </w:rPr>
        <w:t>доцента кафедры финансов и кредита</w:t>
      </w:r>
      <w:r>
        <w:rPr>
          <w:color w:val="000000"/>
          <w:lang w:val="kk-KZ"/>
        </w:rPr>
        <w:t xml:space="preserve"> </w:t>
      </w:r>
      <w:r w:rsidRPr="005262B5">
        <w:rPr>
          <w:color w:val="000000"/>
        </w:rPr>
        <w:t>ЧОУ ВО «Московский университет имени С.Ю.Витте»</w:t>
      </w:r>
      <w:r>
        <w:rPr>
          <w:color w:val="000000"/>
          <w:lang w:val="kk-KZ"/>
        </w:rPr>
        <w:t>,</w:t>
      </w:r>
      <w:r w:rsidRPr="009049A5">
        <w:t xml:space="preserve"> </w:t>
      </w:r>
      <w:hyperlink r:id="rId1" w:history="1">
        <w:r w:rsidRPr="00CC73E6">
          <w:rPr>
            <w:rStyle w:val="Kpr"/>
            <w:lang w:val="kk-KZ"/>
          </w:rPr>
          <w:t>shakizada.niyazbekova@gmail.com</w:t>
        </w:r>
      </w:hyperlink>
    </w:p>
    <w:p w:rsidR="009A6C38" w:rsidRPr="001D13C7" w:rsidRDefault="009A6C38" w:rsidP="009A6C38">
      <w:pPr>
        <w:pStyle w:val="NormalWeb"/>
        <w:spacing w:after="0"/>
        <w:contextualSpacing/>
        <w:jc w:val="both"/>
        <w:rPr>
          <w:rStyle w:val="Gl"/>
          <w:rFonts w:eastAsia="Calibri"/>
          <w:b w:val="0"/>
          <w:bdr w:val="none" w:sz="0" w:space="0" w:color="auto" w:frame="1"/>
          <w:lang w:val="kk-KZ"/>
        </w:rPr>
      </w:pPr>
      <w:r>
        <w:rPr>
          <w:rStyle w:val="Gl"/>
          <w:rFonts w:eastAsia="Calibri"/>
          <w:bdr w:val="none" w:sz="0" w:space="0" w:color="auto" w:frame="1"/>
          <w:vertAlign w:val="superscript"/>
          <w:lang w:val="kk-KZ"/>
        </w:rPr>
        <w:t xml:space="preserve">2 </w:t>
      </w:r>
      <w:r w:rsidRPr="009049A5">
        <w:rPr>
          <w:rStyle w:val="Gl"/>
          <w:rFonts w:eastAsia="Calibri"/>
          <w:bdr w:val="none" w:sz="0" w:space="0" w:color="auto" w:frame="1"/>
          <w:lang w:val="kk-KZ"/>
        </w:rPr>
        <w:t>Курманкулова Р.Ж</w:t>
      </w:r>
      <w:r>
        <w:rPr>
          <w:rStyle w:val="Gl"/>
          <w:rFonts w:eastAsia="Calibri"/>
          <w:bdr w:val="none" w:sz="0" w:space="0" w:color="auto" w:frame="1"/>
          <w:lang w:val="kk-KZ"/>
        </w:rPr>
        <w:t>. -</w:t>
      </w:r>
      <w:r w:rsidRPr="009049A5">
        <w:rPr>
          <w:rStyle w:val="Gl"/>
          <w:rFonts w:eastAsia="Calibri"/>
          <w:bdr w:val="none" w:sz="0" w:space="0" w:color="auto" w:frame="1"/>
          <w:lang w:val="kk-KZ"/>
        </w:rPr>
        <w:t xml:space="preserve"> </w:t>
      </w:r>
      <w:r>
        <w:rPr>
          <w:rStyle w:val="Gl"/>
          <w:rFonts w:eastAsia="Calibri"/>
          <w:bdr w:val="none" w:sz="0" w:space="0" w:color="auto" w:frame="1"/>
          <w:lang w:val="kk-KZ"/>
        </w:rPr>
        <w:t>к.э.н., доцент кафедры «Экономика и бизнес» Баишев университета</w:t>
      </w:r>
      <w:r>
        <w:t xml:space="preserve"> </w:t>
      </w:r>
      <w:hyperlink r:id="rId2">
        <w:r w:rsidRPr="001D13C7">
          <w:rPr>
            <w:color w:val="333399"/>
            <w:u w:val="single"/>
          </w:rPr>
          <w:t>k.roza1952@mail.ru</w:t>
        </w:r>
      </w:hyperlink>
    </w:p>
    <w:p w:rsidR="009A6C38" w:rsidRDefault="009A6C38" w:rsidP="009A6C38">
      <w:pPr>
        <w:pStyle w:val="NormalWeb"/>
        <w:spacing w:after="0"/>
        <w:contextualSpacing/>
        <w:jc w:val="both"/>
        <w:rPr>
          <w:rStyle w:val="Gl"/>
          <w:rFonts w:eastAsia="Calibri"/>
          <w:b w:val="0"/>
          <w:bdr w:val="none" w:sz="0" w:space="0" w:color="auto" w:frame="1"/>
          <w:lang w:val="kk-KZ"/>
        </w:rPr>
      </w:pPr>
      <w:r>
        <w:rPr>
          <w:rStyle w:val="Gl"/>
          <w:rFonts w:eastAsia="Calibri"/>
          <w:bdr w:val="none" w:sz="0" w:space="0" w:color="auto" w:frame="1"/>
          <w:vertAlign w:val="superscript"/>
          <w:lang w:val="kk-KZ"/>
        </w:rPr>
        <w:t xml:space="preserve">3 </w:t>
      </w:r>
      <w:r w:rsidRPr="009049A5">
        <w:rPr>
          <w:rStyle w:val="Gl"/>
          <w:rFonts w:eastAsia="Calibri"/>
          <w:bdr w:val="none" w:sz="0" w:space="0" w:color="auto" w:frame="1"/>
          <w:lang w:val="kk-KZ"/>
        </w:rPr>
        <w:t>Мусиров Г</w:t>
      </w:r>
      <w:r>
        <w:rPr>
          <w:rStyle w:val="Gl"/>
          <w:rFonts w:eastAsia="Calibri"/>
          <w:bdr w:val="none" w:sz="0" w:space="0" w:color="auto" w:frame="1"/>
          <w:lang w:val="kk-KZ"/>
        </w:rPr>
        <w:t>.</w:t>
      </w:r>
      <w:r w:rsidRPr="009049A5">
        <w:rPr>
          <w:rStyle w:val="Gl"/>
          <w:rFonts w:eastAsia="Calibri"/>
          <w:bdr w:val="none" w:sz="0" w:space="0" w:color="auto" w:frame="1"/>
          <w:lang w:val="kk-KZ"/>
        </w:rPr>
        <w:t xml:space="preserve"> </w:t>
      </w:r>
      <w:r>
        <w:rPr>
          <w:rStyle w:val="Gl"/>
          <w:rFonts w:eastAsia="Calibri"/>
          <w:bdr w:val="none" w:sz="0" w:space="0" w:color="auto" w:frame="1"/>
          <w:lang w:val="kk-KZ"/>
        </w:rPr>
        <w:t>-</w:t>
      </w:r>
      <w:r w:rsidRPr="009049A5">
        <w:rPr>
          <w:rStyle w:val="Gl"/>
          <w:rFonts w:eastAsia="Calibri"/>
          <w:bdr w:val="none" w:sz="0" w:space="0" w:color="auto" w:frame="1"/>
          <w:lang w:val="kk-KZ"/>
        </w:rPr>
        <w:t xml:space="preserve"> </w:t>
      </w:r>
      <w:r>
        <w:rPr>
          <w:rStyle w:val="Gl"/>
          <w:rFonts w:eastAsia="Calibri"/>
          <w:bdr w:val="none" w:sz="0" w:space="0" w:color="auto" w:frame="1"/>
          <w:lang w:val="kk-KZ"/>
        </w:rPr>
        <w:t>к.э.н.,доцент кафедры «Экономика и бизнес» Баишев университета,</w:t>
      </w:r>
      <w:r>
        <w:t xml:space="preserve"> </w:t>
      </w:r>
      <w:hyperlink r:id="rId3" w:history="1">
        <w:r w:rsidRPr="00CC73E6">
          <w:rPr>
            <w:rStyle w:val="Kpr"/>
            <w:rFonts w:eastAsia="Calibri"/>
            <w:bdr w:val="none" w:sz="0" w:space="0" w:color="auto" w:frame="1"/>
            <w:lang w:val="kk-KZ"/>
          </w:rPr>
          <w:t>mysirov@mail.ru</w:t>
        </w:r>
      </w:hyperlink>
    </w:p>
    <w:p w:rsidR="009A6C38" w:rsidRPr="005262B5" w:rsidRDefault="009A6C38" w:rsidP="009A6C38">
      <w:pPr>
        <w:pStyle w:val="NormalWeb"/>
        <w:spacing w:after="0"/>
        <w:contextualSpacing/>
        <w:jc w:val="both"/>
        <w:rPr>
          <w:color w:val="000000"/>
          <w:vertAlign w:val="superscript"/>
          <w:lang w:val="kk-KZ"/>
        </w:rPr>
      </w:pPr>
    </w:p>
    <w:p w:rsidR="009A6C38" w:rsidRPr="005262B5" w:rsidRDefault="009A6C38" w:rsidP="009A6C38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69E5"/>
    <w:multiLevelType w:val="hybridMultilevel"/>
    <w:tmpl w:val="8E64FFA2"/>
    <w:lvl w:ilvl="0" w:tplc="961C1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E65613"/>
    <w:multiLevelType w:val="hybridMultilevel"/>
    <w:tmpl w:val="B8A08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38"/>
    <w:rsid w:val="009A6C38"/>
    <w:rsid w:val="00A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9BCE"/>
  <w15:chartTrackingRefBased/>
  <w15:docId w15:val="{40D39A31-015D-427D-9BA7-07477ADC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A6C3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DipnotMetni">
    <w:name w:val="footnote text"/>
    <w:basedOn w:val="Normal"/>
    <w:link w:val="DipnotMetniChar"/>
    <w:unhideWhenUsed/>
    <w:rsid w:val="009A6C38"/>
    <w:pPr>
      <w:spacing w:after="0" w:line="240" w:lineRule="auto"/>
      <w:ind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9A6C38"/>
    <w:rPr>
      <w:rFonts w:eastAsia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9A6C3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A6C38"/>
    <w:rPr>
      <w:color w:val="0563C1" w:themeColor="hyperlink"/>
      <w:u w:val="single"/>
    </w:rPr>
  </w:style>
  <w:style w:type="character" w:styleId="Gl">
    <w:name w:val="Strong"/>
    <w:uiPriority w:val="22"/>
    <w:qFormat/>
    <w:rsid w:val="009A6C38"/>
    <w:rPr>
      <w:b/>
      <w:bCs/>
    </w:rPr>
  </w:style>
  <w:style w:type="paragraph" w:styleId="GvdeMetni">
    <w:name w:val="Body Text"/>
    <w:basedOn w:val="Normal"/>
    <w:link w:val="GvdeMetniChar"/>
    <w:qFormat/>
    <w:rsid w:val="009A6C38"/>
    <w:pPr>
      <w:spacing w:after="12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customStyle="1" w:styleId="GvdeMetniChar">
    <w:name w:val="Gövde Metni Char"/>
    <w:basedOn w:val="VarsaylanParagrafYazTipi"/>
    <w:link w:val="GvdeMetni"/>
    <w:rsid w:val="009A6C38"/>
    <w:rPr>
      <w:rFonts w:ascii="Calibri" w:eastAsia="Times New Roman" w:hAnsi="Calibri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Layout" Target="diagrams/layout1.xml"/><Relationship Id="rId18" Type="http://schemas.openxmlformats.org/officeDocument/2006/relationships/hyperlink" Target="http://nabrk.kz/ecatalogue?search=%D0%BE%D1%81%D0%BD%D0%BE%D0%B2%D1%8B+%D0%B8%D1%81%D0%BB%D0%B0%D0%BC%D1%81%D0%BA%D0%B8%D1%85+%D1%84%D0%B8%D0%BD%D0%B0%D0%BD%D1%81%D0%BE%D0%B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thicalfinancehub.org/wp-content/uploads/2017/12/Global-trends-in-Islamic-finance-and-the-UK-market-2017.pdf" TargetMode="External"/><Relationship Id="rId7" Type="http://schemas.openxmlformats.org/officeDocument/2006/relationships/image" Target="media/image1.png"/><Relationship Id="rId12" Type="http://schemas.openxmlformats.org/officeDocument/2006/relationships/diagramData" Target="diagrams/data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hyperlink" Target="https://gulfnews.com/business/sectors/banking/islamic-banks-asset-quality-remains-weaker-1.22169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chinagoabroad.com/en/article/uae-islamic-banks-outperforming-conventional-peers-despite-slower-grow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QuickStyle" Target="diagrams/quickStyle1.xml"/><Relationship Id="rId22" Type="http://schemas.openxmlformats.org/officeDocument/2006/relationships/hyperlink" Target="http://www.imam.ru/news/aktivy-islamskix-bankov-dinamichno-rastut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ysirov@mail.ru" TargetMode="External"/><Relationship Id="rId2" Type="http://schemas.openxmlformats.org/officeDocument/2006/relationships/hyperlink" Target="mailto:k.roza1952@mail.ru" TargetMode="External"/><Relationship Id="rId1" Type="http://schemas.openxmlformats.org/officeDocument/2006/relationships/hyperlink" Target="mailto:shakizada.niyazbekova@gmai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70F324-91A2-4821-A9DD-D4BCB0C79188}" type="doc">
      <dgm:prSet loTypeId="urn:microsoft.com/office/officeart/2005/8/layout/hierarchy1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66AFFC7C-D289-4028-B8E4-D6D079C35F13}">
      <dgm:prSet phldrT="[Текст]" custT="1"/>
      <dgm:spPr>
        <a:xfrm>
          <a:off x="962100" y="287248"/>
          <a:ext cx="4075659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Доля  по отношению к активам традиционных банков</a:t>
          </a:r>
        </a:p>
      </dgm:t>
    </dgm:pt>
    <dgm:pt modelId="{BF9FF195-08DF-47C4-8F39-CAC85F5F5C9E}" type="parTrans" cxnId="{816F1531-294F-4790-BB50-3B2DB1BC8095}">
      <dgm:prSet/>
      <dgm:spPr/>
      <dgm:t>
        <a:bodyPr/>
        <a:lstStyle/>
        <a:p>
          <a:endParaRPr lang="ru-RU"/>
        </a:p>
      </dgm:t>
    </dgm:pt>
    <dgm:pt modelId="{70E9A278-A36C-4160-921D-5FA69F06D2BC}" type="sibTrans" cxnId="{816F1531-294F-4790-BB50-3B2DB1BC8095}">
      <dgm:prSet/>
      <dgm:spPr/>
      <dgm:t>
        <a:bodyPr/>
        <a:lstStyle/>
        <a:p>
          <a:endParaRPr lang="ru-RU"/>
        </a:p>
      </dgm:t>
    </dgm:pt>
    <dgm:pt modelId="{36AFD777-4BA8-4E75-8B57-37F513023A9B}">
      <dgm:prSet phldrT="[Текст]" custT="1"/>
      <dgm:spPr>
        <a:xfrm>
          <a:off x="1635589" y="14497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Катар - 26,1</a:t>
          </a:r>
          <a:endParaRPr lang="ru-RU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15F707D-A0BE-4D98-9EA4-67F8B0F9FE60}" type="parTrans" cxnId="{53A66D5F-0B7E-4E65-81A4-A62384EA6DB5}">
      <dgm:prSet/>
      <dgm:spPr>
        <a:xfrm>
          <a:off x="2119087" y="945496"/>
          <a:ext cx="742699" cy="372979"/>
        </a:xfrm>
        <a:custGeom>
          <a:avLst/>
          <a:gdLst/>
          <a:ahLst/>
          <a:cxnLst/>
          <a:rect l="0" t="0" r="0" b="0"/>
          <a:pathLst>
            <a:path>
              <a:moveTo>
                <a:pt x="742699" y="0"/>
              </a:moveTo>
              <a:lnTo>
                <a:pt x="742699" y="257803"/>
              </a:lnTo>
              <a:lnTo>
                <a:pt x="0" y="257803"/>
              </a:lnTo>
              <a:lnTo>
                <a:pt x="0" y="3729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EB49DFA-37A8-4DF2-90BB-BD8DA2C7A2DE}" type="sibTrans" cxnId="{53A66D5F-0B7E-4E65-81A4-A62384EA6DB5}">
      <dgm:prSet/>
      <dgm:spPr/>
      <dgm:t>
        <a:bodyPr/>
        <a:lstStyle/>
        <a:p>
          <a:endParaRPr lang="ru-RU"/>
        </a:p>
      </dgm:t>
    </dgm:pt>
    <dgm:pt modelId="{0A94C501-4E8E-43C5-B46C-AF7394B2B808}">
      <dgm:prSet custT="1"/>
      <dgm:spPr>
        <a:xfrm>
          <a:off x="139883" y="14656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Кувейт - 38,9 </a:t>
          </a:r>
          <a:endParaRPr lang="ru-RU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A271459-4D0F-4730-8FC6-ADF7DCF7BE6D}" type="parTrans" cxnId="{4C1FC72F-CE2C-4B31-9D15-EDB78AFFA0CA}">
      <dgm:prSet/>
      <dgm:spPr>
        <a:xfrm>
          <a:off x="623381" y="945496"/>
          <a:ext cx="2238406" cy="388879"/>
        </a:xfrm>
        <a:custGeom>
          <a:avLst/>
          <a:gdLst/>
          <a:ahLst/>
          <a:cxnLst/>
          <a:rect l="0" t="0" r="0" b="0"/>
          <a:pathLst>
            <a:path>
              <a:moveTo>
                <a:pt x="2238406" y="0"/>
              </a:moveTo>
              <a:lnTo>
                <a:pt x="2238406" y="273703"/>
              </a:lnTo>
              <a:lnTo>
                <a:pt x="0" y="273703"/>
              </a:lnTo>
              <a:lnTo>
                <a:pt x="0" y="3888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7A43C95-D9EF-4C48-99ED-C586EA652AF4}" type="sibTrans" cxnId="{4C1FC72F-CE2C-4B31-9D15-EDB78AFFA0CA}">
      <dgm:prSet/>
      <dgm:spPr/>
      <dgm:t>
        <a:bodyPr/>
        <a:lstStyle/>
        <a:p>
          <a:endParaRPr lang="ru-RU"/>
        </a:p>
      </dgm:t>
    </dgm:pt>
    <dgm:pt modelId="{F1C20C8A-9888-4584-8D89-CB1BDAA8B5D1}">
      <dgm:prSet custT="1"/>
      <dgm:spPr>
        <a:xfrm>
          <a:off x="4698578" y="14656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Малайзия</a:t>
          </a:r>
          <a:r>
            <a:rPr lang="en-US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- 23 </a:t>
          </a:r>
          <a:endParaRPr lang="ru-RU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6812C49-9D01-4088-9FAA-4E3F45ED5EAC}" type="parTrans" cxnId="{079E9854-5AC1-49CB-890C-7250BCE0F927}">
      <dgm:prSet/>
      <dgm:spPr>
        <a:xfrm>
          <a:off x="2861787" y="945496"/>
          <a:ext cx="2320288" cy="38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703"/>
              </a:lnTo>
              <a:lnTo>
                <a:pt x="2320288" y="273703"/>
              </a:lnTo>
              <a:lnTo>
                <a:pt x="2320288" y="3888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DD3EEBA4-B86E-41DB-B086-A42E7F2084C7}" type="sibTrans" cxnId="{079E9854-5AC1-49CB-890C-7250BCE0F927}">
      <dgm:prSet/>
      <dgm:spPr/>
      <dgm:t>
        <a:bodyPr/>
        <a:lstStyle/>
        <a:p>
          <a:endParaRPr lang="ru-RU"/>
        </a:p>
      </dgm:t>
    </dgm:pt>
    <dgm:pt modelId="{EE55F21F-AC0E-4A16-ADA9-9E509B6263BB}">
      <dgm:prSet custT="1"/>
      <dgm:spPr>
        <a:xfrm>
          <a:off x="3179013" y="14656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Йемен - 33</a:t>
          </a:r>
          <a:endParaRPr lang="ru-RU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F43401-839D-4026-A081-2D172B6AC4C3}" type="parTrans" cxnId="{E9C77DCA-4142-41E2-B640-D1586D9CA16D}">
      <dgm:prSet/>
      <dgm:spPr>
        <a:xfrm>
          <a:off x="2861787" y="945496"/>
          <a:ext cx="800723" cy="38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703"/>
              </a:lnTo>
              <a:lnTo>
                <a:pt x="800723" y="273703"/>
              </a:lnTo>
              <a:lnTo>
                <a:pt x="800723" y="3888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A09FB34-216F-41FA-B9AA-5C283CC551A3}" type="sibTrans" cxnId="{E9C77DCA-4142-41E2-B640-D1586D9CA16D}">
      <dgm:prSet/>
      <dgm:spPr/>
      <dgm:t>
        <a:bodyPr/>
        <a:lstStyle/>
        <a:p>
          <a:endParaRPr lang="ru-RU"/>
        </a:p>
      </dgm:t>
    </dgm:pt>
    <dgm:pt modelId="{E109DE7D-6A62-4EFE-A95C-8922C4251A53}" type="pres">
      <dgm:prSet presAssocID="{BC70F324-91A2-4821-A9DD-D4BCB0C7918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08F9D16-C82E-4F0D-BBB5-5FA99C24CEC6}" type="pres">
      <dgm:prSet presAssocID="{66AFFC7C-D289-4028-B8E4-D6D079C35F13}" presName="hierRoot1" presStyleCnt="0"/>
      <dgm:spPr/>
    </dgm:pt>
    <dgm:pt modelId="{9E66CFF7-7E9F-439E-9ACB-E238FD208966}" type="pres">
      <dgm:prSet presAssocID="{66AFFC7C-D289-4028-B8E4-D6D079C35F13}" presName="composite" presStyleCnt="0"/>
      <dgm:spPr/>
    </dgm:pt>
    <dgm:pt modelId="{7497C59A-B173-4FF8-95B7-E148891C13DF}" type="pres">
      <dgm:prSet presAssocID="{66AFFC7C-D289-4028-B8E4-D6D079C35F13}" presName="background" presStyleLbl="node0" presStyleIdx="0" presStyleCnt="1"/>
      <dgm:spPr>
        <a:xfrm>
          <a:off x="823957" y="156013"/>
          <a:ext cx="4075659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80212830-4152-4C5B-A2E3-03C883126257}" type="pres">
      <dgm:prSet presAssocID="{66AFFC7C-D289-4028-B8E4-D6D079C35F13}" presName="text" presStyleLbl="fgAcc0" presStyleIdx="0" presStyleCnt="1" custScaleX="327815" custLinFactNeighborX="-3293" custLinFactNeighborY="-34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53298D-0AFE-4A57-8B8D-7F075E47EF61}" type="pres">
      <dgm:prSet presAssocID="{66AFFC7C-D289-4028-B8E4-D6D079C35F13}" presName="hierChild2" presStyleCnt="0"/>
      <dgm:spPr/>
    </dgm:pt>
    <dgm:pt modelId="{C5F9E5AE-1AEC-4302-8AFF-6ADC8AAB0090}" type="pres">
      <dgm:prSet presAssocID="{7A271459-4D0F-4730-8FC6-ADF7DCF7BE6D}" presName="Name10" presStyleLbl="parChTrans1D2" presStyleIdx="0" presStyleCnt="4"/>
      <dgm:spPr/>
      <dgm:t>
        <a:bodyPr/>
        <a:lstStyle/>
        <a:p>
          <a:endParaRPr lang="ru-RU"/>
        </a:p>
      </dgm:t>
    </dgm:pt>
    <dgm:pt modelId="{82129EB1-95CF-439F-B203-195616F40172}" type="pres">
      <dgm:prSet presAssocID="{0A94C501-4E8E-43C5-B46C-AF7394B2B808}" presName="hierRoot2" presStyleCnt="0"/>
      <dgm:spPr/>
    </dgm:pt>
    <dgm:pt modelId="{0550B196-F75B-46A0-819F-9C1601E2AD82}" type="pres">
      <dgm:prSet presAssocID="{0A94C501-4E8E-43C5-B46C-AF7394B2B808}" presName="composite2" presStyleCnt="0"/>
      <dgm:spPr/>
    </dgm:pt>
    <dgm:pt modelId="{C0BA7360-1512-4662-8910-0BBCD2549164}" type="pres">
      <dgm:prSet presAssocID="{0A94C501-4E8E-43C5-B46C-AF7394B2B808}" presName="background2" presStyleLbl="node2" presStyleIdx="0" presStyleCnt="4"/>
      <dgm:spPr>
        <a:xfrm>
          <a:off x="1741" y="1334376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D5503F40-091D-4691-868C-EA19314C01AA}" type="pres">
      <dgm:prSet presAssocID="{0A94C501-4E8E-43C5-B46C-AF7394B2B808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39BF01-0BC6-4E69-AA91-46CE7F447D42}" type="pres">
      <dgm:prSet presAssocID="{0A94C501-4E8E-43C5-B46C-AF7394B2B808}" presName="hierChild3" presStyleCnt="0"/>
      <dgm:spPr/>
    </dgm:pt>
    <dgm:pt modelId="{7D3093F8-32E9-4DD0-884E-524F5F0DCA71}" type="pres">
      <dgm:prSet presAssocID="{315F707D-A0BE-4D98-9EA4-67F8B0F9FE60}" presName="Name10" presStyleLbl="parChTrans1D2" presStyleIdx="1" presStyleCnt="4"/>
      <dgm:spPr/>
      <dgm:t>
        <a:bodyPr/>
        <a:lstStyle/>
        <a:p>
          <a:endParaRPr lang="ru-RU"/>
        </a:p>
      </dgm:t>
    </dgm:pt>
    <dgm:pt modelId="{4822B991-1FAF-42A7-9D2B-FA6E023719A5}" type="pres">
      <dgm:prSet presAssocID="{36AFD777-4BA8-4E75-8B57-37F513023A9B}" presName="hierRoot2" presStyleCnt="0"/>
      <dgm:spPr/>
    </dgm:pt>
    <dgm:pt modelId="{E5D3CBBF-2C09-45BA-BFFD-F3D8E4BC8C41}" type="pres">
      <dgm:prSet presAssocID="{36AFD777-4BA8-4E75-8B57-37F513023A9B}" presName="composite2" presStyleCnt="0"/>
      <dgm:spPr/>
    </dgm:pt>
    <dgm:pt modelId="{4790D908-0E7A-4630-A5B8-B833D40D5B8B}" type="pres">
      <dgm:prSet presAssocID="{36AFD777-4BA8-4E75-8B57-37F513023A9B}" presName="background2" presStyleLbl="node2" presStyleIdx="1" presStyleCnt="4"/>
      <dgm:spPr>
        <a:xfrm>
          <a:off x="1497447" y="1318475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D14251F0-9F32-4758-B173-7ACFBBCCF6AC}" type="pres">
      <dgm:prSet presAssocID="{36AFD777-4BA8-4E75-8B57-37F513023A9B}" presName="text2" presStyleLbl="fgAcc2" presStyleIdx="1" presStyleCnt="4" custLinFactNeighborX="-1919" custLinFactNeighborY="-20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877C70-9871-4334-B1F1-D5B78D224503}" type="pres">
      <dgm:prSet presAssocID="{36AFD777-4BA8-4E75-8B57-37F513023A9B}" presName="hierChild3" presStyleCnt="0"/>
      <dgm:spPr/>
    </dgm:pt>
    <dgm:pt modelId="{77CE8721-A567-4757-BBDC-FD8BDB5FC032}" type="pres">
      <dgm:prSet presAssocID="{43F43401-839D-4026-A081-2D172B6AC4C3}" presName="Name10" presStyleLbl="parChTrans1D2" presStyleIdx="2" presStyleCnt="4"/>
      <dgm:spPr/>
      <dgm:t>
        <a:bodyPr/>
        <a:lstStyle/>
        <a:p>
          <a:endParaRPr lang="ru-RU"/>
        </a:p>
      </dgm:t>
    </dgm:pt>
    <dgm:pt modelId="{8BFF0CB8-9BB6-4A98-8C58-911D0B12AD89}" type="pres">
      <dgm:prSet presAssocID="{EE55F21F-AC0E-4A16-ADA9-9E509B6263BB}" presName="hierRoot2" presStyleCnt="0"/>
      <dgm:spPr/>
    </dgm:pt>
    <dgm:pt modelId="{BE975EAC-6659-47A4-BEBD-11062AD1D68F}" type="pres">
      <dgm:prSet presAssocID="{EE55F21F-AC0E-4A16-ADA9-9E509B6263BB}" presName="composite2" presStyleCnt="0"/>
      <dgm:spPr/>
    </dgm:pt>
    <dgm:pt modelId="{F8B2CE98-0C8F-435C-9B66-F3B9D2A9C936}" type="pres">
      <dgm:prSet presAssocID="{EE55F21F-AC0E-4A16-ADA9-9E509B6263BB}" presName="background2" presStyleLbl="node2" presStyleIdx="2" presStyleCnt="4"/>
      <dgm:spPr>
        <a:xfrm>
          <a:off x="3040871" y="1334376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90AEB4C4-9D31-4A26-9F52-7E38893FB249}" type="pres">
      <dgm:prSet presAssocID="{EE55F21F-AC0E-4A16-ADA9-9E509B6263B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CC6F8F-19E3-4B46-9451-5A87F3637A11}" type="pres">
      <dgm:prSet presAssocID="{EE55F21F-AC0E-4A16-ADA9-9E509B6263BB}" presName="hierChild3" presStyleCnt="0"/>
      <dgm:spPr/>
    </dgm:pt>
    <dgm:pt modelId="{D16A4DA8-A8CF-45C6-883E-FE0309A0CC9C}" type="pres">
      <dgm:prSet presAssocID="{66812C49-9D01-4088-9FAA-4E3F45ED5EAC}" presName="Name10" presStyleLbl="parChTrans1D2" presStyleIdx="3" presStyleCnt="4"/>
      <dgm:spPr/>
      <dgm:t>
        <a:bodyPr/>
        <a:lstStyle/>
        <a:p>
          <a:endParaRPr lang="ru-RU"/>
        </a:p>
      </dgm:t>
    </dgm:pt>
    <dgm:pt modelId="{F7855000-0F35-4DD4-83E7-C24FA23A4F2E}" type="pres">
      <dgm:prSet presAssocID="{F1C20C8A-9888-4584-8D89-CB1BDAA8B5D1}" presName="hierRoot2" presStyleCnt="0"/>
      <dgm:spPr/>
    </dgm:pt>
    <dgm:pt modelId="{5DCAD328-8D52-49AA-8DD1-FF2446388E0C}" type="pres">
      <dgm:prSet presAssocID="{F1C20C8A-9888-4584-8D89-CB1BDAA8B5D1}" presName="composite2" presStyleCnt="0"/>
      <dgm:spPr/>
    </dgm:pt>
    <dgm:pt modelId="{BA12FA22-B012-44C8-B6CD-B5C689672AA2}" type="pres">
      <dgm:prSet presAssocID="{F1C20C8A-9888-4584-8D89-CB1BDAA8B5D1}" presName="background2" presStyleLbl="node2" presStyleIdx="3" presStyleCnt="4"/>
      <dgm:spPr>
        <a:xfrm>
          <a:off x="4560436" y="1334376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22513A16-87C4-466D-BF26-10C2FBFB0F53}" type="pres">
      <dgm:prSet presAssocID="{F1C20C8A-9888-4584-8D89-CB1BDAA8B5D1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F86674-C408-4492-AE07-049DE08A42E1}" type="pres">
      <dgm:prSet presAssocID="{F1C20C8A-9888-4584-8D89-CB1BDAA8B5D1}" presName="hierChild3" presStyleCnt="0"/>
      <dgm:spPr/>
    </dgm:pt>
  </dgm:ptLst>
  <dgm:cxnLst>
    <dgm:cxn modelId="{E9C77DCA-4142-41E2-B640-D1586D9CA16D}" srcId="{66AFFC7C-D289-4028-B8E4-D6D079C35F13}" destId="{EE55F21F-AC0E-4A16-ADA9-9E509B6263BB}" srcOrd="2" destOrd="0" parTransId="{43F43401-839D-4026-A081-2D172B6AC4C3}" sibTransId="{BA09FB34-216F-41FA-B9AA-5C283CC551A3}"/>
    <dgm:cxn modelId="{CAF6F028-2881-4CE2-8959-5CE300477771}" type="presOf" srcId="{36AFD777-4BA8-4E75-8B57-37F513023A9B}" destId="{D14251F0-9F32-4758-B173-7ACFBBCCF6AC}" srcOrd="0" destOrd="0" presId="urn:microsoft.com/office/officeart/2005/8/layout/hierarchy1"/>
    <dgm:cxn modelId="{53A66D5F-0B7E-4E65-81A4-A62384EA6DB5}" srcId="{66AFFC7C-D289-4028-B8E4-D6D079C35F13}" destId="{36AFD777-4BA8-4E75-8B57-37F513023A9B}" srcOrd="1" destOrd="0" parTransId="{315F707D-A0BE-4D98-9EA4-67F8B0F9FE60}" sibTransId="{9EB49DFA-37A8-4DF2-90BB-BD8DA2C7A2DE}"/>
    <dgm:cxn modelId="{56F9F006-3091-4D11-A59B-1764C949C08C}" type="presOf" srcId="{BC70F324-91A2-4821-A9DD-D4BCB0C79188}" destId="{E109DE7D-6A62-4EFE-A95C-8922C4251A53}" srcOrd="0" destOrd="0" presId="urn:microsoft.com/office/officeart/2005/8/layout/hierarchy1"/>
    <dgm:cxn modelId="{F9B2F8EC-2F07-43DD-A969-25710CC8BB52}" type="presOf" srcId="{7A271459-4D0F-4730-8FC6-ADF7DCF7BE6D}" destId="{C5F9E5AE-1AEC-4302-8AFF-6ADC8AAB0090}" srcOrd="0" destOrd="0" presId="urn:microsoft.com/office/officeart/2005/8/layout/hierarchy1"/>
    <dgm:cxn modelId="{3D3C616B-48FD-4272-B43B-59291BA0C71C}" type="presOf" srcId="{0A94C501-4E8E-43C5-B46C-AF7394B2B808}" destId="{D5503F40-091D-4691-868C-EA19314C01AA}" srcOrd="0" destOrd="0" presId="urn:microsoft.com/office/officeart/2005/8/layout/hierarchy1"/>
    <dgm:cxn modelId="{079E9854-5AC1-49CB-890C-7250BCE0F927}" srcId="{66AFFC7C-D289-4028-B8E4-D6D079C35F13}" destId="{F1C20C8A-9888-4584-8D89-CB1BDAA8B5D1}" srcOrd="3" destOrd="0" parTransId="{66812C49-9D01-4088-9FAA-4E3F45ED5EAC}" sibTransId="{DD3EEBA4-B86E-41DB-B086-A42E7F2084C7}"/>
    <dgm:cxn modelId="{9A7EBB59-298B-4180-A172-987E0B96323C}" type="presOf" srcId="{66812C49-9D01-4088-9FAA-4E3F45ED5EAC}" destId="{D16A4DA8-A8CF-45C6-883E-FE0309A0CC9C}" srcOrd="0" destOrd="0" presId="urn:microsoft.com/office/officeart/2005/8/layout/hierarchy1"/>
    <dgm:cxn modelId="{497227E2-9A0A-4AEC-A566-DD2DCF7812FD}" type="presOf" srcId="{F1C20C8A-9888-4584-8D89-CB1BDAA8B5D1}" destId="{22513A16-87C4-466D-BF26-10C2FBFB0F53}" srcOrd="0" destOrd="0" presId="urn:microsoft.com/office/officeart/2005/8/layout/hierarchy1"/>
    <dgm:cxn modelId="{816F1531-294F-4790-BB50-3B2DB1BC8095}" srcId="{BC70F324-91A2-4821-A9DD-D4BCB0C79188}" destId="{66AFFC7C-D289-4028-B8E4-D6D079C35F13}" srcOrd="0" destOrd="0" parTransId="{BF9FF195-08DF-47C4-8F39-CAC85F5F5C9E}" sibTransId="{70E9A278-A36C-4160-921D-5FA69F06D2BC}"/>
    <dgm:cxn modelId="{041A8809-7AA6-497A-85F3-BCC8B7E93144}" type="presOf" srcId="{315F707D-A0BE-4D98-9EA4-67F8B0F9FE60}" destId="{7D3093F8-32E9-4DD0-884E-524F5F0DCA71}" srcOrd="0" destOrd="0" presId="urn:microsoft.com/office/officeart/2005/8/layout/hierarchy1"/>
    <dgm:cxn modelId="{4C1FC72F-CE2C-4B31-9D15-EDB78AFFA0CA}" srcId="{66AFFC7C-D289-4028-B8E4-D6D079C35F13}" destId="{0A94C501-4E8E-43C5-B46C-AF7394B2B808}" srcOrd="0" destOrd="0" parTransId="{7A271459-4D0F-4730-8FC6-ADF7DCF7BE6D}" sibTransId="{C7A43C95-D9EF-4C48-99ED-C586EA652AF4}"/>
    <dgm:cxn modelId="{EAAFDD0A-5499-4A68-A7EF-6A55A4B2B591}" type="presOf" srcId="{66AFFC7C-D289-4028-B8E4-D6D079C35F13}" destId="{80212830-4152-4C5B-A2E3-03C883126257}" srcOrd="0" destOrd="0" presId="urn:microsoft.com/office/officeart/2005/8/layout/hierarchy1"/>
    <dgm:cxn modelId="{B80F7689-1D4B-4326-9147-F70F54BD368C}" type="presOf" srcId="{43F43401-839D-4026-A081-2D172B6AC4C3}" destId="{77CE8721-A567-4757-BBDC-FD8BDB5FC032}" srcOrd="0" destOrd="0" presId="urn:microsoft.com/office/officeart/2005/8/layout/hierarchy1"/>
    <dgm:cxn modelId="{2986048F-F682-4362-B1DD-FEFE8AAA7137}" type="presOf" srcId="{EE55F21F-AC0E-4A16-ADA9-9E509B6263BB}" destId="{90AEB4C4-9D31-4A26-9F52-7E38893FB249}" srcOrd="0" destOrd="0" presId="urn:microsoft.com/office/officeart/2005/8/layout/hierarchy1"/>
    <dgm:cxn modelId="{EA33F69A-6644-4651-A984-C888DCEC1F29}" type="presParOf" srcId="{E109DE7D-6A62-4EFE-A95C-8922C4251A53}" destId="{F08F9D16-C82E-4F0D-BBB5-5FA99C24CEC6}" srcOrd="0" destOrd="0" presId="urn:microsoft.com/office/officeart/2005/8/layout/hierarchy1"/>
    <dgm:cxn modelId="{50D004B6-7A13-4CCD-8B54-1BDC8B41665E}" type="presParOf" srcId="{F08F9D16-C82E-4F0D-BBB5-5FA99C24CEC6}" destId="{9E66CFF7-7E9F-439E-9ACB-E238FD208966}" srcOrd="0" destOrd="0" presId="urn:microsoft.com/office/officeart/2005/8/layout/hierarchy1"/>
    <dgm:cxn modelId="{E236BEB8-13D1-4A07-AA4D-23FF5611F03C}" type="presParOf" srcId="{9E66CFF7-7E9F-439E-9ACB-E238FD208966}" destId="{7497C59A-B173-4FF8-95B7-E148891C13DF}" srcOrd="0" destOrd="0" presId="urn:microsoft.com/office/officeart/2005/8/layout/hierarchy1"/>
    <dgm:cxn modelId="{B686C897-B98E-4366-ABC8-A740B01B4957}" type="presParOf" srcId="{9E66CFF7-7E9F-439E-9ACB-E238FD208966}" destId="{80212830-4152-4C5B-A2E3-03C883126257}" srcOrd="1" destOrd="0" presId="urn:microsoft.com/office/officeart/2005/8/layout/hierarchy1"/>
    <dgm:cxn modelId="{58C26894-65FD-46E5-8865-7F8215A863E0}" type="presParOf" srcId="{F08F9D16-C82E-4F0D-BBB5-5FA99C24CEC6}" destId="{4E53298D-0AFE-4A57-8B8D-7F075E47EF61}" srcOrd="1" destOrd="0" presId="urn:microsoft.com/office/officeart/2005/8/layout/hierarchy1"/>
    <dgm:cxn modelId="{F1423854-F486-4F9E-9381-7FB4B4C0DE2F}" type="presParOf" srcId="{4E53298D-0AFE-4A57-8B8D-7F075E47EF61}" destId="{C5F9E5AE-1AEC-4302-8AFF-6ADC8AAB0090}" srcOrd="0" destOrd="0" presId="urn:microsoft.com/office/officeart/2005/8/layout/hierarchy1"/>
    <dgm:cxn modelId="{74377496-DAAD-4B51-BCE8-3B032F149584}" type="presParOf" srcId="{4E53298D-0AFE-4A57-8B8D-7F075E47EF61}" destId="{82129EB1-95CF-439F-B203-195616F40172}" srcOrd="1" destOrd="0" presId="urn:microsoft.com/office/officeart/2005/8/layout/hierarchy1"/>
    <dgm:cxn modelId="{805C1D56-A923-4CBB-88D5-49594C33E17F}" type="presParOf" srcId="{82129EB1-95CF-439F-B203-195616F40172}" destId="{0550B196-F75B-46A0-819F-9C1601E2AD82}" srcOrd="0" destOrd="0" presId="urn:microsoft.com/office/officeart/2005/8/layout/hierarchy1"/>
    <dgm:cxn modelId="{F6786127-A774-4581-A835-88CD0F988C4A}" type="presParOf" srcId="{0550B196-F75B-46A0-819F-9C1601E2AD82}" destId="{C0BA7360-1512-4662-8910-0BBCD2549164}" srcOrd="0" destOrd="0" presId="urn:microsoft.com/office/officeart/2005/8/layout/hierarchy1"/>
    <dgm:cxn modelId="{82C8CBEB-0C95-4A75-A57F-9EC8864B3B33}" type="presParOf" srcId="{0550B196-F75B-46A0-819F-9C1601E2AD82}" destId="{D5503F40-091D-4691-868C-EA19314C01AA}" srcOrd="1" destOrd="0" presId="urn:microsoft.com/office/officeart/2005/8/layout/hierarchy1"/>
    <dgm:cxn modelId="{96077F24-F5E6-4A52-91E2-1FDAFAC71A56}" type="presParOf" srcId="{82129EB1-95CF-439F-B203-195616F40172}" destId="{E839BF01-0BC6-4E69-AA91-46CE7F447D42}" srcOrd="1" destOrd="0" presId="urn:microsoft.com/office/officeart/2005/8/layout/hierarchy1"/>
    <dgm:cxn modelId="{C239EC21-73D4-4FE8-A20E-79FC2F365435}" type="presParOf" srcId="{4E53298D-0AFE-4A57-8B8D-7F075E47EF61}" destId="{7D3093F8-32E9-4DD0-884E-524F5F0DCA71}" srcOrd="2" destOrd="0" presId="urn:microsoft.com/office/officeart/2005/8/layout/hierarchy1"/>
    <dgm:cxn modelId="{4D4E6A62-FEF4-41F7-9486-6E86E4BBAFD3}" type="presParOf" srcId="{4E53298D-0AFE-4A57-8B8D-7F075E47EF61}" destId="{4822B991-1FAF-42A7-9D2B-FA6E023719A5}" srcOrd="3" destOrd="0" presId="urn:microsoft.com/office/officeart/2005/8/layout/hierarchy1"/>
    <dgm:cxn modelId="{17854332-9715-41A9-90CA-3D3083A93688}" type="presParOf" srcId="{4822B991-1FAF-42A7-9D2B-FA6E023719A5}" destId="{E5D3CBBF-2C09-45BA-BFFD-F3D8E4BC8C41}" srcOrd="0" destOrd="0" presId="urn:microsoft.com/office/officeart/2005/8/layout/hierarchy1"/>
    <dgm:cxn modelId="{333A0C60-1B47-478B-BEBC-B59A35CE5E48}" type="presParOf" srcId="{E5D3CBBF-2C09-45BA-BFFD-F3D8E4BC8C41}" destId="{4790D908-0E7A-4630-A5B8-B833D40D5B8B}" srcOrd="0" destOrd="0" presId="urn:microsoft.com/office/officeart/2005/8/layout/hierarchy1"/>
    <dgm:cxn modelId="{2A37796F-052E-442F-944A-59B6A1703AE8}" type="presParOf" srcId="{E5D3CBBF-2C09-45BA-BFFD-F3D8E4BC8C41}" destId="{D14251F0-9F32-4758-B173-7ACFBBCCF6AC}" srcOrd="1" destOrd="0" presId="urn:microsoft.com/office/officeart/2005/8/layout/hierarchy1"/>
    <dgm:cxn modelId="{D91982C1-59C8-4F36-A0A9-EFC3BB7C1DE9}" type="presParOf" srcId="{4822B991-1FAF-42A7-9D2B-FA6E023719A5}" destId="{91877C70-9871-4334-B1F1-D5B78D224503}" srcOrd="1" destOrd="0" presId="urn:microsoft.com/office/officeart/2005/8/layout/hierarchy1"/>
    <dgm:cxn modelId="{99C83099-CDB7-486C-A34C-A0ED6CEB22BF}" type="presParOf" srcId="{4E53298D-0AFE-4A57-8B8D-7F075E47EF61}" destId="{77CE8721-A567-4757-BBDC-FD8BDB5FC032}" srcOrd="4" destOrd="0" presId="urn:microsoft.com/office/officeart/2005/8/layout/hierarchy1"/>
    <dgm:cxn modelId="{A30C27C8-F18F-4208-B5CE-D4D7244017A5}" type="presParOf" srcId="{4E53298D-0AFE-4A57-8B8D-7F075E47EF61}" destId="{8BFF0CB8-9BB6-4A98-8C58-911D0B12AD89}" srcOrd="5" destOrd="0" presId="urn:microsoft.com/office/officeart/2005/8/layout/hierarchy1"/>
    <dgm:cxn modelId="{B463CD6B-6214-4B49-A187-3A5163E6BA86}" type="presParOf" srcId="{8BFF0CB8-9BB6-4A98-8C58-911D0B12AD89}" destId="{BE975EAC-6659-47A4-BEBD-11062AD1D68F}" srcOrd="0" destOrd="0" presId="urn:microsoft.com/office/officeart/2005/8/layout/hierarchy1"/>
    <dgm:cxn modelId="{C643C21A-8DAD-48F6-BB6A-CB6489592C3D}" type="presParOf" srcId="{BE975EAC-6659-47A4-BEBD-11062AD1D68F}" destId="{F8B2CE98-0C8F-435C-9B66-F3B9D2A9C936}" srcOrd="0" destOrd="0" presId="urn:microsoft.com/office/officeart/2005/8/layout/hierarchy1"/>
    <dgm:cxn modelId="{23BCCA4B-F299-4EE5-BEE7-19C78A0F28B7}" type="presParOf" srcId="{BE975EAC-6659-47A4-BEBD-11062AD1D68F}" destId="{90AEB4C4-9D31-4A26-9F52-7E38893FB249}" srcOrd="1" destOrd="0" presId="urn:microsoft.com/office/officeart/2005/8/layout/hierarchy1"/>
    <dgm:cxn modelId="{EAF14A84-B85E-42AC-99E6-A75448BC9799}" type="presParOf" srcId="{8BFF0CB8-9BB6-4A98-8C58-911D0B12AD89}" destId="{F7CC6F8F-19E3-4B46-9451-5A87F3637A11}" srcOrd="1" destOrd="0" presId="urn:microsoft.com/office/officeart/2005/8/layout/hierarchy1"/>
    <dgm:cxn modelId="{43DE4979-D38E-4862-BA4A-B6D8F451944B}" type="presParOf" srcId="{4E53298D-0AFE-4A57-8B8D-7F075E47EF61}" destId="{D16A4DA8-A8CF-45C6-883E-FE0309A0CC9C}" srcOrd="6" destOrd="0" presId="urn:microsoft.com/office/officeart/2005/8/layout/hierarchy1"/>
    <dgm:cxn modelId="{660F29A1-C584-4516-88ED-4B1D3165374F}" type="presParOf" srcId="{4E53298D-0AFE-4A57-8B8D-7F075E47EF61}" destId="{F7855000-0F35-4DD4-83E7-C24FA23A4F2E}" srcOrd="7" destOrd="0" presId="urn:microsoft.com/office/officeart/2005/8/layout/hierarchy1"/>
    <dgm:cxn modelId="{4A3E0775-7615-4EF3-AE28-134E5C87C95F}" type="presParOf" srcId="{F7855000-0F35-4DD4-83E7-C24FA23A4F2E}" destId="{5DCAD328-8D52-49AA-8DD1-FF2446388E0C}" srcOrd="0" destOrd="0" presId="urn:microsoft.com/office/officeart/2005/8/layout/hierarchy1"/>
    <dgm:cxn modelId="{4F847A81-FF3A-4DF6-94B3-E0344E9708E5}" type="presParOf" srcId="{5DCAD328-8D52-49AA-8DD1-FF2446388E0C}" destId="{BA12FA22-B012-44C8-B6CD-B5C689672AA2}" srcOrd="0" destOrd="0" presId="urn:microsoft.com/office/officeart/2005/8/layout/hierarchy1"/>
    <dgm:cxn modelId="{3C5AE75B-03D8-4E1A-BE6A-9200C29CAC93}" type="presParOf" srcId="{5DCAD328-8D52-49AA-8DD1-FF2446388E0C}" destId="{22513A16-87C4-466D-BF26-10C2FBFB0F53}" srcOrd="1" destOrd="0" presId="urn:microsoft.com/office/officeart/2005/8/layout/hierarchy1"/>
    <dgm:cxn modelId="{F8FC2ABC-099B-41DE-A07A-5FB4210FC556}" type="presParOf" srcId="{F7855000-0F35-4DD4-83E7-C24FA23A4F2E}" destId="{2DF86674-C408-4492-AE07-049DE08A42E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6A4DA8-A8CF-45C6-883E-FE0309A0CC9C}">
      <dsp:nvSpPr>
        <dsp:cNvPr id="0" name=""/>
        <dsp:cNvSpPr/>
      </dsp:nvSpPr>
      <dsp:spPr>
        <a:xfrm>
          <a:off x="2861787" y="945496"/>
          <a:ext cx="2320288" cy="38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703"/>
              </a:lnTo>
              <a:lnTo>
                <a:pt x="2320288" y="273703"/>
              </a:lnTo>
              <a:lnTo>
                <a:pt x="2320288" y="3888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E8721-A567-4757-BBDC-FD8BDB5FC032}">
      <dsp:nvSpPr>
        <dsp:cNvPr id="0" name=""/>
        <dsp:cNvSpPr/>
      </dsp:nvSpPr>
      <dsp:spPr>
        <a:xfrm>
          <a:off x="2861787" y="945496"/>
          <a:ext cx="800723" cy="38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703"/>
              </a:lnTo>
              <a:lnTo>
                <a:pt x="800723" y="273703"/>
              </a:lnTo>
              <a:lnTo>
                <a:pt x="800723" y="3888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093F8-32E9-4DD0-884E-524F5F0DCA71}">
      <dsp:nvSpPr>
        <dsp:cNvPr id="0" name=""/>
        <dsp:cNvSpPr/>
      </dsp:nvSpPr>
      <dsp:spPr>
        <a:xfrm>
          <a:off x="2119087" y="945496"/>
          <a:ext cx="742699" cy="372979"/>
        </a:xfrm>
        <a:custGeom>
          <a:avLst/>
          <a:gdLst/>
          <a:ahLst/>
          <a:cxnLst/>
          <a:rect l="0" t="0" r="0" b="0"/>
          <a:pathLst>
            <a:path>
              <a:moveTo>
                <a:pt x="742699" y="0"/>
              </a:moveTo>
              <a:lnTo>
                <a:pt x="742699" y="257803"/>
              </a:lnTo>
              <a:lnTo>
                <a:pt x="0" y="257803"/>
              </a:lnTo>
              <a:lnTo>
                <a:pt x="0" y="3729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F9E5AE-1AEC-4302-8AFF-6ADC8AAB0090}">
      <dsp:nvSpPr>
        <dsp:cNvPr id="0" name=""/>
        <dsp:cNvSpPr/>
      </dsp:nvSpPr>
      <dsp:spPr>
        <a:xfrm>
          <a:off x="623381" y="945496"/>
          <a:ext cx="2238406" cy="388879"/>
        </a:xfrm>
        <a:custGeom>
          <a:avLst/>
          <a:gdLst/>
          <a:ahLst/>
          <a:cxnLst/>
          <a:rect l="0" t="0" r="0" b="0"/>
          <a:pathLst>
            <a:path>
              <a:moveTo>
                <a:pt x="2238406" y="0"/>
              </a:moveTo>
              <a:lnTo>
                <a:pt x="2238406" y="273703"/>
              </a:lnTo>
              <a:lnTo>
                <a:pt x="0" y="273703"/>
              </a:lnTo>
              <a:lnTo>
                <a:pt x="0" y="3888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97C59A-B173-4FF8-95B7-E148891C13DF}">
      <dsp:nvSpPr>
        <dsp:cNvPr id="0" name=""/>
        <dsp:cNvSpPr/>
      </dsp:nvSpPr>
      <dsp:spPr>
        <a:xfrm>
          <a:off x="823957" y="156013"/>
          <a:ext cx="4075659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212830-4152-4C5B-A2E3-03C883126257}">
      <dsp:nvSpPr>
        <dsp:cNvPr id="0" name=""/>
        <dsp:cNvSpPr/>
      </dsp:nvSpPr>
      <dsp:spPr>
        <a:xfrm>
          <a:off x="962100" y="287248"/>
          <a:ext cx="4075659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Доля  по отношению к активам традиционных банков</a:t>
          </a:r>
        </a:p>
      </dsp:txBody>
      <dsp:txXfrm>
        <a:off x="985223" y="310371"/>
        <a:ext cx="4029413" cy="743237"/>
      </dsp:txXfrm>
    </dsp:sp>
    <dsp:sp modelId="{C0BA7360-1512-4662-8910-0BBCD2549164}">
      <dsp:nvSpPr>
        <dsp:cNvPr id="0" name=""/>
        <dsp:cNvSpPr/>
      </dsp:nvSpPr>
      <dsp:spPr>
        <a:xfrm>
          <a:off x="1741" y="1334376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503F40-091D-4691-868C-EA19314C01AA}">
      <dsp:nvSpPr>
        <dsp:cNvPr id="0" name=""/>
        <dsp:cNvSpPr/>
      </dsp:nvSpPr>
      <dsp:spPr>
        <a:xfrm>
          <a:off x="139883" y="14656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Кувейт - 38,9 </a:t>
          </a:r>
          <a:endParaRPr lang="ru-RU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63006" y="1488734"/>
        <a:ext cx="1197034" cy="743237"/>
      </dsp:txXfrm>
    </dsp:sp>
    <dsp:sp modelId="{4790D908-0E7A-4630-A5B8-B833D40D5B8B}">
      <dsp:nvSpPr>
        <dsp:cNvPr id="0" name=""/>
        <dsp:cNvSpPr/>
      </dsp:nvSpPr>
      <dsp:spPr>
        <a:xfrm>
          <a:off x="1497447" y="1318475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4251F0-9F32-4758-B173-7ACFBBCCF6AC}">
      <dsp:nvSpPr>
        <dsp:cNvPr id="0" name=""/>
        <dsp:cNvSpPr/>
      </dsp:nvSpPr>
      <dsp:spPr>
        <a:xfrm>
          <a:off x="1635589" y="14497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Катар - 26,1</a:t>
          </a:r>
          <a:endParaRPr lang="ru-RU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658712" y="1472834"/>
        <a:ext cx="1197034" cy="743237"/>
      </dsp:txXfrm>
    </dsp:sp>
    <dsp:sp modelId="{F8B2CE98-0C8F-435C-9B66-F3B9D2A9C936}">
      <dsp:nvSpPr>
        <dsp:cNvPr id="0" name=""/>
        <dsp:cNvSpPr/>
      </dsp:nvSpPr>
      <dsp:spPr>
        <a:xfrm>
          <a:off x="3040871" y="1334376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AEB4C4-9D31-4A26-9F52-7E38893FB249}">
      <dsp:nvSpPr>
        <dsp:cNvPr id="0" name=""/>
        <dsp:cNvSpPr/>
      </dsp:nvSpPr>
      <dsp:spPr>
        <a:xfrm>
          <a:off x="3179013" y="14656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Йемен - 33</a:t>
          </a:r>
          <a:endParaRPr lang="ru-RU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202136" y="1488734"/>
        <a:ext cx="1197034" cy="743237"/>
      </dsp:txXfrm>
    </dsp:sp>
    <dsp:sp modelId="{BA12FA22-B012-44C8-B6CD-B5C689672AA2}">
      <dsp:nvSpPr>
        <dsp:cNvPr id="0" name=""/>
        <dsp:cNvSpPr/>
      </dsp:nvSpPr>
      <dsp:spPr>
        <a:xfrm>
          <a:off x="4560436" y="1334376"/>
          <a:ext cx="1243280" cy="789483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513A16-87C4-466D-BF26-10C2FBFB0F53}">
      <dsp:nvSpPr>
        <dsp:cNvPr id="0" name=""/>
        <dsp:cNvSpPr/>
      </dsp:nvSpPr>
      <dsp:spPr>
        <a:xfrm>
          <a:off x="4698578" y="1465611"/>
          <a:ext cx="1243280" cy="7894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Малайзия</a:t>
          </a:r>
          <a:r>
            <a:rPr lang="en-US" sz="1400" b="1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- 23 </a:t>
          </a:r>
          <a:endParaRPr lang="ru-RU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721701" y="1488734"/>
        <a:ext cx="1197034" cy="7432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2020-02-23T08:59:00Z</dcterms:created>
  <dcterms:modified xsi:type="dcterms:W3CDTF">2020-02-23T09:02:00Z</dcterms:modified>
</cp:coreProperties>
</file>