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B3" w:rsidRPr="002F2F11" w:rsidRDefault="000D48B3" w:rsidP="000D48B3">
      <w:pPr>
        <w:tabs>
          <w:tab w:val="left" w:pos="284"/>
        </w:tabs>
        <w:spacing w:before="120" w:after="120"/>
        <w:jc w:val="center"/>
        <w:rPr>
          <w:rFonts w:eastAsia="Calibri"/>
          <w:b/>
          <w:sz w:val="28"/>
        </w:rPr>
      </w:pPr>
      <w:r w:rsidRPr="002F2F11">
        <w:rPr>
          <w:rFonts w:eastAsia="Calibri"/>
          <w:b/>
          <w:sz w:val="28"/>
        </w:rPr>
        <w:t>Sağlık Okuryazarlığının Hipertansiyon Kontrolünde Önemi</w:t>
      </w:r>
    </w:p>
    <w:p w:rsidR="000D48B3" w:rsidRDefault="000D48B3" w:rsidP="000D48B3">
      <w:pPr>
        <w:tabs>
          <w:tab w:val="left" w:pos="284"/>
        </w:tabs>
        <w:spacing w:before="120" w:after="120"/>
        <w:jc w:val="right"/>
        <w:rPr>
          <w:rFonts w:eastAsia="Calibri"/>
          <w:szCs w:val="24"/>
        </w:rPr>
      </w:pPr>
    </w:p>
    <w:p w:rsidR="000D48B3" w:rsidRPr="008F4B9E" w:rsidRDefault="000D48B3" w:rsidP="000D48B3">
      <w:pPr>
        <w:tabs>
          <w:tab w:val="left" w:pos="284"/>
        </w:tabs>
        <w:spacing w:before="120" w:after="120"/>
        <w:jc w:val="right"/>
        <w:rPr>
          <w:rFonts w:eastAsia="Calibri"/>
          <w:b/>
          <w:szCs w:val="24"/>
        </w:rPr>
      </w:pPr>
      <w:r w:rsidRPr="008F4B9E">
        <w:rPr>
          <w:rFonts w:eastAsia="Calibri"/>
          <w:b/>
          <w:szCs w:val="24"/>
        </w:rPr>
        <w:t xml:space="preserve">Emine </w:t>
      </w:r>
      <w:bookmarkStart w:id="0" w:name="_GoBack"/>
      <w:r w:rsidRPr="008F4B9E">
        <w:rPr>
          <w:rFonts w:eastAsia="Calibri"/>
          <w:b/>
          <w:szCs w:val="24"/>
        </w:rPr>
        <w:t>ÖNCÜ</w:t>
      </w:r>
      <w:r>
        <w:rPr>
          <w:rFonts w:eastAsia="Calibri"/>
          <w:b/>
          <w:szCs w:val="24"/>
        </w:rPr>
        <w:t xml:space="preserve"> </w:t>
      </w:r>
      <w:bookmarkEnd w:id="0"/>
      <w:r>
        <w:rPr>
          <w:rStyle w:val="DipnotBavurusu"/>
          <w:rFonts w:eastAsia="Calibri"/>
          <w:b/>
          <w:szCs w:val="24"/>
        </w:rPr>
        <w:footnoteReference w:id="1"/>
      </w:r>
    </w:p>
    <w:p w:rsidR="000D48B3" w:rsidRPr="002F2F11" w:rsidRDefault="000D48B3" w:rsidP="000D48B3">
      <w:pPr>
        <w:tabs>
          <w:tab w:val="left" w:pos="284"/>
        </w:tabs>
        <w:spacing w:before="120" w:after="120"/>
        <w:rPr>
          <w:rFonts w:eastAsia="Calibri"/>
          <w:b/>
          <w:szCs w:val="24"/>
        </w:rPr>
      </w:pPr>
      <w:r w:rsidRPr="002F2F11">
        <w:rPr>
          <w:rFonts w:eastAsia="Calibri"/>
          <w:b/>
          <w:szCs w:val="24"/>
        </w:rPr>
        <w:t>Özet</w:t>
      </w:r>
    </w:p>
    <w:tbl>
      <w:tblPr>
        <w:tblW w:w="0" w:type="auto"/>
        <w:tblLook w:val="04A0" w:firstRow="1" w:lastRow="0" w:firstColumn="1" w:lastColumn="0" w:noHBand="0" w:noVBand="1"/>
      </w:tblPr>
      <w:tblGrid>
        <w:gridCol w:w="9039"/>
      </w:tblGrid>
      <w:tr w:rsidR="000D48B3" w:rsidRPr="002F2F11" w:rsidTr="00701C90">
        <w:tc>
          <w:tcPr>
            <w:tcW w:w="9039" w:type="dxa"/>
            <w:shd w:val="clear" w:color="auto" w:fill="auto"/>
          </w:tcPr>
          <w:p w:rsidR="000D48B3" w:rsidRPr="002F2F11" w:rsidRDefault="000D48B3" w:rsidP="00701C90">
            <w:pPr>
              <w:spacing w:before="120" w:after="120"/>
              <w:jc w:val="both"/>
              <w:rPr>
                <w:rFonts w:eastAsia="Calibri"/>
                <w:szCs w:val="24"/>
              </w:rPr>
            </w:pPr>
            <w:r w:rsidRPr="002F2F11">
              <w:rPr>
                <w:rFonts w:eastAsia="Calibri"/>
                <w:b/>
                <w:szCs w:val="24"/>
              </w:rPr>
              <w:t>Giriş:</w:t>
            </w:r>
            <w:r w:rsidRPr="002F2F11">
              <w:rPr>
                <w:rFonts w:eastAsia="Calibri"/>
                <w:szCs w:val="24"/>
              </w:rPr>
              <w:t xml:space="preserve"> Hipertansiyon, farklı gelişmişlik düzeyine sahip ülkelerin ortak sorunlarındandır. Mersin’de (2018) hipertansiyonlu bireylerle yapılan bir çalışmada, sağlık okuryazarlığının (SOY) “sınırlı” düzeyde ve  %61.2’sinin tansiyonunun yüksek olduğu bildirilmiştir. Amaç: Çalışmanın amacı, hipertansiyonda SOY düzeyiyle ilişkili faktörleri belirlemek ve alanda ne tür araştırmalara ihtiyaç duyulduğunu ortaya çıkarmaktır. </w:t>
            </w:r>
          </w:p>
          <w:p w:rsidR="000D48B3" w:rsidRPr="002F2F11" w:rsidRDefault="000D48B3" w:rsidP="00701C90">
            <w:pPr>
              <w:spacing w:before="120" w:after="120"/>
              <w:jc w:val="both"/>
              <w:rPr>
                <w:rFonts w:eastAsia="Calibri"/>
                <w:szCs w:val="24"/>
              </w:rPr>
            </w:pPr>
            <w:r w:rsidRPr="002F2F11">
              <w:rPr>
                <w:rFonts w:eastAsia="Calibri"/>
                <w:b/>
                <w:szCs w:val="24"/>
              </w:rPr>
              <w:t>Yöntem:</w:t>
            </w:r>
            <w:r w:rsidRPr="002F2F11">
              <w:rPr>
                <w:rFonts w:eastAsia="Calibri"/>
                <w:szCs w:val="24"/>
              </w:rPr>
              <w:t xml:space="preserve"> 23.04.2018- </w:t>
            </w:r>
            <w:r>
              <w:rPr>
                <w:rFonts w:eastAsia="Calibri"/>
                <w:szCs w:val="24"/>
              </w:rPr>
              <w:t>28.10.</w:t>
            </w:r>
            <w:r w:rsidRPr="002F2F11">
              <w:rPr>
                <w:rFonts w:eastAsia="Calibri"/>
                <w:szCs w:val="24"/>
              </w:rPr>
              <w:t xml:space="preserve">2018 arasında yapılan sistematik derleme çalışması, Cochrane, PubMed, ScienceDirect, Medline, Türk Medline, Ulakbim, Google Akademik veri tabanlarında  “hypertension- health literacy” “health literacy of hypertensive patients” “hipertansiyon- sağlık okuryazarlığı” anahtar kelimeleriyle tarama yapılarak hazırlanmıştır. Türkçe, İngilizce 651 araştırmadan (Cochrane: 6, PubMed: 308, ScienceDirect: 43, Medline: 142, Ulakbim: 0, Türk Medline: 0, Google Akademik 152)  alınma ve dışlanma kriterlerine uygun, kantitatif nitelikte, tam metnine ulaşılabilen 24 çalışma değerlendirmeye alınmıştır. </w:t>
            </w:r>
          </w:p>
          <w:p w:rsidR="000D48B3" w:rsidRPr="002F2F11" w:rsidRDefault="000D48B3" w:rsidP="00701C90">
            <w:pPr>
              <w:spacing w:before="120" w:after="120"/>
              <w:jc w:val="both"/>
              <w:rPr>
                <w:rFonts w:eastAsia="Calibri"/>
                <w:szCs w:val="24"/>
              </w:rPr>
            </w:pPr>
            <w:r w:rsidRPr="002F2F11">
              <w:rPr>
                <w:rFonts w:eastAsia="Calibri"/>
                <w:b/>
                <w:szCs w:val="24"/>
              </w:rPr>
              <w:t>Bulgular:</w:t>
            </w:r>
            <w:r w:rsidRPr="002F2F11">
              <w:rPr>
                <w:rFonts w:eastAsia="Calibri"/>
                <w:szCs w:val="24"/>
              </w:rPr>
              <w:t xml:space="preserve"> Araştırmaların çoğunluğu son beş yılda Ortadoğu, Uzakdoğu ve Amerika’da gerçekleştirilmiştir. Ülkelere göre hipertansiyonda yeterli sağlık okuryazarlığı %24.5- %72.5 arasında değişirken; yaşlılarda, kadınlarda, siyahilerde SOY daha düşüktür.  Daha az eğitimlilerde hastalık bilgisi daha az, hipertansiyon kontrolü yetersizdir. Yaşlı hastalarda SOY ilaç uyumunu ve yaşam kalitesini etkilemektedir.   Hipertansiyonda sağlık hizmetleri kullanımı- SOY ilişkisinin araştırıldığı bir çalışmada I. basamağa başvuranlar arasında SOY, üniversiteye başvuranlardan daha düşük saptanmıştır. Yüksek SOY’da hipertansiyon kontrolünün daha iyi olduğunu gösteren çalışmalar yanında SOY’un hipertansiyon kontrolünü etkilemediğini gösteren çalışmalar da mevcuttur.  </w:t>
            </w:r>
          </w:p>
          <w:p w:rsidR="000D48B3" w:rsidRPr="002F2F11" w:rsidRDefault="000D48B3" w:rsidP="00701C90">
            <w:pPr>
              <w:spacing w:before="120" w:after="120"/>
              <w:jc w:val="both"/>
              <w:rPr>
                <w:rFonts w:eastAsia="Calibri"/>
                <w:szCs w:val="24"/>
              </w:rPr>
            </w:pPr>
            <w:r w:rsidRPr="002F2F11">
              <w:rPr>
                <w:rFonts w:eastAsia="Calibri"/>
                <w:b/>
                <w:szCs w:val="24"/>
              </w:rPr>
              <w:t xml:space="preserve">Tartışma: </w:t>
            </w:r>
            <w:r w:rsidRPr="002F2F11">
              <w:rPr>
                <w:rFonts w:eastAsia="Calibri"/>
                <w:szCs w:val="24"/>
              </w:rPr>
              <w:t xml:space="preserve">Ülkeler açısından “hipertansiyonda SOY” önemli ilgi alanlarındandır. Ancak ülkemizde çalışmalar az sayıdadır. Araştırma sonuçlarından hipertansiyonlu bireylerde SOY’un yetersiz/sınırlı düzeyde olduğu belirlenmiştir. Yetersiz SOY her zaman </w:t>
            </w:r>
            <w:r w:rsidRPr="002F2F11">
              <w:rPr>
                <w:rFonts w:eastAsia="Calibri"/>
                <w:szCs w:val="24"/>
              </w:rPr>
              <w:lastRenderedPageBreak/>
              <w:t xml:space="preserve">hipertansiyon yönetiminde sınırlılığa neden olurken bilgi, tansiyon kontrolünü sağlamada yeterli olamayabilmektedir.  </w:t>
            </w:r>
          </w:p>
          <w:p w:rsidR="000D48B3" w:rsidRPr="002F2F11" w:rsidRDefault="000D48B3" w:rsidP="00701C90">
            <w:pPr>
              <w:spacing w:before="120" w:after="120"/>
              <w:jc w:val="both"/>
              <w:rPr>
                <w:rFonts w:eastAsia="Calibri"/>
                <w:szCs w:val="24"/>
              </w:rPr>
            </w:pPr>
            <w:r w:rsidRPr="002F2F11">
              <w:rPr>
                <w:rFonts w:eastAsia="Calibri"/>
                <w:b/>
                <w:szCs w:val="24"/>
              </w:rPr>
              <w:t>Sonuç ve öneriler:</w:t>
            </w:r>
            <w:r w:rsidRPr="002F2F11">
              <w:rPr>
                <w:rFonts w:eastAsia="Calibri"/>
                <w:szCs w:val="24"/>
              </w:rPr>
              <w:t xml:space="preserve"> Hipertansiyon kontrolünde sağlık okuryazarlık düzeyini değerlendirmeye dönük araştırmalara ihtiyaç vardır. Düşük sağlık okuryazarlık düzeyine sahip hastalarda hastalık öz yönetimini geliştirmeye dönük araştırmaların yapılması önerilir.</w:t>
            </w:r>
          </w:p>
          <w:p w:rsidR="000D48B3" w:rsidRPr="002F2F11" w:rsidRDefault="000D48B3" w:rsidP="00701C90">
            <w:pPr>
              <w:spacing w:before="120" w:after="120"/>
              <w:jc w:val="both"/>
              <w:rPr>
                <w:rFonts w:eastAsia="Calibri"/>
                <w:szCs w:val="24"/>
              </w:rPr>
            </w:pPr>
            <w:r w:rsidRPr="002F2F11">
              <w:rPr>
                <w:rFonts w:eastAsia="Calibri"/>
                <w:szCs w:val="24"/>
              </w:rPr>
              <w:t xml:space="preserve"> </w:t>
            </w:r>
            <w:r w:rsidRPr="002F2F11">
              <w:rPr>
                <w:rFonts w:eastAsia="Calibri"/>
                <w:b/>
                <w:szCs w:val="24"/>
              </w:rPr>
              <w:t>Anahtar Sözcükler:</w:t>
            </w:r>
            <w:r w:rsidRPr="002F2F11">
              <w:rPr>
                <w:rFonts w:eastAsia="Calibri"/>
                <w:szCs w:val="24"/>
              </w:rPr>
              <w:t xml:space="preserve"> Hipertansiyon, sağlık okuryazarlığı, hastalık yönetimi, tansiyon kontrolü</w:t>
            </w:r>
          </w:p>
          <w:p w:rsidR="000D48B3" w:rsidRPr="002F2F11" w:rsidRDefault="000D48B3" w:rsidP="00701C90">
            <w:pPr>
              <w:spacing w:before="120" w:after="120"/>
              <w:jc w:val="both"/>
              <w:rPr>
                <w:rFonts w:eastAsia="Calibri"/>
                <w:szCs w:val="24"/>
              </w:rPr>
            </w:pPr>
          </w:p>
          <w:p w:rsidR="000D48B3" w:rsidRPr="002F2F11" w:rsidRDefault="000D48B3" w:rsidP="00701C90">
            <w:pPr>
              <w:spacing w:before="120" w:after="120"/>
              <w:jc w:val="center"/>
              <w:rPr>
                <w:rFonts w:eastAsia="Calibri"/>
                <w:b/>
                <w:szCs w:val="24"/>
              </w:rPr>
            </w:pPr>
          </w:p>
          <w:p w:rsidR="000D48B3" w:rsidRPr="002F2F11" w:rsidRDefault="000D48B3" w:rsidP="00701C90">
            <w:pPr>
              <w:spacing w:before="120" w:after="120"/>
              <w:jc w:val="center"/>
              <w:rPr>
                <w:rFonts w:eastAsia="Calibri"/>
                <w:b/>
                <w:szCs w:val="24"/>
              </w:rPr>
            </w:pPr>
          </w:p>
          <w:p w:rsidR="000D48B3" w:rsidRPr="002F2F11" w:rsidRDefault="000D48B3" w:rsidP="00701C90">
            <w:pPr>
              <w:spacing w:before="120" w:after="120"/>
              <w:jc w:val="center"/>
              <w:rPr>
                <w:rFonts w:eastAsia="Calibri"/>
                <w:b/>
                <w:szCs w:val="24"/>
              </w:rPr>
            </w:pPr>
          </w:p>
          <w:p w:rsidR="000D48B3" w:rsidRPr="002F2F11" w:rsidRDefault="000D48B3" w:rsidP="00701C90">
            <w:pPr>
              <w:spacing w:before="120" w:after="120"/>
              <w:jc w:val="center"/>
              <w:rPr>
                <w:rFonts w:eastAsia="Calibri"/>
                <w:b/>
                <w:szCs w:val="24"/>
              </w:rPr>
            </w:pPr>
          </w:p>
          <w:p w:rsidR="000D48B3" w:rsidRPr="002F2F11" w:rsidRDefault="000D48B3" w:rsidP="00701C90">
            <w:pPr>
              <w:spacing w:before="120" w:after="120"/>
              <w:jc w:val="center"/>
              <w:rPr>
                <w:rFonts w:eastAsia="Calibri"/>
                <w:b/>
                <w:szCs w:val="24"/>
              </w:rPr>
            </w:pPr>
          </w:p>
          <w:p w:rsidR="000D48B3" w:rsidRPr="002F2F11" w:rsidRDefault="000D48B3" w:rsidP="00701C90">
            <w:pPr>
              <w:spacing w:before="120" w:after="120"/>
              <w:jc w:val="center"/>
              <w:rPr>
                <w:rFonts w:eastAsia="Calibri"/>
                <w:b/>
                <w:szCs w:val="24"/>
              </w:rPr>
            </w:pPr>
          </w:p>
          <w:p w:rsidR="000D48B3" w:rsidRPr="002F2F11" w:rsidRDefault="000D48B3" w:rsidP="00701C90">
            <w:pPr>
              <w:spacing w:before="120" w:after="120"/>
              <w:jc w:val="center"/>
              <w:rPr>
                <w:rFonts w:eastAsia="Calibri"/>
                <w:b/>
                <w:szCs w:val="24"/>
              </w:rPr>
            </w:pPr>
          </w:p>
          <w:p w:rsidR="000D48B3" w:rsidRPr="002F2F11" w:rsidRDefault="000D48B3" w:rsidP="00701C90">
            <w:pPr>
              <w:spacing w:before="120" w:after="120"/>
              <w:jc w:val="center"/>
              <w:rPr>
                <w:rFonts w:eastAsia="Calibri"/>
                <w:b/>
                <w:szCs w:val="24"/>
              </w:rPr>
            </w:pPr>
          </w:p>
          <w:p w:rsidR="000D48B3" w:rsidRPr="002F2F11" w:rsidRDefault="000D48B3" w:rsidP="00701C90">
            <w:pPr>
              <w:spacing w:before="120" w:after="120"/>
              <w:jc w:val="center"/>
              <w:rPr>
                <w:rFonts w:eastAsia="Calibri"/>
                <w:b/>
                <w:szCs w:val="24"/>
              </w:rPr>
            </w:pPr>
          </w:p>
          <w:p w:rsidR="000D48B3" w:rsidRPr="002F2F11" w:rsidRDefault="000D48B3" w:rsidP="00701C90">
            <w:pPr>
              <w:spacing w:before="120" w:after="120"/>
              <w:jc w:val="center"/>
              <w:rPr>
                <w:rFonts w:eastAsia="Calibri"/>
                <w:b/>
                <w:szCs w:val="24"/>
              </w:rPr>
            </w:pPr>
          </w:p>
          <w:p w:rsidR="000D48B3" w:rsidRDefault="000D48B3" w:rsidP="00701C90">
            <w:pPr>
              <w:spacing w:before="120" w:after="120"/>
              <w:jc w:val="center"/>
              <w:rPr>
                <w:rFonts w:eastAsia="Calibri"/>
                <w:b/>
                <w:szCs w:val="24"/>
              </w:rPr>
            </w:pPr>
          </w:p>
          <w:p w:rsidR="000D48B3" w:rsidRPr="002F2F11" w:rsidRDefault="000D48B3" w:rsidP="00701C90">
            <w:pPr>
              <w:spacing w:before="120" w:after="120"/>
              <w:rPr>
                <w:rFonts w:eastAsia="Calibri"/>
                <w:b/>
                <w:szCs w:val="24"/>
              </w:rPr>
            </w:pPr>
            <w:r>
              <w:rPr>
                <w:rFonts w:eastAsia="Calibri"/>
                <w:b/>
                <w:szCs w:val="24"/>
              </w:rPr>
              <w:t>Abstract</w:t>
            </w:r>
          </w:p>
          <w:p w:rsidR="000D48B3" w:rsidRPr="002F2F11" w:rsidRDefault="000D48B3" w:rsidP="00701C90">
            <w:pPr>
              <w:spacing w:before="120" w:after="120"/>
              <w:jc w:val="center"/>
              <w:rPr>
                <w:rFonts w:eastAsia="Calibri"/>
                <w:b/>
                <w:szCs w:val="24"/>
              </w:rPr>
            </w:pPr>
            <w:r w:rsidRPr="002F2F11">
              <w:rPr>
                <w:rFonts w:eastAsia="Calibri"/>
                <w:b/>
                <w:szCs w:val="24"/>
              </w:rPr>
              <w:t>Importance of Health Literacy in Control of Hypertension</w:t>
            </w:r>
          </w:p>
          <w:p w:rsidR="000D48B3" w:rsidRPr="002F2F11" w:rsidRDefault="000D48B3" w:rsidP="00701C90">
            <w:pPr>
              <w:spacing w:before="120" w:after="120"/>
              <w:jc w:val="right"/>
              <w:rPr>
                <w:rFonts w:eastAsia="Calibri"/>
                <w:szCs w:val="24"/>
              </w:rPr>
            </w:pPr>
          </w:p>
          <w:p w:rsidR="000D48B3" w:rsidRPr="002F2F11" w:rsidRDefault="000D48B3" w:rsidP="00701C90">
            <w:pPr>
              <w:spacing w:before="120" w:after="120"/>
              <w:jc w:val="both"/>
              <w:rPr>
                <w:rFonts w:eastAsia="Calibri"/>
                <w:szCs w:val="24"/>
              </w:rPr>
            </w:pPr>
            <w:r w:rsidRPr="002F2F11">
              <w:rPr>
                <w:rFonts w:eastAsia="Calibri"/>
                <w:b/>
                <w:szCs w:val="24"/>
              </w:rPr>
              <w:t>Introduction:</w:t>
            </w:r>
            <w:r w:rsidRPr="002F2F11">
              <w:rPr>
                <w:rFonts w:eastAsia="Calibri"/>
                <w:szCs w:val="24"/>
              </w:rPr>
              <w:t xml:space="preserve"> Hypertension, which is among these diseases, is one of the common problems of countries with different levels of development. In a study conducted with hyepertensive patients in Mersin in 2018, it was reported that health literacy of the individuals was limited and 61.2% of the patients reported that their blood pressure was above normal limits.</w:t>
            </w:r>
          </w:p>
          <w:p w:rsidR="000D48B3" w:rsidRPr="002F2F11" w:rsidRDefault="000D48B3" w:rsidP="00701C90">
            <w:pPr>
              <w:spacing w:before="120" w:after="120"/>
              <w:jc w:val="both"/>
              <w:rPr>
                <w:rFonts w:eastAsia="Calibri"/>
                <w:szCs w:val="24"/>
              </w:rPr>
            </w:pPr>
            <w:r w:rsidRPr="002F2F11">
              <w:rPr>
                <w:rFonts w:eastAsia="Calibri"/>
                <w:b/>
                <w:szCs w:val="24"/>
              </w:rPr>
              <w:t>Aim:</w:t>
            </w:r>
            <w:r w:rsidRPr="002F2F11">
              <w:rPr>
                <w:rFonts w:eastAsia="Calibri"/>
                <w:szCs w:val="24"/>
              </w:rPr>
              <w:t xml:space="preserve"> To determine the factors related to health literacy in hypertension and to find out what kind of research is needed in this field. </w:t>
            </w:r>
          </w:p>
          <w:p w:rsidR="000D48B3" w:rsidRPr="002F2F11" w:rsidRDefault="000D48B3" w:rsidP="00701C90">
            <w:pPr>
              <w:spacing w:before="120" w:after="120"/>
              <w:jc w:val="both"/>
              <w:rPr>
                <w:rFonts w:eastAsia="Calibri"/>
                <w:szCs w:val="24"/>
              </w:rPr>
            </w:pPr>
            <w:r w:rsidRPr="002F2F11">
              <w:rPr>
                <w:rFonts w:eastAsia="Calibri"/>
                <w:b/>
                <w:szCs w:val="24"/>
              </w:rPr>
              <w:lastRenderedPageBreak/>
              <w:t>Method:</w:t>
            </w:r>
            <w:r w:rsidRPr="002F2F11">
              <w:rPr>
                <w:rFonts w:eastAsia="Calibri"/>
                <w:szCs w:val="24"/>
              </w:rPr>
              <w:t xml:space="preserve"> The systematic review was carried out between 23.04.2018- </w:t>
            </w:r>
            <w:r>
              <w:rPr>
                <w:rFonts w:eastAsia="Calibri"/>
                <w:szCs w:val="24"/>
              </w:rPr>
              <w:t>28.10.</w:t>
            </w:r>
            <w:r w:rsidRPr="002F2F11">
              <w:rPr>
                <w:rFonts w:eastAsia="Calibri"/>
                <w:szCs w:val="24"/>
              </w:rPr>
              <w:t>2018. It was prepared by scanning with keywords as “hypertension- health literacy” “health literacy of hypertensive patients” “hipertansiyon- sağlık okuryazarlığı”, “hipertansiyon hastalarında sağlık okuryazarlığı” at Cochrane, PubMed, ScienceDirect, Medline, Turkish Medline, Ulakbim Turkish Medical Directory, Google Scholarly databases. In 651 studies published in Turkish- English (Cochrane: 6, PubMed: 308, ScienceDirect: 43, Medline: 142, Ulakbim Turkish Medical Directory: 0, Turkish Medline: 0, Google Scholarship 152). 24 studies that can reach a quantitative, online full text in accordance with inclusion and exclusion criteria were evaluated.</w:t>
            </w:r>
          </w:p>
          <w:p w:rsidR="000D48B3" w:rsidRPr="002F2F11" w:rsidRDefault="000D48B3" w:rsidP="00701C90">
            <w:pPr>
              <w:spacing w:before="120" w:after="120"/>
              <w:jc w:val="both"/>
              <w:rPr>
                <w:rFonts w:eastAsia="Calibri"/>
                <w:szCs w:val="24"/>
              </w:rPr>
            </w:pPr>
            <w:r w:rsidRPr="002F2F11">
              <w:rPr>
                <w:rFonts w:eastAsia="Calibri"/>
                <w:b/>
                <w:szCs w:val="24"/>
              </w:rPr>
              <w:t>Results:</w:t>
            </w:r>
            <w:r w:rsidRPr="002F2F11">
              <w:rPr>
                <w:rFonts w:eastAsia="Calibri"/>
                <w:szCs w:val="24"/>
              </w:rPr>
              <w:t xml:space="preserve"> The majority of the studies conducted in the last five years in Middle East, Far East Asia and United States. Having adequate level of health literacy among hypertensive patients varies between 24.5% and 72.5% in different countries. Health literacy level is low in elderly, in women and in blacks.  Individuals with less education have less information about disease, and these people have a higher risk of not being able to control hypertension. Health literacy level and drug compliance in elderly patients affect health-related quality of life. Only one study investigated the relationship between health literacy, blood pressure and health services, and the level of health literacy among those admitted to the primary health care was lower than applying to the university. Studies showing that hypertension control is better in those with high health literacy, besides that health literacy level does not affect hypertension control. </w:t>
            </w:r>
          </w:p>
          <w:p w:rsidR="000D48B3" w:rsidRPr="002F2F11" w:rsidRDefault="000D48B3" w:rsidP="00701C90">
            <w:pPr>
              <w:spacing w:before="120" w:after="120"/>
              <w:jc w:val="both"/>
              <w:rPr>
                <w:rFonts w:eastAsia="Calibri"/>
                <w:szCs w:val="24"/>
              </w:rPr>
            </w:pPr>
            <w:r w:rsidRPr="002F2F11">
              <w:rPr>
                <w:rFonts w:eastAsia="Calibri"/>
                <w:b/>
                <w:szCs w:val="24"/>
              </w:rPr>
              <w:t>Discussion:</w:t>
            </w:r>
            <w:r w:rsidRPr="002F2F11">
              <w:rPr>
                <w:rFonts w:eastAsia="Calibri"/>
                <w:szCs w:val="24"/>
              </w:rPr>
              <w:t xml:space="preserve"> Health literacy research in hypertension is one of the most important areas of interest for countries, but there is a very limited number of studies in our country. Health literacy is an important part of disease management. The majority of individuals with hypertension have insufficient health literacy. While inadequate health literacy level can almost always lead to limitation of disease management, on the other hand, knowledge may not be sufficient to fulfill the requirements of hypertension control. </w:t>
            </w:r>
          </w:p>
          <w:p w:rsidR="000D48B3" w:rsidRPr="002F2F11" w:rsidRDefault="000D48B3" w:rsidP="00701C90">
            <w:pPr>
              <w:spacing w:before="120" w:after="120"/>
              <w:jc w:val="both"/>
              <w:rPr>
                <w:rFonts w:eastAsia="Calibri"/>
                <w:szCs w:val="24"/>
              </w:rPr>
            </w:pPr>
            <w:r w:rsidRPr="00655F93">
              <w:rPr>
                <w:rFonts w:eastAsia="Calibri"/>
                <w:b/>
                <w:szCs w:val="24"/>
              </w:rPr>
              <w:t>Conclusions and recommendations:</w:t>
            </w:r>
            <w:r w:rsidRPr="00655F93">
              <w:rPr>
                <w:rFonts w:eastAsia="Calibri"/>
                <w:szCs w:val="24"/>
              </w:rPr>
              <w:t xml:space="preserve"> There is a need for research to evaluate the level of health literacy in hypertension control. It is advisable to conduct research to evaluate the self-management of patients with low health literacy levels</w:t>
            </w:r>
            <w:r>
              <w:rPr>
                <w:rFonts w:eastAsia="Calibri"/>
                <w:szCs w:val="24"/>
              </w:rPr>
              <w:t>.</w:t>
            </w:r>
          </w:p>
          <w:p w:rsidR="000D48B3" w:rsidRPr="002F2F11" w:rsidRDefault="000D48B3" w:rsidP="00701C90">
            <w:pPr>
              <w:spacing w:before="120" w:after="120"/>
              <w:jc w:val="both"/>
              <w:rPr>
                <w:rFonts w:eastAsia="Calibri"/>
                <w:szCs w:val="24"/>
              </w:rPr>
            </w:pPr>
            <w:r w:rsidRPr="002F2F11">
              <w:rPr>
                <w:rFonts w:eastAsia="Calibri"/>
                <w:b/>
                <w:szCs w:val="24"/>
              </w:rPr>
              <w:t>Keywords:</w:t>
            </w:r>
            <w:r w:rsidRPr="002F2F11">
              <w:rPr>
                <w:rFonts w:eastAsia="Calibri"/>
                <w:szCs w:val="24"/>
              </w:rPr>
              <w:t xml:space="preserve"> Hypertension, health literacy, disease management, control of blood pressure.</w:t>
            </w:r>
          </w:p>
          <w:p w:rsidR="000D48B3" w:rsidRPr="002F2F11" w:rsidRDefault="000D48B3" w:rsidP="00701C90">
            <w:pPr>
              <w:spacing w:before="120" w:after="120"/>
              <w:jc w:val="both"/>
              <w:rPr>
                <w:rFonts w:eastAsia="Calibri"/>
                <w:szCs w:val="24"/>
              </w:rPr>
            </w:pPr>
          </w:p>
          <w:p w:rsidR="000D48B3" w:rsidRPr="002F2F11" w:rsidRDefault="000D48B3" w:rsidP="00701C90">
            <w:pPr>
              <w:jc w:val="both"/>
              <w:rPr>
                <w:rFonts w:eastAsia="Calibri"/>
                <w:b/>
                <w:szCs w:val="24"/>
                <w:lang w:val="en-US"/>
              </w:rPr>
            </w:pPr>
            <w:r w:rsidRPr="002F2F11">
              <w:rPr>
                <w:rFonts w:eastAsia="Calibri"/>
                <w:b/>
                <w:szCs w:val="24"/>
                <w:lang w:val="en-US"/>
              </w:rPr>
              <w:lastRenderedPageBreak/>
              <w:t xml:space="preserve">Giriş </w:t>
            </w:r>
          </w:p>
          <w:p w:rsidR="000D48B3" w:rsidRPr="002F2F11" w:rsidRDefault="000D48B3" w:rsidP="00701C90">
            <w:pPr>
              <w:jc w:val="both"/>
              <w:rPr>
                <w:rFonts w:eastAsia="Calibri"/>
                <w:szCs w:val="24"/>
              </w:rPr>
            </w:pPr>
            <w:r>
              <w:rPr>
                <w:rFonts w:eastAsia="Calibri"/>
                <w:szCs w:val="24"/>
              </w:rPr>
              <w:tab/>
            </w:r>
            <w:r w:rsidRPr="002F2F11">
              <w:rPr>
                <w:rFonts w:eastAsia="Calibri"/>
                <w:szCs w:val="24"/>
              </w:rPr>
              <w:t>Kronik hastalıklar bireysel düzeyde yaşam kalitesini etkilerken, ülkeler açısından yüksek mortalite, morbidite ve sağlık harcamaları ile sağlık finansmanının sürdürülebilirliği yönüyle küresel tehdit oluşturmaktadır</w:t>
            </w:r>
            <w:r w:rsidRPr="002F2F11">
              <w:rPr>
                <w:rFonts w:eastAsia="Calibri"/>
                <w:b/>
                <w:szCs w:val="24"/>
              </w:rPr>
              <w:t xml:space="preserve"> </w:t>
            </w:r>
            <w:r w:rsidRPr="002F2F11">
              <w:rPr>
                <w:rFonts w:eastAsia="Calibri"/>
                <w:b/>
                <w:szCs w:val="24"/>
              </w:rPr>
              <w:fldChar w:fldCharType="begin" w:fldLock="1"/>
            </w:r>
            <w:r w:rsidRPr="002F2F11">
              <w:rPr>
                <w:rFonts w:eastAsia="Calibri"/>
                <w:b/>
                <w:szCs w:val="24"/>
              </w:rPr>
              <w:instrText>ADDIN CSL_CITATION { "citationItems" : [ { "id" : "ITEM-1", "itemData" : { "DOI" : "10.13140/RG.2.2.12545.25444", "author" : [ { "dropping-particle" : "", "family" : "Kahveci", "given" : "R", "non-dropping-particle" : "", "parse-names" : false, "suffix" : "" }, { "dropping-particle" : "", "family" : "Dilma\u00e7", "given" : "E", "non-dropping-particle" : "", "parse-names" : false, "suffix" : "" }, { "dropping-particle" : "", "family" : "\u00d6zsar\u0131", "given" : "H", "non-dropping-particle" : "", "parse-names" : false, "suffix" : "" }, { "dropping-particle" : "", "family" : "Ayd\u0131n", "given" : "M", "non-dropping-particle" : "", "parse-names" : false, "suffix" : "" }, { "dropping-particle" : "", "family" : "Artanta\u015f", "given" : "AB.", "non-dropping-particle" : "", "parse-names" : false, "suffix" : "" }, { "dropping-particle" : "", "family" : "Ayhan", "given" : "D", "non-dropping-particle" : "", "parse-names" : false, "suffix" : "" }, { "dropping-particle" : "", "family" : "Ko\u00e7", "given" : "M.", "non-dropping-particle" : "", "parse-names" : false, "suffix" : "" } ], "id" : "ITEM-1", "issue" : "October", "issued" : { "date-parts" : [ [ "2013" ] ] }, "number-of-pages" : "2-13", "publisher-place" : "Ankara", "title" : "Sa\u011fl\u0131kl\u0131 ya\u015flanma ve kronik hastal\u0131klar fark\u0131ndal\u0131k projesi", "type" : "report" }, "uris" : [ "http://www.mendeley.com/documents/?uuid=5239317e-dc64-4e10-a38c-cf5c308eebb3" ] } ], "mendeley" : { "formattedCitation" : "(Kahveci et al., 2013)", "plainTextFormattedCitation" : "(Kahveci et al., 2013)", "previouslyFormattedCitation" : "(Kahveci et al., 2013)" }, "properties" : {  }, "schema" : "https://github.com/citation-style-language/schema/raw/master/csl-citation.json" }</w:instrText>
            </w:r>
            <w:r w:rsidRPr="002F2F11">
              <w:rPr>
                <w:rFonts w:eastAsia="Calibri"/>
                <w:b/>
                <w:szCs w:val="24"/>
              </w:rPr>
              <w:fldChar w:fldCharType="separate"/>
            </w:r>
            <w:r w:rsidRPr="002F2F11">
              <w:rPr>
                <w:rFonts w:eastAsia="Calibri"/>
                <w:noProof/>
                <w:szCs w:val="24"/>
              </w:rPr>
              <w:t>(Kahveci et al., 2013)</w:t>
            </w:r>
            <w:r w:rsidRPr="002F2F11">
              <w:rPr>
                <w:rFonts w:eastAsia="Calibri"/>
                <w:b/>
                <w:szCs w:val="24"/>
              </w:rPr>
              <w:fldChar w:fldCharType="end"/>
            </w:r>
            <w:r w:rsidRPr="002F2F11">
              <w:rPr>
                <w:rFonts w:eastAsia="Calibri"/>
                <w:b/>
                <w:szCs w:val="24"/>
              </w:rPr>
              <w:t xml:space="preserve">. </w:t>
            </w:r>
            <w:r w:rsidRPr="002F2F11">
              <w:rPr>
                <w:rFonts w:eastAsia="Calibri"/>
                <w:szCs w:val="24"/>
              </w:rPr>
              <w:t xml:space="preserve">Kardiovasküler hastalıklar içinde yer alan ve inme, kalp yetmezliği, böbrek yetmezliği gibi hastalıklar için majör risk faktörlerinden olan hipertansiyon, tüm dünyada nüfusun %30’unu etkilerken, her yıl 9.4 milyon kişinin hayatını kaybetmesine neden olmaktadır </w:t>
            </w:r>
            <w:r w:rsidRPr="002F2F11">
              <w:rPr>
                <w:rFonts w:eastAsia="Calibri"/>
                <w:b/>
                <w:szCs w:val="24"/>
              </w:rPr>
              <w:fldChar w:fldCharType="begin" w:fldLock="1"/>
            </w:r>
            <w:r w:rsidRPr="002F2F11">
              <w:rPr>
                <w:rFonts w:eastAsia="Calibri"/>
                <w:b/>
                <w:szCs w:val="24"/>
              </w:rPr>
              <w:instrText>ADDIN CSL_CITATION { "citationItems" : [ { "id" : "ITEM-1", "itemData" : { "author" : [ { "dropping-particle" : "", "family" : "World Health Organisation (WHO)", "given" : "", "non-dropping-particle" : "", "parse-names" : false, "suffix" : "" } ], "id" : "ITEM-1", "issued" : { "date-parts" : [ [ "2015" ] ] }, "number-of-pages" : "1", "title" : "Prevalence of raised blood pressure", "type" : "report" }, "uris" : [ "http://www.mendeley.com/documents/?uuid=ff11bf43-fe72-4275-94ea-b5f0f563331a" ] } ], "mendeley" : { "formattedCitation" : "(World Health Organisation (WHO), 2015)", "plainTextFormattedCitation" : "(World Health Organisation (WHO), 2015)", "previouslyFormattedCitation" : "(World Health Organisation (WHO), 2015)" }, "properties" : {  }, "schema" : "https://github.com/citation-style-language/schema/raw/master/csl-citation.json" }</w:instrText>
            </w:r>
            <w:r w:rsidRPr="002F2F11">
              <w:rPr>
                <w:rFonts w:eastAsia="Calibri"/>
                <w:b/>
                <w:szCs w:val="24"/>
              </w:rPr>
              <w:fldChar w:fldCharType="separate"/>
            </w:r>
            <w:r w:rsidRPr="002F2F11">
              <w:rPr>
                <w:rFonts w:eastAsia="Calibri"/>
                <w:noProof/>
                <w:szCs w:val="24"/>
              </w:rPr>
              <w:t>(World Health Organisation (WHO), 2015)</w:t>
            </w:r>
            <w:r w:rsidRPr="002F2F11">
              <w:rPr>
                <w:rFonts w:eastAsia="Calibri"/>
                <w:b/>
                <w:szCs w:val="24"/>
              </w:rPr>
              <w:fldChar w:fldCharType="end"/>
            </w:r>
            <w:r w:rsidRPr="002F2F11">
              <w:rPr>
                <w:rFonts w:eastAsia="Calibri"/>
                <w:szCs w:val="24"/>
                <w:lang w:val="en-US"/>
              </w:rPr>
              <w:t>.</w:t>
            </w:r>
            <w:r w:rsidRPr="002F2F11">
              <w:rPr>
                <w:rFonts w:eastAsia="Calibri"/>
                <w:szCs w:val="24"/>
              </w:rPr>
              <w:t xml:space="preserve"> </w:t>
            </w:r>
            <w:r w:rsidRPr="002F2F11">
              <w:rPr>
                <w:szCs w:val="24"/>
              </w:rPr>
              <w:t xml:space="preserve">Hipertansiyon gelişmiş ve gelişmekte olan ülkelerde önemli bir halk sağlığı sorunu olarak görülmektedir </w:t>
            </w:r>
            <w:r w:rsidRPr="002F2F11">
              <w:rPr>
                <w:szCs w:val="24"/>
              </w:rPr>
              <w:fldChar w:fldCharType="begin" w:fldLock="1"/>
            </w:r>
            <w:r w:rsidRPr="002F2F11">
              <w:rPr>
                <w:szCs w:val="24"/>
              </w:rPr>
              <w:instrText>ADDIN CSL_CITATION { "citationItems" : [ { "id" : "ITEM-1", "itemData" : { "DOI" : "10.19082/5712", "ISBN" : "2425262830", "ISSN" : "2008-5842", "PMID" : "29403610", "abstract" : "Background and Objective Hypertension is considered an important public health problem in developed and developing countries. This disease is closely associated with the quality of life of patients, and it seems that health literacy plays a role in this regard. Due to lack of information on the role of health literacy on the quality of life in patients with hypertension, this study has aimed to determine the correlation between health literacy and health-related quality of life in patients with hypertension. Methods This study is cross-sectional. The sample consisted of 400 patients with hypertension who were enrolled if available. To collect data, a demographic questionnaire (SF-36), Short Form Health Survey, and Health Literacy for Iranian Adults (HELIA) Inventory were used. Data were analyzed using SPSS software version 21 for descriptive and inferential statistics (e.g., mean, standard deviation, t-test, and Pearson correlation coefficient). Results The mean and standard deviation scores of health literacy and health-related quality of life were, respectively, 68.66 (\u00b113.56) and 52.94 (\u00b115.20). There was positive and significant correlation between health literacy and health-related quality of life (p&lt;0.01, r=0.30). Conclusion According to research findings, there was a significant positive correlation between health literacy and health-related quality of life. Given the importance of health literacy in the quality of life in patients with hypertension, it seems essential that nursing officials and policymakers take steps to promote patients' health and quality of life by using training programs appropriate for the patients' health literacy level.", "author" : [ { "dropping-particle" : "", "family" : "Naimi", "given" : "Ahmad Johari", "non-dropping-particle" : "", "parse-names" : false, "suffix" : "" }, { "dropping-particle" : "", "family" : "Naderiravesh", "given" : "Nadereh", "non-dropping-particle" : "", "parse-names" : false, "suffix" : "" }, { "dropping-particle" : "", "family" : "Bayat", "given" : "Zahra Safavi", "non-dropping-particle" : "", "parse-names" : false, "suffix" : "" }, { "dropping-particle" : "", "family" : "Shakeri", "given" : "Nezhat", "non-dropping-particle" : "", "parse-names" : false, "suffix" : "" }, { "dropping-particle" : "", "family" : "Matbouei", "given" : "Mahsa", "non-dropping-particle" : "", "parse-names" : false, "suffix" : "" } ], "container-title" : "Electronic physician", "id" : "ITEM-1", "issue" : "11", "issued" : { "date-parts" : [ [ "2017" ] ] }, "page" : "5712-5720", "title" : "Correlation between health literacy and health-related quality of life in patients with hypertension, in Tehran, Iran, 2015-2016.", "type" : "article-journal", "volume" : "9" }, "uris" : [ "http://www.mendeley.com/documents/?uuid=1df560b2-7b40-493b-8350-3b8220f51e47" ] } ], "mendeley" : { "formattedCitation" : "(Naimi, Naderiravesh, Bayat, Shakeri, &amp; Matbouei, 2017)", "plainTextFormattedCitation" : "(Naimi, Naderiravesh, Bayat, Shakeri, &amp; Matbouei, 2017)", "previouslyFormattedCitation" : "(Naimi, Naderiravesh, Bayat, Shakeri, &amp; Matbouei, 2017)" }, "properties" : {  }, "schema" : "https://github.com/citation-style-language/schema/raw/master/csl-citation.json" }</w:instrText>
            </w:r>
            <w:r w:rsidRPr="002F2F11">
              <w:rPr>
                <w:szCs w:val="24"/>
              </w:rPr>
              <w:fldChar w:fldCharType="separate"/>
            </w:r>
            <w:r w:rsidRPr="002F2F11">
              <w:rPr>
                <w:noProof/>
                <w:szCs w:val="24"/>
              </w:rPr>
              <w:t>(Naimi, Naderiravesh, Bayat, Shakeri, &amp; Matbouei, 2017)</w:t>
            </w:r>
            <w:r w:rsidRPr="002F2F11">
              <w:rPr>
                <w:szCs w:val="24"/>
              </w:rPr>
              <w:fldChar w:fldCharType="end"/>
            </w:r>
            <w:r w:rsidRPr="002F2F11">
              <w:rPr>
                <w:szCs w:val="24"/>
              </w:rPr>
              <w:t xml:space="preserve">. </w:t>
            </w:r>
            <w:r w:rsidRPr="002F2F11">
              <w:rPr>
                <w:rFonts w:eastAsia="Calibri"/>
                <w:szCs w:val="24"/>
              </w:rPr>
              <w:t xml:space="preserve">Türk toplumunda hipertansiyon yaygınlığı %31.8 (erkeklerde %27.7, kadınlarda %36.1) olarak bildirilirken, hipertansiyonu olan bireylerin sadece %40.7’ sinin hastalıklarının farkında olduğu, %31.1’inin antihipertansif tedavi aldığı ve tedavi alanların sadece %20.7’sinin kan basıncının kontrol altında olduğu saptanmıştır (TEMD Obezite, Lipid Metabolizması ve Hipertansiyon Çalışma Grubu 2018). Mersin’de (2018) hipertansiyonlu bireylerle yakın zamanda yapılan bir çalışmada, sağlık okuryazarlığının “sınırlı” düzeyde ve  %61.2’sinin tansiyonunun </w:t>
            </w:r>
            <w:r>
              <w:rPr>
                <w:rFonts w:eastAsia="Calibri"/>
                <w:szCs w:val="24"/>
              </w:rPr>
              <w:t>“</w:t>
            </w:r>
            <w:r w:rsidRPr="002F2F11">
              <w:rPr>
                <w:rFonts w:eastAsia="Calibri"/>
                <w:szCs w:val="24"/>
              </w:rPr>
              <w:t>yüksek</w:t>
            </w:r>
            <w:r>
              <w:rPr>
                <w:rFonts w:eastAsia="Calibri"/>
                <w:szCs w:val="24"/>
              </w:rPr>
              <w:t>”</w:t>
            </w:r>
            <w:r w:rsidRPr="002F2F11">
              <w:rPr>
                <w:rFonts w:eastAsia="Calibri"/>
                <w:szCs w:val="24"/>
              </w:rPr>
              <w:t xml:space="preserve"> olduğu bildirilmiştir </w:t>
            </w:r>
            <w:r w:rsidRPr="002F2F11">
              <w:rPr>
                <w:rFonts w:eastAsia="Calibri"/>
                <w:szCs w:val="24"/>
              </w:rPr>
              <w:fldChar w:fldCharType="begin" w:fldLock="1"/>
            </w:r>
            <w:r w:rsidRPr="002F2F11">
              <w:rPr>
                <w:rFonts w:eastAsia="Calibri"/>
                <w:szCs w:val="24"/>
              </w:rPr>
              <w:instrText>ADDIN CSL_CITATION { "citationItems" : [ { "id" : "ITEM-1", "itemData" : { "DOI" : "10.5505/anatoljfm.2018.92486", "ISSN" : "2630-5593", "author" : [ { "dropping-particle" : "", "family" : "\u00d6nc\u00fc", "given" : "Emine", "non-dropping-particle" : "", "parse-names" : false, "suffix" : "" }, { "dropping-particle" : "", "family" : "Vay\u0131so\u011flu", "given" : "S\u00fcmb\u00fcle K.", "non-dropping-particle" : "", "parse-names" : false, "suffix" : "" }, { "dropping-particle" : "", "family" : "G\u00fcven", "given" : "Yasemin", "non-dropping-particle" : "", "parse-names" : false, "suffix" : "" }, { "dropping-particle" : "", "family" : "Akta\u015f", "given" : "Gamze", "non-dropping-particle" : "", "parse-names" : false, "suffix" : "" }, { "dropping-particle" : "", "family" : "Ceyhan", "given" : "Halil", "non-dropping-particle" : "", "parse-names" : false, "suffix" : "" }, { "dropping-particle" : "", "family" : "Karaku\u015f", "given" : "Esra", "non-dropping-particle" : "", "parse-names" : false, "suffix" : "" } ], "container-title" : "The Anatolian Journal of Family Medicine", "id" : "ITEM-1", "issue" : "1", "issued" : { "date-parts" : [ [ "2018" ] ] }, "page" : "31-32", "title" : "Hipertansiyonu olan bireylerin kronik hastal\u0131k y\u00f6netimine ili\u015fkin de\u011ferlendirmeleri ve sa\u011fl\u0131k okuryazarl\u0131\u011f\u0131 ile ili\u015fkisi", "type" : "article-journal", "volume" : "1" }, "uris" : [ "http://www.mendeley.com/documents/?uuid=f2a4bfc7-6595-4b74-b1cf-488944435997" ] } ], "mendeley" : { "formattedCitation" : "(\u00d6nc\u00fc et al., 2018)", "plainTextFormattedCitation" : "(\u00d6nc\u00fc et al., 2018)", "previouslyFormattedCitation" : "(\u00d6nc\u00fc et al., 2018)"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(Öncü et al., 2018)</w:t>
            </w:r>
            <w:r w:rsidRPr="002F2F11">
              <w:rPr>
                <w:rFonts w:eastAsia="Calibri"/>
                <w:szCs w:val="24"/>
              </w:rPr>
              <w:fldChar w:fldCharType="end"/>
            </w:r>
            <w:r w:rsidRPr="002F2F11">
              <w:rPr>
                <w:rFonts w:eastAsia="Calibri"/>
                <w:szCs w:val="24"/>
              </w:rPr>
              <w:t>.</w:t>
            </w:r>
          </w:p>
          <w:p w:rsidR="000D48B3" w:rsidRPr="002F2F11" w:rsidRDefault="000D48B3" w:rsidP="00701C90">
            <w:pPr>
              <w:jc w:val="both"/>
              <w:rPr>
                <w:szCs w:val="24"/>
                <w:lang w:val="en-GB" w:eastAsia="tr-TR"/>
              </w:rPr>
            </w:pPr>
            <w:r>
              <w:rPr>
                <w:rFonts w:eastAsia="Calibri"/>
                <w:szCs w:val="24"/>
              </w:rPr>
              <w:tab/>
            </w:r>
            <w:r w:rsidRPr="002F2F11">
              <w:rPr>
                <w:rFonts w:eastAsia="Calibri"/>
                <w:szCs w:val="24"/>
              </w:rPr>
              <w:t xml:space="preserve">Bireylerin sağlık konuları hakkında bilgi edinme ve uygulama becerileri, sağlık ve hastalık davranışları üzerinde önemli etkiye sahiptir </w:t>
            </w:r>
            <w:r w:rsidRPr="002F2F11">
              <w:rPr>
                <w:rFonts w:eastAsia="Calibri"/>
                <w:szCs w:val="24"/>
              </w:rPr>
              <w:fldChar w:fldCharType="begin" w:fldLock="1"/>
            </w:r>
            <w:r w:rsidRPr="002F2F11">
              <w:rPr>
                <w:rFonts w:eastAsia="Calibri"/>
                <w:szCs w:val="24"/>
              </w:rPr>
              <w:instrText>ADDIN CSL_CITATION { "citationItems" : [ { "id" : "ITEM-1", "itemData" : { "author" : [ { "dropping-particle" : "", "family" : "Chajaee", "given" : "F", "non-dropping-particle" : "", "parse-names" : false, "suffix" : "" }, { "dropping-particle" : "", "family" : "Pirzadeh", "given" : "A", "non-dropping-particle" : "", "parse-names" : false, "suffix" : "" }, { "dropping-particle" : "", "family" : "Hasanzadeh", "given" : "A", "non-dropping-particle" : "", "parse-names" : false, "suffix" : "" }, { "dropping-particle" : "", "family" : "Mostafavi", "given" : "F", "non-dropping-particle" : "", "parse-names" : false, "suffix" : "" } ], "container-title" : "Electronic Physician", "id" : "ITEM-1", "issue" : "3", "issued" : { "date-parts" : [ [ "2018" ] ] }, "page" : "6470- 6477", "title" : "Relationship between health literacy and knowledge among patients with hypertension in Isfahan province, Iran", "type" : "article-journal", "volume" : "10" }, "uris" : [ "http://www.mendeley.com/documents/?uuid=c456c00f-82d3-4b0e-a24d-b21dcd7fe718" ] } ], "mendeley" : { "formattedCitation" : "(Chajaee, Pirzadeh, Hasanzadeh, &amp; Mostafavi, 2018)", "plainTextFormattedCitation" : "(Chajaee, Pirzadeh, Hasanzadeh, &amp; Mostafavi, 2018)", "previouslyFormattedCitation" : "(Chajaee, Pirzadeh, Hasanzadeh, &amp; Mostafavi, 2018)"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(Chajaee, Pirzadeh, Hasanzadeh, &amp; Mostafavi, 2018)</w:t>
            </w:r>
            <w:r w:rsidRPr="002F2F11">
              <w:rPr>
                <w:rFonts w:eastAsia="Calibri"/>
                <w:szCs w:val="24"/>
              </w:rPr>
              <w:fldChar w:fldCharType="end"/>
            </w:r>
            <w:r w:rsidRPr="002F2F11">
              <w:rPr>
                <w:rFonts w:eastAsia="Calibri"/>
                <w:szCs w:val="24"/>
              </w:rPr>
              <w:t xml:space="preserve"> ve </w:t>
            </w:r>
            <w:r w:rsidRPr="002F2F11">
              <w:rPr>
                <w:szCs w:val="24"/>
              </w:rPr>
              <w:t xml:space="preserve">hastalığın öz-yönetiminde kritik rol oynar </w:t>
            </w:r>
            <w:r w:rsidRPr="002F2F11">
              <w:rPr>
                <w:szCs w:val="24"/>
              </w:rPr>
              <w:fldChar w:fldCharType="begin" w:fldLock="1"/>
            </w:r>
            <w:r w:rsidRPr="002F2F11">
              <w:rPr>
                <w:szCs w:val="24"/>
              </w:rPr>
              <w:instrText>ADDIN CSL_CITATION { "citationItems" : [ { "id" : "ITEM-1", "itemData" : { "DOI" : "10.3934/publichealth.2017.4.314", "ISBN" : "2327-8994 (Print)\r2327-8994 (Linking)", "ISSN" : "2327-8994", "PMID" : "29546220", "abstract" : "Objective: Health literacy plays a critical role in chronic disease self-management. This study aimed to determine the relation between health literacy levels, hypertension awareness and control among primary-secondary school teachers in Turkey. Materials and Methods: This descriptive and cross-sectional research was conducted among school teachers with the participation of 500 volunteer teachers of both genders. The response rate was 86.2%. To determine health literacy levels, the Newest Vital Sign Scale and Blood Pressure Concept Test were used. Results: The mean scores of all individuals were 2.12 +/- 1.82 over six points although this showed \"limited\" levels of health literacy. The mean scores obtained from the scale were 2.13 +/- 1.83 in non-hypertensives, while it was 2.06 +/- 1.77 in hypertensives. Nonetheless, disease knowledge and awareness were low in teachers. Adequate health literacy levels were low according to disease awareness and control. The measured health literacy levels of teachers didn't overlap with their own assessments about health literacy skills. Recommendations: Limited health literacy levels in educators gave an impression that our education system was poor in terms of health education programs.", "author" : [ { "dropping-particle" : "", "family" : "Yilmazel", "given" : "G\u00fclay", "non-dropping-particle" : "", "parse-names" : false, "suffix" : "" }, { "dropping-particle" : "", "family" : "\u00c7etinkaya", "given" : "Fevziye", "non-dropping-particle" : "", "parse-names" : false, "suffix" : "" } ], "container-title" : "AIMS Public Health", "id" : "ITEM-1", "issue" : "4", "issued" : { "date-parts" : [ [ "2017" ] ] }, "page" : "314-325", "title" : "Relation between Health Literacy Levels, Hypertension Awareness and Control among Primary-secondary School Teachers in Turkey", "type" : "article-journal", "volume" : "4" }, "uris" : [ "http://www.mendeley.com/documents/?uuid=1cbf097a-aa84-4790-b0a4-03d1354b95f8" ] } ], "mendeley" : { "formattedCitation" : "(Yilmazel &amp; \u00c7etinkaya, 2017)", "plainTextFormattedCitation" : "(Yilmazel &amp; \u00c7etinkaya, 2017)", "previouslyFormattedCitation" : "(Yilmazel &amp; \u00c7etinkaya, 2017)" }, "properties" : {  }, "schema" : "https://github.com/citation-style-language/schema/raw/master/csl-citation.json" }</w:instrText>
            </w:r>
            <w:r w:rsidRPr="002F2F11">
              <w:rPr>
                <w:szCs w:val="24"/>
              </w:rPr>
              <w:fldChar w:fldCharType="separate"/>
            </w:r>
            <w:r w:rsidRPr="002F2F11">
              <w:rPr>
                <w:noProof/>
                <w:szCs w:val="24"/>
              </w:rPr>
              <w:t>(Yilmazel &amp; Çetinkaya, 2017)</w:t>
            </w:r>
            <w:r w:rsidRPr="002F2F11">
              <w:rPr>
                <w:szCs w:val="24"/>
              </w:rPr>
              <w:fldChar w:fldCharType="end"/>
            </w:r>
            <w:r w:rsidRPr="002F2F11">
              <w:rPr>
                <w:szCs w:val="24"/>
              </w:rPr>
              <w:t xml:space="preserve">. </w:t>
            </w:r>
            <w:r w:rsidRPr="002F2F11">
              <w:rPr>
                <w:rFonts w:eastAsia="Calibri"/>
                <w:szCs w:val="24"/>
              </w:rPr>
              <w:t>Hipertansiyon genellikle semptomsuzdur ve kronik komplikasyonlara neden olana kadar ciddi belirti vermeyebilir</w:t>
            </w:r>
            <w:r>
              <w:rPr>
                <w:rFonts w:eastAsia="Calibri"/>
                <w:szCs w:val="24"/>
              </w:rPr>
              <w:t xml:space="preserve"> </w:t>
            </w:r>
            <w:r w:rsidRPr="002F2F11">
              <w:rPr>
                <w:rFonts w:eastAsia="Calibri"/>
                <w:szCs w:val="24"/>
              </w:rPr>
              <w:fldChar w:fldCharType="begin" w:fldLock="1"/>
            </w:r>
            <w:r w:rsidRPr="002F2F11">
              <w:rPr>
                <w:rFonts w:eastAsia="Calibri"/>
                <w:szCs w:val="24"/>
              </w:rPr>
              <w:instrText>ADDIN CSL_CITATION { "citationItems" : [ { "id" : "ITEM-1", "itemData" : { "author" : [ { "dropping-particle" : "", "family" : "Chajaee", "given" : "F", "non-dropping-particle" : "", "parse-names" : false, "suffix" : "" }, { "dropping-particle" : "", "family" : "Pirzadeh", "given" : "A", "non-dropping-particle" : "", "parse-names" : false, "suffix" : "" }, { "dropping-particle" : "", "family" : "Hasanzadeh", "given" : "A", "non-dropping-particle" : "", "parse-names" : false, "suffix" : "" }, { "dropping-particle" : "", "family" : "Mostafavi", "given" : "F", "non-dropping-particle" : "", "parse-names" : false, "suffix" : "" } ], "container-title" : "Electronic Physician", "id" : "ITEM-1", "issue" : "3", "issued" : { "date-parts" : [ [ "2018" ] ] }, "page" : "6470- 6477", "title" : "Relationship between health literacy and knowledge among patients with hypertension in Isfahan province, Iran", "type" : "article-journal", "volume" : "10" }, "uris" : [ "http://www.mendeley.com/documents/?uuid=c456c00f-82d3-4b0e-a24d-b21dcd7fe718" ] } ], "mendeley" : { "formattedCitation" : "(Chajaee et al., 2018)", "plainTextFormattedCitation" : "(Chajaee et al., 2018)", "previouslyFormattedCitation" : "(Chajaee et al., 2018)"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(Chajaee et al., 2018)</w:t>
            </w:r>
            <w:r w:rsidRPr="002F2F11">
              <w:rPr>
                <w:rFonts w:eastAsia="Calibri"/>
                <w:szCs w:val="24"/>
              </w:rPr>
              <w:fldChar w:fldCharType="end"/>
            </w:r>
            <w:r w:rsidRPr="002F2F11">
              <w:rPr>
                <w:rFonts w:eastAsia="Calibri"/>
                <w:szCs w:val="24"/>
              </w:rPr>
              <w:t xml:space="preserve">. Dolayısıyla başarılı tansiyon kontrolünü sağlamak için, bireylerin ilaçlara uyum, sık doktor kontrolü, diyet ve yaşam şekli değişikliği gibi karmaşık görevlere uyum göstermesini gerekir </w:t>
            </w:r>
            <w:r w:rsidRPr="002F2F11">
              <w:rPr>
                <w:rFonts w:eastAsia="Calibri"/>
                <w:szCs w:val="24"/>
              </w:rPr>
              <w:fldChar w:fldCharType="begin" w:fldLock="1"/>
            </w:r>
            <w:r w:rsidRPr="002F2F11">
              <w:rPr>
                <w:rFonts w:eastAsia="Calibri"/>
                <w:szCs w:val="24"/>
              </w:rPr>
              <w:instrText>ADDIN CSL_CITATION { "citationItems" : [ { "id" : "ITEM-1", "itemData" : { "DOI" : "10.1186/1472-6963-8-219", "ISSN" : "14726963", "PMID" : "18947408", "abstract" : "BACKGROUND Limited literacy is common among patients with chronic conditions and is associated with poor health outcomes. We sought to determine the association between literacy and blood pressure in primary care patients with hypertension and to determine if this relationship was consistent across distinct systems of healthcare delivery. METHODS We conducted a cross-sectional study of 1224 patients with hypertension utilizing baseline data from two separate, but similar randomized controlled trials. Patients were enrolled from primary care clinics in the Veterans Affairs healthcare system (VAHS) and a university healthcare system (UHS) in Durham, North Carolina. We compared the association between literacy and the primary outcome systolic blood pressure (SBP) and secondary outcomes of diastolic blood pressure (DBP) and blood pressure (BP) control across the two different healthcare systems. RESULTS Patients who read below a 9th grade level comprised 38.4% of patients in the VAHS and 27.5% of the patients in the UHS. There was a significant interaction between literacy and healthcare system for SBP. In adjusted analyses, SBP for patients with limited literacy was 1.2 mmHg lower than patients with adequate literacy in the VAHS (95% CI, -4.8 to 2.3), but 6.1 mmHg higher than patients with adequate literacy in the UHS (95% CI, 2.1 to 10.1); (p = 0.003 for test of interaction). This literacy by healthcare system interaction was not statistically significant for DBP or BP control. CONCLUSION The relationship between patient literacy and systolic blood pressure varied significantly across different models of healthcare delivery. The attributes of the healthcare delivery system may influence the relationship between literacy and health outcomes.", "author" : [ { "dropping-particle" : "", "family" : "Powers", "given" : "Benjamin J.", "non-dropping-particle" : "", "parse-names" : false, "suffix" : "" }, { "dropping-particle" : "", "family" : "Olsen", "given" : "Maren K.", "non-dropping-particle" : "", "parse-names" : false, "suffix" : "" }, { "dropping-particle" : "", "family" : "Oddone", "given" : "Eugene Z.", "non-dropping-particle" : "", "parse-names" : false, "suffix" : "" }, { "dropping-particle" : "", "family" : "Thorpe", "given" : "Carolyn T.", "non-dropping-particle" : "", "parse-names" : false, "suffix" : "" }, { "dropping-particle" : "", "family" : "Bosworth", "given" : "Hayden B.", "non-dropping-particle" : "", "parse-names" : false, "suffix" : "" } ], "container-title" : "BMC Health Services Research", "id" : "ITEM-1", "issued" : { "date-parts" : [ [ "2008" ] ] }, "page" : "1-9", "title" : "Literacy and blood pressure - Do healthcare systems influence this relationship? A cross-sectional study", "type" : "article-journal", "volume" : "8" }, "uris" : [ "http://www.mendeley.com/documents/?uuid=9ec35ead-3d7f-4297-8a1f-def06421277e" ] } ], "mendeley" : { "formattedCitation" : "(Powers, Olsen, Oddone, Thorpe, &amp; Bosworth, 2008)", "plainTextFormattedCitation" : "(Powers, Olsen, Oddone, Thorpe, &amp; Bosworth, 2008)", "previouslyFormattedCitation" : "(Powers, Olsen, Oddone, Thorpe, &amp; Bosworth, 2008)"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(Powers, Olsen, Oddone, Thorpe, &amp; Bosworth, 2008)</w:t>
            </w:r>
            <w:r w:rsidRPr="002F2F11">
              <w:rPr>
                <w:rFonts w:eastAsia="Calibri"/>
                <w:szCs w:val="24"/>
              </w:rPr>
              <w:fldChar w:fldCharType="end"/>
            </w:r>
            <w:r w:rsidRPr="002F2F11">
              <w:rPr>
                <w:rFonts w:eastAsia="Calibri"/>
                <w:szCs w:val="24"/>
              </w:rPr>
              <w:t xml:space="preserve">. </w:t>
            </w:r>
            <w:r w:rsidRPr="002F2F11">
              <w:rPr>
                <w:szCs w:val="24"/>
              </w:rPr>
              <w:t>Bu nedenle b</w:t>
            </w:r>
            <w:r w:rsidRPr="002F2F11">
              <w:rPr>
                <w:rFonts w:eastAsia="Calibri"/>
                <w:szCs w:val="24"/>
              </w:rPr>
              <w:t xml:space="preserve">ireylerin hastalığın oluşumu ve kontrolü konusunda bilgi sahibi olması, bilgi kaynaklarına ulaşması, bilgiyi doğru olarak algılayarak uygulaması gerekir ki </w:t>
            </w:r>
            <w:r>
              <w:rPr>
                <w:rFonts w:eastAsia="Calibri"/>
                <w:szCs w:val="24"/>
              </w:rPr>
              <w:t>“s</w:t>
            </w:r>
            <w:r w:rsidRPr="002F2F11">
              <w:rPr>
                <w:rFonts w:eastAsia="Calibri"/>
                <w:szCs w:val="24"/>
              </w:rPr>
              <w:t xml:space="preserve">ağlık okuryazarlığı” olarak tanımlanan bu özelliklerin, hastalığın etkin tedavisi ve komplikasyonlarından korunmada </w:t>
            </w:r>
            <w:r w:rsidRPr="002F2F11">
              <w:rPr>
                <w:rFonts w:eastAsia="Calibri"/>
                <w:szCs w:val="24"/>
              </w:rPr>
              <w:fldChar w:fldCharType="begin" w:fldLock="1"/>
            </w:r>
            <w:r w:rsidRPr="002F2F11">
              <w:rPr>
                <w:rFonts w:eastAsia="Calibri"/>
                <w:szCs w:val="24"/>
              </w:rPr>
              <w:instrText>ADDIN CSL_CITATION { "citationItems" : [ { "id" : "ITEM-1", "itemData" : { "author" : [ { "dropping-particle" : "", "family" : "Bilir", "given" : "Nazmi", "non-dropping-particle" : "", "parse-names" : false, "suffix" : "" } ], "container-title" : "Turk J Public Health", "id" : "ITEM-1", "issue" : "1", "issued" : { "date-parts" : [ [ "2014" ] ] }, "page" : "61-68", "title" : "Sa\u011fl\u0131k Okuryazar\u0131\u011f\u0131", "type" : "article-journal", "volume" : "12" }, "uris" : [ "http://www.mendeley.com/documents/?uuid=1c0644f7-20af-4f25-98de-cf2f95d4a24d" ] } ], "mendeley" : { "formattedCitation" : "(Bilir, 2014)", "plainTextFormattedCitation" : "(Bilir, 2014)", "previouslyFormattedCitation" : "(Bilir, 2014)"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(Bilir, 2014)</w:t>
            </w:r>
            <w:r w:rsidRPr="002F2F11">
              <w:rPr>
                <w:rFonts w:eastAsia="Calibri"/>
                <w:szCs w:val="24"/>
              </w:rPr>
              <w:fldChar w:fldCharType="end"/>
            </w:r>
            <w:r>
              <w:rPr>
                <w:rFonts w:eastAsia="Calibri"/>
                <w:szCs w:val="24"/>
              </w:rPr>
              <w:t xml:space="preserve">, </w:t>
            </w:r>
            <w:r w:rsidRPr="002F2F11">
              <w:rPr>
                <w:szCs w:val="24"/>
              </w:rPr>
              <w:t xml:space="preserve">ilaç uyumunu iyileştirmede ve hastalığın kontrolü arttırmada etkili olduğu araştırmalarla gösterilmiştir </w:t>
            </w:r>
            <w:r w:rsidRPr="002F2F11">
              <w:rPr>
                <w:szCs w:val="24"/>
              </w:rPr>
              <w:fldChar w:fldCharType="begin" w:fldLock="1"/>
            </w:r>
            <w:r w:rsidRPr="002F2F11">
              <w:rPr>
                <w:szCs w:val="24"/>
              </w:rPr>
              <w:instrText>ADDIN CSL_CITATION { "citationItems" : [ { "id" : "ITEM-1", "itemData" : { "author" : [ { "dropping-particle" : "", "family" : "Alves", "given" : "E", "non-dropping-particle" : "", "parse-names" : false, "suffix" : "" }, { "dropping-particle" : "", "family" : "Costa", "given" : "AR", "non-dropping-particle" : "", "parse-names" : false, "suffix" : "" }, { "dropping-particle" : "", "family" : "Moura-Ferreira", "given" : "P", "non-dropping-particle" : "", "parse-names" : false, "suffix" : "" }, { "dropping-particle" : "", "family" : "Azevedo", "given" : "A", "non-dropping-particle" : "", "parse-names" : false, "suffix" : "" }, { "dropping-particle" : "", "family" : "Lunet", "given" : "N", "non-dropping-particle" : "", "parse-names" : false, "suffix" : "" } ], "container-title" : "Blood Press", "id" : "ITEM-1", "issue" : "4", "issued" : { "date-parts" : [ [ "2018" ] ] }, "page" : "194-199", "title" : "Health-related knowledge on hypertension among the Portuguese population: results from a population-based survey", "type" : "article-journal", "volume" : "27" }, "uris" : [ "http://www.mendeley.com/documents/?uuid=0c51d94e-6aab-46c0-a78e-4e82690bd56d" ] }, { "id" : "ITEM-2", "itemData" : { "DOI" : "10.1111/opn.12196", "ISBN" : "1748-3743(Electronic),1748-3735(Print)", "ISSN" : "17483743", "PMID" : "29665241", "abstract" : "AIM AND OBJECTIVE This study investigated the effects of medication adherence and health literacy on health-related quality of life in vulnerable older people with hypertension. BACKGROUND Health literacy is particularly critical for providing accurate information regarding correct medication intake to improve medication adherence. Additionally, health-related quality of life is directly related to impairment from chronic disease. DESIGN A descriptive, cross-sectional study design was used. The participants were 160 low-income older people with hypertension registered in 16 public health centres in Busan, South Korea. They had received \"visiting nursing services\" for at least 6\u00a0months until the latest date and had belonged to the priority group of visiting nursing services. METHODS The Morisky Medication Adherence Scale, the Newest Vital Signs and EuroQol-5 Dimensions were used to assess medication adherence, health literacy and health-related quality of life, respectively. RESULTS Medication adherence and health literacy were significantly associated with health-related quality of life in vulnerable older people with hypertension, although exercise and subjective health were more significant factors affecting health-related quality of life than medical adherence and health literacy. Level of education, monthly income and employment status were not associated with health-related quality of life. CONCLUSIONS To effectively promote health-related quality of life in this population, medication adherence and health literacy of patients should be considered when developing health interventions, including subjective health and exercise. IMPLICATIONS FOR PRACTICE To effectively promote health-related quality of life in vulnerable older people, medication adherence and health literacy of patients should be assessed, and patient-centred intervention strategies that consider their individual differences should be developed.", "author" : [ { "dropping-particle" : "", "family" : "Park", "given" : "Nam Hee", "non-dropping-particle" : "", "parse-names" : false, "suffix" : "" }, { "dropping-particle" : "", "family" : "Song", "given" : "Mi Sook", "non-dropping-particle" : "", "parse-names" : false, "suffix" : "" }, { "dropping-particle" : "", "family" : "Shin", "given" : "So Young", "non-dropping-particle" : "", "parse-names" : false, "suffix" : "" }, { "dropping-particle" : "", "family" : "Jeong", "given" : "Ji hye", "non-dropping-particle" : "", "parse-names" : false, "suffix" : "" }, { "dropping-particle" : "", "family" : "Lee", "given" : "Hyo Young", "non-dropping-particle" : "", "parse-names" : false, "suffix" : "" } ], "container-title" : "International Journal of Older People Nursing", "id" : "ITEM-2", "issue" : "3", "issued" : { "date-parts" : [ [ "2018" ] ] }, "page" : "1-10", "title" : "The effects of medication adherence and health literacy on health-related quality of life in older people with hypertension", "type" : "article-journal", "volume" : "13" }, "uris" : [ "http://www.mendeley.com/documents/?uuid=0dbc8c12-45ba-4f96-8eca-7fcfeeef1b80" ] }, { "id" : "ITEM-3", "itemData" : { "DOI" : "10.11604/pamj.2017.27.190.11682", "ISSN" : "19378688", "PMID" : "28904715", "abstract" : "INTRODUCTION Hypertension is highly prevalent among the elderly. Its awareness has a direct influence on control through drug adherence. Earlier studies have shown that awareness of hypertension is low among sub-Saharan African populations but only a few studies have looked at the prevalence and awareness of hypertension among the elderly. METHODS The Ibadan Study of Ageing is a longitudinal cohort study of the mental and physical health status as well as the functioning of elderly persons residing in the Yoruba-speaking areas of Nigeria. Study was conducted in multiple waves from 2003/2004 to 2009. This report is based on the sample studied in 2007 (N = 1469). Respondents, aged \u2265 65 years, were assessed for the presence of hypertension, its awareness, receipt of and adherence to medication for the condition, and effectiveness of treatment on the control of blood pressure. Blood pressure was measured with the use of digital monitors (Omron MS - 2 Basic Model). Awareness of the diagnosis of hypertension was ascertained by self-reports. We explored social, economic, demographic and clinical correlates of the presence of hypertension, its awareness and control using multiple logistic regression analyses. RESULTS The sample was composed of 809 (55.1%) females and 666 (44.9%) males. The mean age of the participants was 76.9 \u00b1 8.4 years. Hypertension (defined as previous diagnosis by a health provider or a measured blood pressure higher than or equal to 140/90 mm Hg) was recorded in 973 (62.2%) participants, with females having a prevalence of 61.4% and males that of 70.1%. Other than female gender, residing in urban/semi urban areas and being overweight or obesity were associated with the occurrence of hypertension. Among those assessed to have hypertension, 78% were not previously aware of its presence. Factors independently associated with lack of awareness of hypertension included low socioeconomic class (OR 8.21, 95% CI 3.72-18.11, P &lt; 0.001), and BMI &gt;25kg/m2 (OR 3.11, 95% CI 1.36-7.09, P &lt; 0.009). Among those who were aware of the presence of hypertension and were on treatment, 77.3% still had uncontrolled hypertension. Only obesity or overweight (OR 5.56, 95% CI 1.35 - 22.83, P &lt; 0.016) was independently associated with poor blood pressure control. CONCLUSION The prevalence of hypertension among elderly Nigerians is high and those affected are often not aware of having the condition. Only a minority of those who receive treatment for the condition hav\u2026", "author" : [ { "dropping-particle" : "", "family" : "Raji", "given" : "Yemi Raheem", "non-dropping-particle" : "", "parse-names" : false, "suffix" : "" }, { "dropping-particle" : "", "family" : "Abiona", "given" : "Taiwo", "non-dropping-particle" : "", "parse-names" : false, "suffix" : "" }, { "dropping-particle" : "", "family" : "Gureje", "given" : "Oye", "non-dropping-particle" : "", "parse-names" : false, "suffix" : "" } ], "container-title" : "The Pan African medical journal", "id" : "ITEM-3", "issue" : "190", "issued" : { "date-parts" : [ [ "2017" ] ] }, "page" : "1-14", "title" : "Awareness of hypertension and its impact on blood pressure control among elderly nigerians: report from the Ibadan study of aging", "type" : "article-journal", "volume" : "27" }, "uris" : [ "http://www.mendeley.com/documents/?uuid=4fe02abc-5657-45d0-8eec-377acc294989" ] } ], "mendeley" : { "formattedCitation" : "(Alves, Costa, Moura-Ferreira, Azevedo, &amp; Lunet, 2018; Park, Song, Shin, Jeong, &amp; Lee, 2018; Raji, Abiona, &amp; Gureje, 2017)", "plainTextFormattedCitation" : "(Alves, Costa, Moura-Ferreira, Azevedo, &amp; Lunet, 2018; Park, Song, Shin, Jeong, &amp; Lee, 2018; Raji, Abiona, &amp; Gureje, 2017)", "previouslyFormattedCitation" : "(Alves, Costa, Moura-Ferreira, Azevedo, &amp; Lunet, 2018; Park, Song, Shin, Jeong, &amp; Lee, 2018; Raji, Abiona, &amp; Gureje, 2017)" }, "properties" : {  }, "schema" : "https://github.com/citation-style-language/schema/raw/master/csl-citation.json" }</w:instrText>
            </w:r>
            <w:r w:rsidRPr="002F2F11">
              <w:rPr>
                <w:szCs w:val="24"/>
              </w:rPr>
              <w:fldChar w:fldCharType="separate"/>
            </w:r>
            <w:r w:rsidRPr="002F2F11">
              <w:rPr>
                <w:noProof/>
                <w:szCs w:val="24"/>
              </w:rPr>
              <w:t>(Alves, Costa, Moura-Ferreira, Azevedo, &amp; Lunet, 2018; Park, Song, Shin, Jeong, &amp; Lee, 2018; Raji, Abiona, &amp; Gureje, 2017)</w:t>
            </w:r>
            <w:r w:rsidRPr="002F2F11">
              <w:rPr>
                <w:szCs w:val="24"/>
              </w:rPr>
              <w:fldChar w:fldCharType="end"/>
            </w:r>
            <w:r w:rsidRPr="002F2F11">
              <w:rPr>
                <w:szCs w:val="24"/>
              </w:rPr>
              <w:t xml:space="preserve">. Hipertansiyon, hastaların yaşam kalitesi ile de yakından ilişkilidir ve sağlık okuryazarlığı hastalıklarda yaşam kalitesini etkilemektedir </w:t>
            </w:r>
            <w:r w:rsidRPr="002F2F11">
              <w:rPr>
                <w:szCs w:val="24"/>
              </w:rPr>
              <w:fldChar w:fldCharType="begin" w:fldLock="1"/>
            </w:r>
            <w:r w:rsidRPr="002F2F11">
              <w:rPr>
                <w:szCs w:val="24"/>
              </w:rPr>
              <w:instrText>ADDIN CSL_CITATION { "citationItems" : [ { "id" : "ITEM-1", "itemData" : { "DOI" : "10.19082/5712", "ISBN" : "2425262830", "ISSN" : "2008-5842", "PMID" : "29403610", "abstract" : "Background and Objective Hypertension is considered an important public health problem in developed and developing countries. This disease is closely associated with the quality of life of patients, and it seems that health literacy plays a role in this regard. Due to lack of information on the role of health literacy on the quality of life in patients with hypertension, this study has aimed to determine the correlation between health literacy and health-related quality of life in patients with hypertension. Methods This study is cross-sectional. The sample consisted of 400 patients with hypertension who were enrolled if available. To collect data, a demographic questionnaire (SF-36), Short Form Health Survey, and Health Literacy for Iranian Adults (HELIA) Inventory were used. Data were analyzed using SPSS software version 21 for descriptive and inferential statistics (e.g., mean, standard deviation, t-test, and Pearson correlation coefficient). Results The mean and standard deviation scores of health literacy and health-related quality of life were, respectively, 68.66 (\u00b113.56) and 52.94 (\u00b115.20). There was positive and significant correlation between health literacy and health-related quality of life (p&lt;0.01, r=0.30). Conclusion According to research findings, there was a significant positive correlation between health literacy and health-related quality of life. Given the importance of health literacy in the quality of life in patients with hypertension, it seems essential that nursing officials and policymakers take steps to promote patients' health and quality of life by using training programs appropriate for the patients' health literacy level.", "author" : [ { "dropping-particle" : "", "family" : "Naimi", "given" : "Ahmad Johari", "non-dropping-particle" : "", "parse-names" : false, "suffix" : "" }, { "dropping-particle" : "", "family" : "Naderiravesh", "given" : "Nadereh", "non-dropping-particle" : "", "parse-names" : false, "suffix" : "" }, { "dropping-particle" : "", "family" : "Bayat", "given" : "Zahra Safavi", "non-dropping-particle" : "", "parse-names" : false, "suffix" : "" }, { "dropping-particle" : "", "family" : "Shakeri", "given" : "Nezhat", "non-dropping-particle" : "", "parse-names" : false, "suffix" : "" }, { "dropping-particle" : "", "family" : "Matbouei", "given" : "Mahsa", "non-dropping-particle" : "", "parse-names" : false, "suffix" : "" } ], "container-title" : "Electronic physician", "id" : "ITEM-1", "issue" : "11", "issued" : { "date-parts" : [ [ "2017" ] ] }, "page" : "5712-5720", "title" : "Correlation between health literacy and health-related quality of life in patients with hypertension, in Tehran, Iran, 2015-2016.", "type" : "article-journal", "volume" : "9" }, "uris" : [ "http://www.mendeley.com/documents/?uuid=1df560b2-7b40-493b-8350-3b8220f51e47" ] } ], "mendeley" : { "formattedCitation" : "(Naimi et al., 2017)", "plainTextFormattedCitation" : "(Naimi et al., 2017)", "previouslyFormattedCitation" : "(Naimi et al., 2017)" }, "properties" : {  }, "schema" : "https://github.com/citation-style-language/schema/raw/master/csl-citation.json" }</w:instrText>
            </w:r>
            <w:r w:rsidRPr="002F2F11">
              <w:rPr>
                <w:szCs w:val="24"/>
              </w:rPr>
              <w:fldChar w:fldCharType="separate"/>
            </w:r>
            <w:r w:rsidRPr="002F2F11">
              <w:rPr>
                <w:noProof/>
                <w:szCs w:val="24"/>
              </w:rPr>
              <w:t>(Naimi et al., 2017)</w:t>
            </w:r>
            <w:r w:rsidRPr="002F2F11">
              <w:rPr>
                <w:szCs w:val="24"/>
              </w:rPr>
              <w:fldChar w:fldCharType="end"/>
            </w:r>
            <w:r w:rsidRPr="002F2F11">
              <w:rPr>
                <w:szCs w:val="24"/>
              </w:rPr>
              <w:t>.</w:t>
            </w:r>
            <w:r>
              <w:rPr>
                <w:szCs w:val="24"/>
              </w:rPr>
              <w:t xml:space="preserve"> </w:t>
            </w:r>
            <w:r w:rsidRPr="002F2F11">
              <w:rPr>
                <w:szCs w:val="24"/>
                <w:lang w:val="en-GB" w:eastAsia="tr-TR"/>
              </w:rPr>
              <w:t xml:space="preserve">Yapılan çalışmalar, kronik hastalıklarda sağlık okur yazarlığı sınırlı/ yetersiz bireylerin hastalık, tedavi ve ilaçlara ilişkin bilgisinin yetersiz olabildiğini, kendi hastalık yönetimlerini </w:t>
            </w:r>
            <w:r w:rsidRPr="002F2F11">
              <w:rPr>
                <w:szCs w:val="24"/>
                <w:lang w:val="en-GB" w:eastAsia="tr-TR"/>
              </w:rPr>
              <w:lastRenderedPageBreak/>
              <w:t xml:space="preserve">daha az üstlendiklerini,  koruyucu hizmetleri daha az kullandıklarını göstermektedir </w:t>
            </w:r>
            <w:r w:rsidRPr="002F2F11">
              <w:rPr>
                <w:szCs w:val="24"/>
                <w:lang w:val="en-GB" w:eastAsia="tr-TR"/>
              </w:rPr>
              <w:fldChar w:fldCharType="begin" w:fldLock="1"/>
            </w:r>
            <w:r w:rsidRPr="002F2F11">
              <w:rPr>
                <w:szCs w:val="24"/>
                <w:lang w:val="en-GB" w:eastAsia="tr-TR"/>
              </w:rPr>
              <w:instrText>ADDIN CSL_CITATION { "citationItems" : [ { "id" : "ITEM-1", "itemData" : { "DOI" : "10.1080/10810730.2010.499981.Health", "ISBN" : "3124644980", "ISSN" : "1081-0730", "PMID" : "20845197", "abstract" : "The relationship between limited health literacy and poor health may be due to poor communication quality within health care delivery organizations. We explored the relationship between health literacy status and receiving patient-centered communication in clinics and hospitals serving communication-vulnerable patient populations. Thirteen health care organizations nationwide distributed a survey to 5,929 patients. All patients completed seven items assessing patient-centered communication. One third also completed three items assessing health literacy. The majority of patients had self-reported health literacy challenges, reporting problems learning about their medical condition because of difficulty understanding written information (53%), a lack of confidence in completing medical forms by themselves (61%), and needing someone to help them read hospital/clinic materials (57%). Logistic regression models showed that, after adjustment for patient demographic characteristics and health care organization type, patients with limited health literacy were 28\u201379% less likely than those with adequate health literacy to report their health care organization \u201calways\u201d provides patient-centered communication across seven communication items. Using a scaled composite of these items, limited health literacy remained associated with lower reported communication quality. These results suggest that improving communication quality in health care organizations might help to address the challenges facing patients with limited health literacy. They also highlight that efforts to address the needs of patients with limited health literacy should be sensitive to the range of communication challenges confronting these patients and their caregivers. Keywords", "author" : [ { "dropping-particle" : "", "family" : "Wynia", "given" : "Mk", "non-dropping-particle" : "", "parse-names" : false, "suffix" : "" }, { "dropping-particle" : "", "family" : "Osborn", "given" : "Cy", "non-dropping-particle" : "", "parse-names" : false, "suffix" : "" } ], "container-title" : "Journal of health communication", "id" : "ITEM-1", "issue" : "Suppl 2", "issued" : { "date-parts" : [ [ "2010" ] ] }, "page" : "102-115", "title" : "Health literacy and communication quality in health care organizations", "type" : "article-journal", "volume" : "15" }, "uris" : [ "http://www.mendeley.com/documents/?uuid=1f6a4bce-292b-4854-84ff-800540d35cf0" ] }, { "id" : "ITEM-2", "itemData" : { "DOI" : "10.3934/publichealth.2017.4.314", "ISBN" : "2327-8994 (Print)\r2327-8994 (Linking)", "ISSN" : "2327-8994", "PMID" : "29546220", "abstract" : "Objective: Health literacy plays a critical role in chronic disease self-management. This study aimed to determine the relation between health literacy levels, hypertension awareness and control among primary-secondary school teachers in Turkey. Materials and Methods: This descriptive and cross-sectional research was conducted among school teachers with the participation of 500 volunteer teachers of both genders. The response rate was 86.2%. To determine health literacy levels, the Newest Vital Sign Scale and Blood Pressure Concept Test were used. Results: The mean scores of all individuals were 2.12 +/- 1.82 over six points although this showed \"limited\" levels of health literacy. The mean scores obtained from the scale were 2.13 +/- 1.83 in non-hypertensives, while it was 2.06 +/- 1.77 in hypertensives. Nonetheless, disease knowledge and awareness were low in teachers. Adequate health literacy levels were low according to disease awareness and control. The measured health literacy levels of teachers didn't overlap with their own assessments about health literacy skills. Recommendations: Limited health literacy levels in educators gave an impression that our education system was poor in terms of health education programs.", "author" : [ { "dropping-particle" : "", "family" : "Yilmazel", "given" : "G\u00fclay", "non-dropping-particle" : "", "parse-names" : false, "suffix" : "" }, { "dropping-particle" : "", "family" : "\u00c7etinkaya", "given" : "Fevziye", "non-dropping-particle" : "", "parse-names" : false, "suffix" : "" } ], "container-title" : "AIMS Public Health", "id" : "ITEM-2", "issue" : "4", "issued" : { "date-parts" : [ [ "2017" ] ] }, "page" : "314-325", "title" : "Relation between Health Literacy Levels, Hypertension Awareness and Control among Primary-secondary School Teachers in Turkey", "type" : "article-journal", "volume" : "4" }, "uris" : [ "http://www.mendeley.com/documents/?uuid=1cbf097a-aa84-4790-b0a4-03d1354b95f8" ] }, { "id" : "ITEM-3", "itemData" : { "DOI" : "10.1186/s12875-015-0372-0", "ISBN" : "1471-2296", "ISSN" : "14712296", "PMID" : "26492959", "abstract" : "Background: Although health policy makers call for the transformation of health care organizations to health literacy responsive ones, there is limited evidence on the care experiences of patients with limited health literacy skills (HL) in respect to health care quality. We explored if HL and patient-reported experiences regarding access to care and support in care-coordination in primary care organizations (PCO) have an impact on patients satisfaction with the care received by their personal general practitioner (GP). Methods: A nationwide representative survey was administered in a random sample of 1125 German adults. Binary logistic regression analyses were performed to determine whether HL and perceived access to and coordination of care were associated with satisfaction with care received in primary care adjusting for demographics and health status. Results: In the unadjusted as well as adjusted model, better accessibility of the primary care practice (\u03b2 = 1.858; 2.032 p \\textless 0.001) frequent support in care coordination by the general practitioner (\u03b2 = 2.680; 2.820 p \\textless 0.001) as well as sufficient HL (\u03b2 = 0.888; 1.228 p \\textless 0.05) were independent predictors of a higher satisfaction with care received in the general practice. Conclusion: German adults with sufficient HL and positive experiences regarding care coordination and access to care are more satisfied with care received by their personal general practitioner. This result is from major importance for primary care organizations intending to transform their processes and structures to respond to the health literacy needs of their patients more effectively.", "author" : [ { "dropping-particle" : "", "family" : "Altin", "given" : "Sibel Vildan", "non-dropping-particle" : "", "parse-names" : false, "suffix" : "" }, { "dropping-particle" : "", "family" : "Stock", "given" : "Stephanie", "non-dropping-particle" : "", "parse-names" : false, "suffix" : "" } ], "container-title" : "BMC Family Practice", "id" : "ITEM-3", "issue" : "1", "issued" : { "date-parts" : [ [ "2015" ] ] }, "page" : "1-7", "publisher" : "BMC Family Practice", "title" : "Impact of health literacy, accessibility and coordination of care on patient's satisfaction with primary care in Germany", "type" : "article-journal", "volume" : "16" }, "uris" : [ "http://www.mendeley.com/documents/?uuid=26de86d1-fba7-4a17-a51a-eff355464e20" ] }, { "id" : "ITEM-4", "itemData" : { "author" : [ { "dropping-particle" : "", "family" : "Doyle", "given" : "G", "non-dropping-particle" : "", "parse-names" : false, "suffix" : "" }, { "dropping-particle" : "", "family" : "Cafferkey", "given" : "K", "non-dropping-particle" : "", "parse-names" : false, "suffix" : "" }, { "dropping-particle" : "", "family" : "Fullam", "given" : "J", "non-dropping-particle" : "", "parse-names" : false, "suffix" : "" } ], "id" : "ITEM-4", "issued" : { "date-parts" : [ [ "2012" ] ] }, "number-of-pages" : "11-75", "publisher-place" : "Dublin, Ireland", "title" : "The European Health Literacy Survey: Results from Ireland", "type" : "report" }, "uris" : [ "http://www.mendeley.com/documents/?uuid=5cc7ae93-2ee3-4880-ab9c-12aebb3ab307" ] } ], "mendeley" : { "formattedCitation" : "(Altin &amp; Stock, 2015; Doyle, Cafferkey, &amp; Fullam, 2012; Wynia &amp; Osborn, 2010; Yilmazel &amp; \u00c7etinkaya, 2017)", "plainTextFormattedCitation" : "(Altin &amp; Stock, 2015; Doyle, Cafferkey, &amp; Fullam, 2012; Wynia &amp; Osborn, 2010; Yilmazel &amp; \u00c7etinkaya, 2017)", "previouslyFormattedCitation" : "(Altin &amp; Stock, 2015; Doyle, Cafferkey, &amp; Fullam, 2012; Wynia &amp; Osborn, 2010; Yilmazel &amp; \u00c7etinkaya, 2017)" }, "properties" : {  }, "schema" : "https://github.com/citation-style-language/schema/raw/master/csl-citation.json" }</w:instrText>
            </w:r>
            <w:r w:rsidRPr="002F2F11">
              <w:rPr>
                <w:szCs w:val="24"/>
                <w:lang w:val="en-GB" w:eastAsia="tr-TR"/>
              </w:rPr>
              <w:fldChar w:fldCharType="separate"/>
            </w:r>
            <w:r w:rsidRPr="002F2F11">
              <w:rPr>
                <w:noProof/>
                <w:szCs w:val="24"/>
                <w:lang w:val="en-GB" w:eastAsia="tr-TR"/>
              </w:rPr>
              <w:t>(Altin &amp; Stock, 2015; Doyle, Cafferkey, &amp; Fullam, 2012; Wynia &amp; Osborn, 2010; Yilmazel &amp; Çetinkaya, 2017)</w:t>
            </w:r>
            <w:r w:rsidRPr="002F2F11">
              <w:rPr>
                <w:szCs w:val="24"/>
                <w:lang w:val="en-GB" w:eastAsia="tr-TR"/>
              </w:rPr>
              <w:fldChar w:fldCharType="end"/>
            </w:r>
            <w:r w:rsidRPr="002F2F11">
              <w:rPr>
                <w:szCs w:val="24"/>
                <w:lang w:val="en-GB" w:eastAsia="tr-TR"/>
              </w:rPr>
              <w:t>.</w:t>
            </w:r>
          </w:p>
          <w:p w:rsidR="000D48B3" w:rsidRPr="002F2F11" w:rsidRDefault="000D48B3" w:rsidP="00701C90">
            <w:pPr>
              <w:jc w:val="both"/>
              <w:rPr>
                <w:rFonts w:eastAsia="Calibri"/>
                <w:szCs w:val="24"/>
                <w:lang w:val="en-US"/>
              </w:rPr>
            </w:pPr>
            <w:r>
              <w:rPr>
                <w:szCs w:val="24"/>
              </w:rPr>
              <w:tab/>
            </w:r>
            <w:r w:rsidRPr="002F2F11">
              <w:rPr>
                <w:szCs w:val="24"/>
              </w:rPr>
              <w:t>Yapılan alan yazın taramalarında ülkeler açısından “hipertansiyonda sağlık okuryazarlığı” araştırmalarının önemli ilgi alanlarından biri olduğu görülürken ülkemizde yapılan çalışmaların oldukça az sayıda</w:t>
            </w:r>
            <w:r>
              <w:rPr>
                <w:szCs w:val="24"/>
              </w:rPr>
              <w:t>dır</w:t>
            </w:r>
            <w:r w:rsidRPr="002F2F11">
              <w:rPr>
                <w:szCs w:val="24"/>
              </w:rPr>
              <w:t xml:space="preserve"> ve sağlık çalışanlarının ilgisinin bu alanda sınırlı düzeyde kaldığı söylenebilir.  </w:t>
            </w:r>
          </w:p>
          <w:p w:rsidR="000D48B3" w:rsidRPr="002F2F11" w:rsidRDefault="000D48B3" w:rsidP="00701C90">
            <w:pPr>
              <w:jc w:val="both"/>
              <w:rPr>
                <w:rFonts w:eastAsia="Calibri"/>
                <w:b/>
                <w:szCs w:val="24"/>
                <w:lang w:val="en-US"/>
              </w:rPr>
            </w:pPr>
          </w:p>
          <w:p w:rsidR="000D48B3" w:rsidRPr="002F2F11" w:rsidRDefault="000D48B3" w:rsidP="00701C90">
            <w:pPr>
              <w:jc w:val="both"/>
              <w:rPr>
                <w:rFonts w:eastAsia="Calibri"/>
                <w:b/>
                <w:szCs w:val="24"/>
                <w:lang w:val="en-US"/>
              </w:rPr>
            </w:pPr>
            <w:r w:rsidRPr="002F2F11">
              <w:rPr>
                <w:rFonts w:eastAsia="Calibri"/>
                <w:b/>
                <w:szCs w:val="24"/>
                <w:lang w:val="en-US"/>
              </w:rPr>
              <w:t>Gereç ve yöntem</w:t>
            </w:r>
          </w:p>
          <w:p w:rsidR="000D48B3" w:rsidRPr="002F2F11" w:rsidRDefault="000D48B3" w:rsidP="00701C90">
            <w:pPr>
              <w:jc w:val="both"/>
              <w:rPr>
                <w:rFonts w:eastAsia="Calibri"/>
                <w:szCs w:val="24"/>
                <w:shd w:val="clear" w:color="auto" w:fill="FFFFFF"/>
                <w:lang w:val="en-US"/>
              </w:rPr>
            </w:pPr>
            <w:r>
              <w:rPr>
                <w:rFonts w:eastAsia="Calibri"/>
                <w:szCs w:val="24"/>
                <w:shd w:val="clear" w:color="auto" w:fill="FFFFFF"/>
                <w:lang w:val="en-US"/>
              </w:rPr>
              <w:tab/>
            </w:r>
            <w:r w:rsidRPr="002F2F11">
              <w:rPr>
                <w:rFonts w:eastAsia="Calibri"/>
                <w:szCs w:val="24"/>
                <w:shd w:val="clear" w:color="auto" w:fill="FFFFFF"/>
                <w:lang w:val="en-US"/>
              </w:rPr>
              <w:t xml:space="preserve">Yapılan sistematik derlemede amaç, dünyada ve Türkiye’de hipertansiyonu olan bireylerin sağlık okuryazarlık düzeyi ve ilişkili faktörleri inceleyen çalışmaların belirlenmesi, araştırma bulgularının özetlenmesi ve bu alanda çalışacak araştırmacılara geçerli kanıtlara ulaşma fırsatı sunulmasıdır. </w:t>
            </w:r>
            <w:r>
              <w:rPr>
                <w:rFonts w:eastAsia="Calibri"/>
                <w:szCs w:val="24"/>
                <w:shd w:val="clear" w:color="auto" w:fill="FFFFFF"/>
                <w:lang w:val="en-US"/>
              </w:rPr>
              <w:t xml:space="preserve">Sistematik derleme çalışmasının </w:t>
            </w:r>
            <w:r w:rsidRPr="00650766">
              <w:rPr>
                <w:rFonts w:eastAsia="Calibri"/>
                <w:szCs w:val="24"/>
                <w:shd w:val="clear" w:color="auto" w:fill="FFFFFF"/>
                <w:lang w:val="en-US"/>
              </w:rPr>
              <w:t xml:space="preserve">sorusu </w:t>
            </w:r>
            <w:r w:rsidRPr="00650766">
              <w:rPr>
                <w:rFonts w:eastAsia="Calibri"/>
                <w:szCs w:val="24"/>
                <w:shd w:val="clear" w:color="auto" w:fill="FFFFFF"/>
                <w:lang w:val="en-US"/>
              </w:rPr>
              <w:br/>
              <w:t>"Hipertansiyonu olan bireylerde sağlık okuryazarlık düzeyi tansiyon kontrolünü e</w:t>
            </w:r>
            <w:r>
              <w:rPr>
                <w:rFonts w:eastAsia="Calibri"/>
                <w:szCs w:val="24"/>
                <w:shd w:val="clear" w:color="auto" w:fill="FFFFFF"/>
                <w:lang w:val="en-US"/>
              </w:rPr>
              <w:t>tki</w:t>
            </w:r>
            <w:r w:rsidRPr="00650766">
              <w:rPr>
                <w:rFonts w:eastAsia="Calibri"/>
                <w:szCs w:val="24"/>
                <w:shd w:val="clear" w:color="auto" w:fill="FFFFFF"/>
                <w:lang w:val="en-US"/>
              </w:rPr>
              <w:t>lemekte midir?”</w:t>
            </w:r>
            <w:r>
              <w:rPr>
                <w:rFonts w:eastAsia="Calibri"/>
                <w:szCs w:val="24"/>
                <w:shd w:val="clear" w:color="auto" w:fill="FFFFFF"/>
                <w:lang w:val="en-US"/>
              </w:rPr>
              <w:t xml:space="preserve"> </w:t>
            </w:r>
            <w:r w:rsidRPr="00650766">
              <w:rPr>
                <w:rFonts w:eastAsia="Calibri"/>
                <w:szCs w:val="24"/>
                <w:shd w:val="clear" w:color="auto" w:fill="FFFFFF"/>
                <w:lang w:val="en-US"/>
              </w:rPr>
              <w:t xml:space="preserve">şeklinde belirlenmiştir.   </w:t>
            </w:r>
          </w:p>
          <w:p w:rsidR="000D48B3" w:rsidRDefault="000D48B3" w:rsidP="00701C90">
            <w:pPr>
              <w:jc w:val="both"/>
            </w:pPr>
            <w:r>
              <w:rPr>
                <w:rFonts w:eastAsia="Calibri"/>
                <w:szCs w:val="24"/>
                <w:shd w:val="clear" w:color="auto" w:fill="FFFFFF"/>
                <w:lang w:val="en-US"/>
              </w:rPr>
              <w:tab/>
            </w:r>
            <w:r w:rsidRPr="002F2F11">
              <w:rPr>
                <w:rFonts w:eastAsia="Calibri"/>
                <w:szCs w:val="24"/>
                <w:shd w:val="clear" w:color="auto" w:fill="FFFFFF"/>
                <w:lang w:val="en-US"/>
              </w:rPr>
              <w:t xml:space="preserve">Sistematik derleme, York Üniversitesi Centre for Reviews and Dissemination Rehberi </w:t>
            </w:r>
            <w:r w:rsidRPr="0075515B">
              <w:rPr>
                <w:rFonts w:eastAsia="Calibri"/>
                <w:szCs w:val="24"/>
                <w:shd w:val="clear" w:color="auto" w:fill="FFFFFF"/>
                <w:lang w:val="en-US"/>
              </w:rPr>
              <w:fldChar w:fldCharType="begin" w:fldLock="1"/>
            </w:r>
            <w:r w:rsidRPr="0075515B">
              <w:rPr>
                <w:rFonts w:eastAsia="Calibri"/>
                <w:szCs w:val="24"/>
                <w:shd w:val="clear" w:color="auto" w:fill="FFFFFF"/>
                <w:lang w:val="en-US"/>
              </w:rPr>
              <w:instrText>ADDIN CSL_CITATION { "citationItems" : [ { "id" : "ITEM-1", "itemData" : { "ISBN" : "9781900640473", "author" : [ { "dropping-particle" : "", "family" : "Baxter", "given" : "R.", "non-dropping-particle" : "", "parse-names" : false, "suffix" : "" }, { "dropping-particle" : "", "family" : "Hastings", "given" : "N.", "non-dropping-particle" : "", "parse-names" : false, "suffix" : "" }, { "dropping-particle" : "", "family" : "Law", "given" : "A.", "non-dropping-particle" : "", "parse-names" : false, "suffix" : "" }, { "dropping-particle" : "", "family" : "Glass", "given" : "E. J..", "non-dropping-particle" : "", "parse-names" : false, "suffix" : "" } ], "container-title" : "Animal Genetics", "id" : "ITEM-1", "issue" : "5", "issued" : { "date-parts" : [ [ "2008" ] ] }, "page" : "561-563", "title" : "Systematic reviews", "type" : "article-journal", "volume" : "39" }, "uris" : [ "http://www.mendeley.com/documents/?uuid=dfe4f761-43f8-43cd-9a7c-a8ea06f56360" ] } ], "mendeley" : { "formattedCitation" : "(Baxter, Hastings, Law, &amp; Glass, 2008)", "plainTextFormattedCitation" : "(Baxter, Hastings, Law, &amp; Glass, 2008)", "previouslyFormattedCitation" : "(Baxter, Hastings, Law, &amp; Glass, 2008)" }, "properties" : {  }, "schema" : "https://github.com/citation-style-language/schema/raw/master/csl-citation.json" }</w:instrText>
            </w:r>
            <w:r w:rsidRPr="0075515B">
              <w:rPr>
                <w:rFonts w:eastAsia="Calibri"/>
                <w:szCs w:val="24"/>
                <w:shd w:val="clear" w:color="auto" w:fill="FFFFFF"/>
                <w:lang w:val="en-US"/>
              </w:rPr>
              <w:fldChar w:fldCharType="separate"/>
            </w:r>
            <w:r w:rsidRPr="0075515B">
              <w:rPr>
                <w:rFonts w:eastAsia="Calibri"/>
                <w:noProof/>
                <w:szCs w:val="24"/>
                <w:shd w:val="clear" w:color="auto" w:fill="FFFFFF"/>
                <w:lang w:val="en-US"/>
              </w:rPr>
              <w:t>(Baxter, Hastings, Law, &amp; Glass, 2008)</w:t>
            </w:r>
            <w:r w:rsidRPr="0075515B">
              <w:rPr>
                <w:rFonts w:eastAsia="Calibri"/>
                <w:szCs w:val="24"/>
                <w:shd w:val="clear" w:color="auto" w:fill="FFFFFF"/>
                <w:lang w:val="en-US"/>
              </w:rPr>
              <w:fldChar w:fldCharType="end"/>
            </w:r>
            <w:r w:rsidRPr="0075515B">
              <w:rPr>
                <w:rFonts w:eastAsia="Calibri"/>
                <w:szCs w:val="24"/>
                <w:shd w:val="clear" w:color="auto" w:fill="FFFFFF"/>
                <w:lang w:val="en-US"/>
              </w:rPr>
              <w:t xml:space="preserve"> </w:t>
            </w:r>
            <w:r w:rsidRPr="002F2F11">
              <w:rPr>
                <w:rFonts w:eastAsia="Calibri"/>
                <w:szCs w:val="24"/>
                <w:shd w:val="clear" w:color="auto" w:fill="FFFFFF"/>
                <w:lang w:val="en-US"/>
              </w:rPr>
              <w:t xml:space="preserve">doğrultusunda </w:t>
            </w:r>
            <w:r>
              <w:rPr>
                <w:rFonts w:eastAsia="Calibri"/>
                <w:szCs w:val="24"/>
              </w:rPr>
              <w:t>23.04.2018- 28.10</w:t>
            </w:r>
            <w:r w:rsidRPr="0075515B">
              <w:rPr>
                <w:rFonts w:eastAsia="Calibri"/>
                <w:szCs w:val="24"/>
              </w:rPr>
              <w:t xml:space="preserve">.08.2018 </w:t>
            </w:r>
            <w:r w:rsidRPr="0075515B">
              <w:rPr>
                <w:rFonts w:eastAsia="Calibri"/>
                <w:szCs w:val="24"/>
                <w:shd w:val="clear" w:color="auto" w:fill="FFFFFF"/>
                <w:lang w:val="en-US"/>
              </w:rPr>
              <w:t xml:space="preserve">tarihleri arasında </w:t>
            </w:r>
            <w:r w:rsidRPr="0075515B">
              <w:rPr>
                <w:rFonts w:eastAsia="Calibri"/>
                <w:szCs w:val="24"/>
              </w:rPr>
              <w:t>Cochrane, PubMed, ScienceDirect, Medline, Türk Medline, Ulakbim, Google Akademik veri tabanlarında  “hypertension and health literacy” “health literacy of hypertensive patients” “</w:t>
            </w:r>
            <w:r>
              <w:rPr>
                <w:rFonts w:eastAsia="Calibri"/>
                <w:szCs w:val="24"/>
              </w:rPr>
              <w:t>b</w:t>
            </w:r>
            <w:r w:rsidRPr="0075515B">
              <w:rPr>
                <w:rFonts w:eastAsia="Calibri"/>
                <w:szCs w:val="24"/>
              </w:rPr>
              <w:t xml:space="preserve">lood Pressure and literacy” “hipertansiyon ve sağlık okuryazarlığı”, “hipertansiyon hastalarında sağlık okuryazarlığı” “kan basıncı ve okuryazarlık” anahtar kelimeleri </w:t>
            </w:r>
            <w:r w:rsidRPr="0075515B">
              <w:rPr>
                <w:rFonts w:eastAsia="Calibri"/>
                <w:szCs w:val="24"/>
                <w:shd w:val="clear" w:color="auto" w:fill="FFFFFF"/>
                <w:lang w:val="en-US"/>
              </w:rPr>
              <w:t>kullanılarak Türkçe ve İngilizce dillerinde yapılmıştır.</w:t>
            </w:r>
            <w:r w:rsidRPr="0075515B">
              <w:rPr>
                <w:rFonts w:eastAsia="Calibri"/>
                <w:i/>
                <w:szCs w:val="24"/>
                <w:shd w:val="clear" w:color="auto" w:fill="FFFFFF"/>
                <w:lang w:val="en-US"/>
              </w:rPr>
              <w:t xml:space="preserve"> </w:t>
            </w:r>
            <w:r w:rsidRPr="002F2F11">
              <w:rPr>
                <w:rFonts w:eastAsia="Calibri"/>
                <w:szCs w:val="24"/>
                <w:shd w:val="clear" w:color="auto" w:fill="FFFFFF"/>
                <w:lang w:val="en-US"/>
              </w:rPr>
              <w:t>Çalışmaya alınacak makaleler d</w:t>
            </w:r>
            <w:r w:rsidRPr="0075515B">
              <w:rPr>
                <w:rFonts w:eastAsia="Calibri"/>
                <w:szCs w:val="24"/>
                <w:shd w:val="clear" w:color="auto" w:fill="FFFFFF"/>
                <w:lang w:val="en-US"/>
              </w:rPr>
              <w:t>ahil edilme ve çıka</w:t>
            </w:r>
            <w:r>
              <w:rPr>
                <w:rFonts w:eastAsia="Calibri"/>
                <w:szCs w:val="24"/>
                <w:shd w:val="clear" w:color="auto" w:fill="FFFFFF"/>
                <w:lang w:val="en-US"/>
              </w:rPr>
              <w:t xml:space="preserve">rılma ölçütlerine uygun olarak </w:t>
            </w:r>
            <w:r w:rsidRPr="0075515B">
              <w:rPr>
                <w:rFonts w:eastAsia="Calibri"/>
                <w:szCs w:val="24"/>
                <w:shd w:val="clear" w:color="auto" w:fill="FFFFFF"/>
                <w:lang w:val="en-US"/>
              </w:rPr>
              <w:t>seçil</w:t>
            </w:r>
            <w:r>
              <w:rPr>
                <w:rFonts w:eastAsia="Calibri"/>
                <w:szCs w:val="24"/>
                <w:shd w:val="clear" w:color="auto" w:fill="FFFFFF"/>
                <w:lang w:val="en-US"/>
              </w:rPr>
              <w:t xml:space="preserve">erek </w:t>
            </w:r>
            <w:r w:rsidRPr="002F2F11">
              <w:rPr>
                <w:rFonts w:eastAsia="Calibri"/>
                <w:szCs w:val="24"/>
                <w:shd w:val="clear" w:color="auto" w:fill="FFFFFF"/>
                <w:lang w:val="en-US"/>
              </w:rPr>
              <w:t xml:space="preserve">örneklem özellikleri, araştırma bulguları ve çalışma deseni olarak incelenmiştir </w:t>
            </w:r>
            <w:r>
              <w:rPr>
                <w:rFonts w:eastAsia="Calibri"/>
                <w:szCs w:val="24"/>
                <w:shd w:val="clear" w:color="auto" w:fill="FFFFFF"/>
                <w:lang w:val="en-US"/>
              </w:rPr>
              <w:t xml:space="preserve">(tablo 1). </w:t>
            </w:r>
          </w:p>
          <w:p w:rsidR="000D48B3" w:rsidRPr="002F2F11" w:rsidRDefault="000D48B3" w:rsidP="00701C90">
            <w:pPr>
              <w:jc w:val="both"/>
              <w:rPr>
                <w:rFonts w:eastAsia="Calibri"/>
                <w:szCs w:val="24"/>
                <w:lang w:val="en-US"/>
              </w:rPr>
            </w:pPr>
            <w:r w:rsidRPr="002F2F11">
              <w:rPr>
                <w:rFonts w:eastAsia="Calibri"/>
                <w:i/>
                <w:szCs w:val="24"/>
                <w:shd w:val="clear" w:color="auto" w:fill="FFFFFF"/>
                <w:lang w:val="en-US"/>
              </w:rPr>
              <w:t>Ç</w:t>
            </w:r>
            <w:r w:rsidRPr="002F2F11">
              <w:rPr>
                <w:rFonts w:eastAsia="Calibri"/>
                <w:i/>
                <w:szCs w:val="24"/>
                <w:lang w:val="en-US"/>
              </w:rPr>
              <w:t>alışma kapsamına dahil edilecek araştırmaların seçiminde uygulanan ölçütler</w:t>
            </w:r>
            <w:r w:rsidRPr="002F2F11">
              <w:rPr>
                <w:rFonts w:eastAsia="Calibri"/>
                <w:szCs w:val="24"/>
                <w:lang w:val="en-US"/>
              </w:rPr>
              <w:t>;</w:t>
            </w:r>
          </w:p>
          <w:p w:rsidR="000D48B3" w:rsidRPr="002F2F11" w:rsidRDefault="000D48B3" w:rsidP="00701C90">
            <w:pPr>
              <w:ind w:left="567"/>
              <w:jc w:val="both"/>
              <w:rPr>
                <w:rFonts w:eastAsia="Calibri"/>
                <w:szCs w:val="24"/>
                <w:lang w:val="en-US"/>
              </w:rPr>
            </w:pPr>
            <w:r w:rsidRPr="002F2F11">
              <w:rPr>
                <w:rFonts w:eastAsia="Calibri"/>
                <w:szCs w:val="24"/>
                <w:lang w:val="en-US"/>
              </w:rPr>
              <w:t>- Yazım dilinin İngilizce/ Türkçe olması,</w:t>
            </w:r>
          </w:p>
          <w:p w:rsidR="000D48B3" w:rsidRPr="002F2F11" w:rsidRDefault="000D48B3" w:rsidP="00701C90">
            <w:pPr>
              <w:ind w:left="567"/>
              <w:jc w:val="both"/>
              <w:rPr>
                <w:rFonts w:eastAsia="Calibri"/>
                <w:szCs w:val="24"/>
                <w:lang w:val="en-US"/>
              </w:rPr>
            </w:pPr>
            <w:r w:rsidRPr="002F2F11">
              <w:rPr>
                <w:rFonts w:eastAsia="Calibri"/>
                <w:szCs w:val="24"/>
                <w:lang w:val="en-US"/>
              </w:rPr>
              <w:t xml:space="preserve">- Örneklem grubunun </w:t>
            </w:r>
            <w:r>
              <w:rPr>
                <w:rFonts w:eastAsia="Calibri"/>
                <w:szCs w:val="24"/>
                <w:lang w:val="en-US"/>
              </w:rPr>
              <w:t>hipertansiyonu olan bireylerden oluşması</w:t>
            </w:r>
            <w:r w:rsidRPr="002F2F11">
              <w:rPr>
                <w:rFonts w:eastAsia="Calibri"/>
                <w:szCs w:val="24"/>
                <w:lang w:val="en-US"/>
              </w:rPr>
              <w:t>,</w:t>
            </w:r>
          </w:p>
          <w:p w:rsidR="000D48B3" w:rsidRPr="00F93793" w:rsidRDefault="000D48B3" w:rsidP="00701C90">
            <w:pPr>
              <w:ind w:left="567"/>
              <w:jc w:val="both"/>
              <w:rPr>
                <w:rFonts w:eastAsia="Calibri"/>
                <w:szCs w:val="24"/>
                <w:lang w:val="en-US"/>
              </w:rPr>
            </w:pPr>
            <w:r w:rsidRPr="002F2F11">
              <w:rPr>
                <w:rFonts w:eastAsia="Calibri"/>
                <w:szCs w:val="24"/>
                <w:lang w:val="en-US"/>
              </w:rPr>
              <w:t xml:space="preserve">- </w:t>
            </w:r>
            <w:r w:rsidRPr="00F93793">
              <w:rPr>
                <w:rFonts w:eastAsia="Calibri"/>
                <w:szCs w:val="24"/>
                <w:lang w:val="en-US"/>
              </w:rPr>
              <w:t xml:space="preserve">Başlık veya özette </w:t>
            </w:r>
            <w:r w:rsidRPr="00F93793">
              <w:rPr>
                <w:rFonts w:eastAsia="Calibri"/>
                <w:szCs w:val="24"/>
              </w:rPr>
              <w:t xml:space="preserve">“hypertension and health literacy” “health literacy of hypertensive patients” “blood Pressure and literacy” “hipertansiyon ve sağlık okuryazarlığı”, </w:t>
            </w:r>
            <w:r w:rsidRPr="00F93793">
              <w:rPr>
                <w:rFonts w:eastAsia="Calibri"/>
                <w:szCs w:val="24"/>
              </w:rPr>
              <w:lastRenderedPageBreak/>
              <w:t xml:space="preserve">“hipertansiyon hastalarında sağlık okuryazarlığı” “kan basıncı ve okuryazarlık” </w:t>
            </w:r>
            <w:r w:rsidRPr="00F93793">
              <w:rPr>
                <w:rFonts w:eastAsia="Calibri"/>
                <w:szCs w:val="24"/>
                <w:lang w:val="en-US"/>
              </w:rPr>
              <w:t>anahtar kelimelerin bulunması,</w:t>
            </w:r>
          </w:p>
          <w:p w:rsidR="000D48B3" w:rsidRPr="002F2F11" w:rsidRDefault="000D48B3" w:rsidP="00701C90">
            <w:pPr>
              <w:ind w:left="567"/>
              <w:jc w:val="both"/>
              <w:rPr>
                <w:rFonts w:eastAsia="Calibri"/>
                <w:szCs w:val="24"/>
                <w:lang w:val="en-US"/>
              </w:rPr>
            </w:pPr>
            <w:r w:rsidRPr="002F2F11">
              <w:rPr>
                <w:rFonts w:eastAsia="Calibri"/>
                <w:szCs w:val="24"/>
                <w:lang w:val="en-US"/>
              </w:rPr>
              <w:t xml:space="preserve">- </w:t>
            </w:r>
            <w:r w:rsidRPr="002F2F11">
              <w:rPr>
                <w:rFonts w:eastAsia="Calibri"/>
                <w:szCs w:val="24"/>
              </w:rPr>
              <w:t xml:space="preserve">Cochrane, PubMed, ScienceDirect, Medline, Türk Medline, Ulakbim, Google Akademik </w:t>
            </w:r>
            <w:r w:rsidRPr="002F2F11">
              <w:rPr>
                <w:rFonts w:eastAsia="Calibri"/>
                <w:szCs w:val="24"/>
                <w:lang w:val="en-US"/>
              </w:rPr>
              <w:t>elektr</w:t>
            </w:r>
            <w:r>
              <w:rPr>
                <w:rFonts w:eastAsia="Calibri"/>
                <w:szCs w:val="24"/>
                <w:lang w:val="en-US"/>
              </w:rPr>
              <w:t>onik veri tabanlarında 2000-2018</w:t>
            </w:r>
            <w:r w:rsidRPr="002F2F11">
              <w:rPr>
                <w:rFonts w:eastAsia="Calibri"/>
                <w:szCs w:val="24"/>
                <w:lang w:val="en-US"/>
              </w:rPr>
              <w:t xml:space="preserve"> yılları arasında yayınlanan araştırma olması ve</w:t>
            </w:r>
          </w:p>
          <w:p w:rsidR="000D48B3" w:rsidRDefault="000D48B3" w:rsidP="00701C90">
            <w:pPr>
              <w:ind w:left="567"/>
              <w:jc w:val="both"/>
              <w:rPr>
                <w:rFonts w:eastAsia="Calibri"/>
                <w:szCs w:val="24"/>
                <w:lang w:val="en-US"/>
              </w:rPr>
            </w:pPr>
            <w:r w:rsidRPr="002F2F11">
              <w:rPr>
                <w:rFonts w:eastAsia="Calibri"/>
                <w:szCs w:val="24"/>
                <w:lang w:val="en-US"/>
              </w:rPr>
              <w:t>- Tam metnine ulaşılabilir olmasıdır.</w:t>
            </w:r>
          </w:p>
          <w:p w:rsidR="000D48B3" w:rsidRPr="002F2F11" w:rsidRDefault="000D48B3" w:rsidP="00701C90">
            <w:pPr>
              <w:jc w:val="both"/>
              <w:rPr>
                <w:rFonts w:eastAsia="Calibri"/>
                <w:i/>
                <w:szCs w:val="24"/>
                <w:lang w:val="en-US"/>
              </w:rPr>
            </w:pPr>
            <w:r w:rsidRPr="002F2F11">
              <w:rPr>
                <w:rFonts w:eastAsia="Calibri"/>
                <w:i/>
                <w:szCs w:val="24"/>
                <w:lang w:val="en-US"/>
              </w:rPr>
              <w:t xml:space="preserve">Çalışmadan dışlama ölçütleri ise </w:t>
            </w:r>
          </w:p>
          <w:p w:rsidR="000D48B3" w:rsidRPr="002F2F11" w:rsidRDefault="000D48B3" w:rsidP="000D48B3">
            <w:pPr>
              <w:numPr>
                <w:ilvl w:val="0"/>
                <w:numId w:val="1"/>
              </w:numPr>
              <w:spacing w:after="0"/>
              <w:ind w:left="567" w:hanging="141"/>
              <w:contextualSpacing/>
              <w:jc w:val="both"/>
              <w:rPr>
                <w:rFonts w:eastAsia="Calibri"/>
                <w:szCs w:val="24"/>
                <w:lang w:val="en-US"/>
              </w:rPr>
            </w:pPr>
            <w:r w:rsidRPr="002F2F11">
              <w:rPr>
                <w:rFonts w:eastAsia="Calibri"/>
                <w:szCs w:val="24"/>
                <w:lang w:val="en-US"/>
              </w:rPr>
              <w:t>Çalışma türünün randomize kontrollü çalışma/ vaka çalışması/ kalitatif çalışma olması,</w:t>
            </w:r>
          </w:p>
          <w:p w:rsidR="000D48B3" w:rsidRDefault="000D48B3" w:rsidP="000D48B3">
            <w:pPr>
              <w:numPr>
                <w:ilvl w:val="0"/>
                <w:numId w:val="1"/>
              </w:numPr>
              <w:spacing w:after="0"/>
              <w:ind w:left="567" w:hanging="141"/>
              <w:contextualSpacing/>
              <w:jc w:val="both"/>
              <w:rPr>
                <w:rFonts w:eastAsia="Calibri"/>
                <w:szCs w:val="24"/>
                <w:lang w:val="en-US"/>
              </w:rPr>
            </w:pPr>
            <w:r w:rsidRPr="002F2F11">
              <w:rPr>
                <w:rFonts w:eastAsia="Calibri"/>
                <w:szCs w:val="24"/>
                <w:lang w:val="en-US"/>
              </w:rPr>
              <w:t xml:space="preserve">Sözel ve poster bildiriler ve </w:t>
            </w:r>
          </w:p>
          <w:p w:rsidR="000D48B3" w:rsidRPr="00510863" w:rsidRDefault="000D48B3" w:rsidP="000D48B3">
            <w:pPr>
              <w:numPr>
                <w:ilvl w:val="0"/>
                <w:numId w:val="1"/>
              </w:numPr>
              <w:spacing w:after="0"/>
              <w:ind w:left="567" w:hanging="141"/>
              <w:contextualSpacing/>
              <w:jc w:val="both"/>
              <w:rPr>
                <w:rFonts w:eastAsia="Calibri"/>
                <w:szCs w:val="24"/>
                <w:lang w:val="en-US"/>
              </w:rPr>
            </w:pPr>
            <w:r w:rsidRPr="00510863">
              <w:rPr>
                <w:rFonts w:eastAsia="Calibri"/>
                <w:szCs w:val="24"/>
                <w:lang w:val="en-US"/>
              </w:rPr>
              <w:t xml:space="preserve">Yayınlanmamış tezler olarak belirlenmiştir   </w:t>
            </w:r>
            <w:r w:rsidRPr="00510863">
              <w:rPr>
                <w:rFonts w:eastAsia="Calibri"/>
                <w:szCs w:val="24"/>
                <w:shd w:val="clear" w:color="auto" w:fill="FFFFFF"/>
                <w:lang w:val="en-US"/>
              </w:rPr>
              <w:t>(Şekil 1).</w:t>
            </w:r>
            <w:r w:rsidRPr="002F2F11">
              <w:t xml:space="preserve"> </w:t>
            </w:r>
          </w:p>
          <w:p w:rsidR="000D48B3" w:rsidRDefault="000D48B3" w:rsidP="00701C90">
            <w:pPr>
              <w:contextualSpacing/>
              <w:jc w:val="both"/>
              <w:rPr>
                <w:rFonts w:eastAsia="Calibri"/>
                <w:szCs w:val="24"/>
                <w:lang w:val="en-US"/>
              </w:rPr>
            </w:pPr>
          </w:p>
          <w:p w:rsidR="000D48B3" w:rsidRPr="002F2F11" w:rsidRDefault="000D48B3" w:rsidP="00701C90">
            <w:pPr>
              <w:jc w:val="both"/>
              <w:rPr>
                <w:rFonts w:eastAsia="Calibri"/>
                <w:szCs w:val="24"/>
              </w:rPr>
            </w:pPr>
            <w:r>
              <w:rPr>
                <w:rFonts w:eastAsia="Calibri"/>
                <w:szCs w:val="24"/>
                <w:lang w:val="en-US"/>
              </w:rPr>
              <w:tab/>
            </w:r>
            <w:r w:rsidRPr="002F2F11">
              <w:rPr>
                <w:rFonts w:eastAsia="Calibri"/>
                <w:szCs w:val="24"/>
                <w:lang w:val="en-US"/>
              </w:rPr>
              <w:t xml:space="preserve">Çalışmada 2018 yılından başlanarak 2000 yılı dahil olmak üzere yayınlar geriye doğru taranarak </w:t>
            </w:r>
            <w:r w:rsidRPr="002F2F11">
              <w:rPr>
                <w:rFonts w:eastAsia="Calibri"/>
                <w:szCs w:val="24"/>
              </w:rPr>
              <w:t>Türkçe ve İngilizce olarak yayınlanan 6</w:t>
            </w:r>
            <w:r>
              <w:rPr>
                <w:rFonts w:eastAsia="Calibri"/>
                <w:szCs w:val="24"/>
              </w:rPr>
              <w:t xml:space="preserve">51 </w:t>
            </w:r>
            <w:r w:rsidRPr="002F2F11">
              <w:rPr>
                <w:rFonts w:eastAsia="Calibri"/>
                <w:szCs w:val="24"/>
              </w:rPr>
              <w:t>araştırmaya ulaşılmıştır. Ulaşılan araştırmalar, başlıklarına göre incelenmiş, derleme konusuyla ilgili olmayan 618 çalışma derleme dışında bırakılmıştır.   Kalan 33 araştırmanın özet ve tam metinleri çalışmaya alınma ve dışlanma ölçütleri yönünden değerlendirilmiş ve bu ölçütlere uygun 24 çalışma değerlendirmeye alınmıştır (Şekil 1).</w:t>
            </w:r>
          </w:p>
          <w:p w:rsidR="000D48B3" w:rsidRPr="002F2F11" w:rsidRDefault="000D48B3" w:rsidP="00701C90">
            <w:pPr>
              <w:spacing w:before="120" w:after="120"/>
              <w:jc w:val="both"/>
              <w:rPr>
                <w:rFonts w:eastAsia="Calibri"/>
                <w:szCs w:val="24"/>
              </w:rPr>
            </w:pPr>
          </w:p>
        </w:tc>
      </w:tr>
    </w:tbl>
    <w:p w:rsidR="000D48B3" w:rsidRDefault="000D48B3" w:rsidP="000D48B3">
      <w:pPr>
        <w:rPr>
          <w:bCs/>
        </w:rPr>
      </w:pPr>
    </w:p>
    <w:p w:rsidR="000D48B3" w:rsidRDefault="000D48B3" w:rsidP="000D48B3">
      <w:pPr>
        <w:rPr>
          <w:bCs/>
        </w:rPr>
      </w:pPr>
      <w:r>
        <w:rPr>
          <w:bCs/>
        </w:rPr>
        <w:br w:type="page"/>
      </w:r>
    </w:p>
    <w:p w:rsidR="000D48B3" w:rsidRPr="002F2F11" w:rsidRDefault="000D48B3" w:rsidP="000D48B3">
      <w:pPr>
        <w:rPr>
          <w:bCs/>
        </w:rPr>
      </w:pPr>
      <w:r w:rsidRPr="002F2F11">
        <w:rPr>
          <w:bCs/>
        </w:rPr>
        <w:lastRenderedPageBreak/>
        <w:t>Şekil 1. Çalışma akış şeması</w:t>
      </w:r>
    </w:p>
    <w:p w:rsidR="000D48B3" w:rsidRPr="002F2F11" w:rsidRDefault="000D48B3" w:rsidP="000D48B3">
      <w:pPr>
        <w:pStyle w:val="stBilgi"/>
        <w:tabs>
          <w:tab w:val="right" w:pos="13860"/>
        </w:tabs>
        <w:ind w:left="720"/>
        <w:rPr>
          <w:bCs/>
          <w:color w:val="000000"/>
        </w:rPr>
      </w:pPr>
    </w:p>
    <w:p w:rsidR="000D48B3" w:rsidRPr="002F2F11" w:rsidRDefault="000D48B3" w:rsidP="000D48B3">
      <w:pPr>
        <w:rPr>
          <w:szCs w:val="24"/>
        </w:rPr>
      </w:pPr>
      <w:r>
        <w:rPr>
          <w:noProof/>
          <w:szCs w:val="24"/>
          <w:lang w:eastAsia="tr-TR"/>
        </w:rPr>
        <mc:AlternateContent>
          <mc:Choice Requires="wps">
            <w:drawing>
              <wp:anchor distT="0" distB="0" distL="114300" distR="114300" simplePos="0" relativeHeight="251659264" behindDoc="0" locked="0" layoutInCell="1" allowOverlap="1" wp14:anchorId="3E570370" wp14:editId="2B2BA227">
                <wp:simplePos x="0" y="0"/>
                <wp:positionH relativeFrom="column">
                  <wp:posOffset>476250</wp:posOffset>
                </wp:positionH>
                <wp:positionV relativeFrom="paragraph">
                  <wp:posOffset>73660</wp:posOffset>
                </wp:positionV>
                <wp:extent cx="2228850" cy="1423670"/>
                <wp:effectExtent l="13335" t="8890" r="5715" b="5715"/>
                <wp:wrapNone/>
                <wp:docPr id="138" name="Dikdörtgen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423670"/>
                        </a:xfrm>
                        <a:prstGeom prst="rect">
                          <a:avLst/>
                        </a:prstGeom>
                        <a:solidFill>
                          <a:srgbClr val="FFFFFF"/>
                        </a:solidFill>
                        <a:ln w="9525">
                          <a:solidFill>
                            <a:srgbClr val="000000"/>
                          </a:solidFill>
                          <a:miter lim="800000"/>
                          <a:headEnd/>
                          <a:tailEnd/>
                        </a:ln>
                      </wps:spPr>
                      <wps:txbx>
                        <w:txbxContent>
                          <w:p w:rsidR="000D48B3" w:rsidRPr="00824690" w:rsidRDefault="000D48B3" w:rsidP="000D48B3">
                            <w:pPr>
                              <w:jc w:val="center"/>
                            </w:pPr>
                            <w:r w:rsidRPr="0051021B">
                              <w:t>Veri</w:t>
                            </w:r>
                            <w:r w:rsidRPr="00824690">
                              <w:t xml:space="preserve"> tabanlarının incelenmesi </w:t>
                            </w:r>
                          </w:p>
                          <w:p w:rsidR="000D48B3" w:rsidRPr="00824690" w:rsidRDefault="000D48B3" w:rsidP="000D48B3">
                            <w:pPr>
                              <w:jc w:val="center"/>
                              <w:rPr>
                                <w:shd w:val="clear" w:color="auto" w:fill="FFFFFF"/>
                              </w:rPr>
                            </w:pPr>
                            <w:r w:rsidRPr="00824690">
                              <w:rPr>
                                <w:shd w:val="clear" w:color="auto" w:fill="FFFFFF"/>
                              </w:rPr>
                              <w:t>(Cochrane</w:t>
                            </w:r>
                            <w:r w:rsidRPr="00824690">
                              <w:t xml:space="preserve"> n =</w:t>
                            </w:r>
                            <w:r>
                              <w:t>6</w:t>
                            </w:r>
                          </w:p>
                          <w:p w:rsidR="000D48B3" w:rsidRPr="00824690" w:rsidRDefault="000D48B3" w:rsidP="000D48B3">
                            <w:pPr>
                              <w:jc w:val="center"/>
                              <w:rPr>
                                <w:shd w:val="clear" w:color="auto" w:fill="FFFFFF"/>
                              </w:rPr>
                            </w:pPr>
                            <w:r w:rsidRPr="00824690">
                              <w:rPr>
                                <w:shd w:val="clear" w:color="auto" w:fill="FFFFFF"/>
                              </w:rPr>
                              <w:t>Pubmed</w:t>
                            </w:r>
                            <w:r w:rsidRPr="00824690">
                              <w:t xml:space="preserve">   n =</w:t>
                            </w:r>
                            <w:r>
                              <w:t>308</w:t>
                            </w:r>
                            <w:r w:rsidRPr="00824690">
                              <w:rPr>
                                <w:shd w:val="clear" w:color="auto" w:fill="FFFFFF"/>
                              </w:rPr>
                              <w:t xml:space="preserve"> </w:t>
                            </w:r>
                          </w:p>
                          <w:p w:rsidR="000D48B3" w:rsidRDefault="000D48B3" w:rsidP="000D48B3">
                            <w:pPr>
                              <w:jc w:val="center"/>
                              <w:rPr>
                                <w:shd w:val="clear" w:color="auto" w:fill="FFFFFF"/>
                              </w:rPr>
                            </w:pPr>
                            <w:r w:rsidRPr="00824690">
                              <w:rPr>
                                <w:shd w:val="clear" w:color="auto" w:fill="FFFFFF"/>
                              </w:rPr>
                              <w:t>ScienceDirect</w:t>
                            </w:r>
                            <w:r w:rsidRPr="00824690">
                              <w:t xml:space="preserve"> n =</w:t>
                            </w:r>
                            <w:r>
                              <w:t>43</w:t>
                            </w:r>
                            <w:r w:rsidRPr="00824690">
                              <w:rPr>
                                <w:shd w:val="clear" w:color="auto" w:fill="FFFFFF"/>
                              </w:rPr>
                              <w:t xml:space="preserve"> </w:t>
                            </w:r>
                          </w:p>
                          <w:p w:rsidR="000D48B3" w:rsidRPr="00824690" w:rsidRDefault="000D48B3" w:rsidP="000D48B3">
                            <w:pPr>
                              <w:jc w:val="center"/>
                              <w:rPr>
                                <w:shd w:val="clear" w:color="auto" w:fill="FFFFFF"/>
                              </w:rPr>
                            </w:pPr>
                            <w:r>
                              <w:rPr>
                                <w:shd w:val="clear" w:color="auto" w:fill="FFFFFF"/>
                              </w:rPr>
                              <w:t>Medline= 142</w:t>
                            </w:r>
                          </w:p>
                          <w:p w:rsidR="000D48B3" w:rsidRDefault="000D48B3" w:rsidP="000D48B3">
                            <w:pPr>
                              <w:jc w:val="center"/>
                            </w:pPr>
                            <w:r>
                              <w:rPr>
                                <w:shd w:val="clear" w:color="auto" w:fill="FFFFFF"/>
                              </w:rPr>
                              <w:t>Ulakbim</w:t>
                            </w:r>
                            <w:r w:rsidRPr="00824690">
                              <w:rPr>
                                <w:shd w:val="clear" w:color="auto" w:fill="FFFFFF"/>
                              </w:rPr>
                              <w:t xml:space="preserve"> </w:t>
                            </w:r>
                            <w:r w:rsidRPr="00824690">
                              <w:t>n =</w:t>
                            </w:r>
                            <w:r>
                              <w:t>0</w:t>
                            </w:r>
                          </w:p>
                          <w:p w:rsidR="000D48B3" w:rsidRPr="00824690" w:rsidRDefault="000D48B3" w:rsidP="000D48B3">
                            <w:pPr>
                              <w:jc w:val="center"/>
                              <w:rPr>
                                <w:shd w:val="clear" w:color="auto" w:fill="FFFFFF"/>
                              </w:rPr>
                            </w:pPr>
                            <w:r>
                              <w:t>Türk Medline n=0</w:t>
                            </w:r>
                            <w:r w:rsidRPr="00824690">
                              <w:t xml:space="preserve"> </w:t>
                            </w:r>
                          </w:p>
                          <w:p w:rsidR="000D48B3" w:rsidRPr="00824690" w:rsidRDefault="000D48B3" w:rsidP="000D48B3">
                            <w:pPr>
                              <w:jc w:val="center"/>
                            </w:pPr>
                            <w:r>
                              <w:rPr>
                                <w:shd w:val="clear" w:color="auto" w:fill="FFFFFF"/>
                              </w:rPr>
                              <w:t>Google A</w:t>
                            </w:r>
                            <w:r w:rsidRPr="00824690">
                              <w:rPr>
                                <w:shd w:val="clear" w:color="auto" w:fill="FFFFFF"/>
                              </w:rPr>
                              <w:t>kademik</w:t>
                            </w:r>
                            <w:r w:rsidRPr="00824690">
                              <w:t xml:space="preserve"> n =</w:t>
                            </w:r>
                            <w:r>
                              <w:t>152</w:t>
                            </w:r>
                          </w:p>
                          <w:p w:rsidR="000D48B3" w:rsidRPr="00824690" w:rsidRDefault="000D48B3" w:rsidP="000D48B3">
                            <w:pPr>
                              <w:jc w:val="center"/>
                            </w:pPr>
                          </w:p>
                          <w:p w:rsidR="000D48B3" w:rsidRDefault="000D48B3" w:rsidP="000D48B3">
                            <w:pPr>
                              <w:jc w:val="center"/>
                              <w:rPr>
                                <w:rFonts w:ascii="Calibri" w:hAnsi="Calibri"/>
                                <w:sz w:val="22"/>
                              </w:rPr>
                            </w:pPr>
                          </w:p>
                          <w:p w:rsidR="000D48B3" w:rsidRDefault="000D48B3" w:rsidP="000D48B3">
                            <w:pPr>
                              <w:jc w:val="center"/>
                              <w:rPr>
                                <w:rFonts w:ascii="Calibri" w:hAnsi="Calibri"/>
                                <w:sz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70370" id="Dikdörtgen 138" o:spid="_x0000_s1026" style="position:absolute;margin-left:37.5pt;margin-top:5.8pt;width:175.5pt;height:1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">
                <v:textbox inset=",7.2pt,,7.2pt">
                  <w:txbxContent>
                    <w:p w:rsidR="000D48B3" w:rsidRPr="00824690" w:rsidRDefault="000D48B3" w:rsidP="000D48B3">
                      <w:pPr>
                        <w:jc w:val="center"/>
                      </w:pPr>
                      <w:r w:rsidRPr="0051021B">
                        <w:t>Veri</w:t>
                      </w:r>
                      <w:r w:rsidRPr="00824690">
                        <w:t xml:space="preserve"> tabanlarının incelenmesi </w:t>
                      </w:r>
                    </w:p>
                    <w:p w:rsidR="000D48B3" w:rsidRPr="00824690" w:rsidRDefault="000D48B3" w:rsidP="000D48B3">
                      <w:pPr>
                        <w:jc w:val="center"/>
                        <w:rPr>
                          <w:shd w:val="clear" w:color="auto" w:fill="FFFFFF"/>
                        </w:rPr>
                      </w:pPr>
                      <w:r w:rsidRPr="00824690">
                        <w:rPr>
                          <w:shd w:val="clear" w:color="auto" w:fill="FFFFFF"/>
                        </w:rPr>
                        <w:t>(Cochrane</w:t>
                      </w:r>
                      <w:r w:rsidRPr="00824690">
                        <w:t xml:space="preserve"> n =</w:t>
                      </w:r>
                      <w:r>
                        <w:t>6</w:t>
                      </w:r>
                    </w:p>
                    <w:p w:rsidR="000D48B3" w:rsidRPr="00824690" w:rsidRDefault="000D48B3" w:rsidP="000D48B3">
                      <w:pPr>
                        <w:jc w:val="center"/>
                        <w:rPr>
                          <w:shd w:val="clear" w:color="auto" w:fill="FFFFFF"/>
                        </w:rPr>
                      </w:pPr>
                      <w:r w:rsidRPr="00824690">
                        <w:rPr>
                          <w:shd w:val="clear" w:color="auto" w:fill="FFFFFF"/>
                        </w:rPr>
                        <w:t>Pubmed</w:t>
                      </w:r>
                      <w:r w:rsidRPr="00824690">
                        <w:t xml:space="preserve">   n =</w:t>
                      </w:r>
                      <w:r>
                        <w:t>308</w:t>
                      </w:r>
                      <w:r w:rsidRPr="00824690">
                        <w:rPr>
                          <w:shd w:val="clear" w:color="auto" w:fill="FFFFFF"/>
                        </w:rPr>
                        <w:t xml:space="preserve"> </w:t>
                      </w:r>
                    </w:p>
                    <w:p w:rsidR="000D48B3" w:rsidRDefault="000D48B3" w:rsidP="000D48B3">
                      <w:pPr>
                        <w:jc w:val="center"/>
                        <w:rPr>
                          <w:shd w:val="clear" w:color="auto" w:fill="FFFFFF"/>
                        </w:rPr>
                      </w:pPr>
                      <w:r w:rsidRPr="00824690">
                        <w:rPr>
                          <w:shd w:val="clear" w:color="auto" w:fill="FFFFFF"/>
                        </w:rPr>
                        <w:t>ScienceDirect</w:t>
                      </w:r>
                      <w:r w:rsidRPr="00824690">
                        <w:t xml:space="preserve"> n =</w:t>
                      </w:r>
                      <w:r>
                        <w:t>43</w:t>
                      </w:r>
                      <w:r w:rsidRPr="00824690">
                        <w:rPr>
                          <w:shd w:val="clear" w:color="auto" w:fill="FFFFFF"/>
                        </w:rPr>
                        <w:t xml:space="preserve"> </w:t>
                      </w:r>
                    </w:p>
                    <w:p w:rsidR="000D48B3" w:rsidRPr="00824690" w:rsidRDefault="000D48B3" w:rsidP="000D48B3">
                      <w:pPr>
                        <w:jc w:val="center"/>
                        <w:rPr>
                          <w:shd w:val="clear" w:color="auto" w:fill="FFFFFF"/>
                        </w:rPr>
                      </w:pPr>
                      <w:r>
                        <w:rPr>
                          <w:shd w:val="clear" w:color="auto" w:fill="FFFFFF"/>
                        </w:rPr>
                        <w:t>Medline= 142</w:t>
                      </w:r>
                    </w:p>
                    <w:p w:rsidR="000D48B3" w:rsidRDefault="000D48B3" w:rsidP="000D48B3">
                      <w:pPr>
                        <w:jc w:val="center"/>
                      </w:pPr>
                      <w:r>
                        <w:rPr>
                          <w:shd w:val="clear" w:color="auto" w:fill="FFFFFF"/>
                        </w:rPr>
                        <w:t>Ulakbim</w:t>
                      </w:r>
                      <w:r w:rsidRPr="00824690">
                        <w:rPr>
                          <w:shd w:val="clear" w:color="auto" w:fill="FFFFFF"/>
                        </w:rPr>
                        <w:t xml:space="preserve"> </w:t>
                      </w:r>
                      <w:r w:rsidRPr="00824690">
                        <w:t>n =</w:t>
                      </w:r>
                      <w:r>
                        <w:t>0</w:t>
                      </w:r>
                    </w:p>
                    <w:p w:rsidR="000D48B3" w:rsidRPr="00824690" w:rsidRDefault="000D48B3" w:rsidP="000D48B3">
                      <w:pPr>
                        <w:jc w:val="center"/>
                        <w:rPr>
                          <w:shd w:val="clear" w:color="auto" w:fill="FFFFFF"/>
                        </w:rPr>
                      </w:pPr>
                      <w:r>
                        <w:t>Türk Medline n=0</w:t>
                      </w:r>
                      <w:r w:rsidRPr="00824690">
                        <w:t xml:space="preserve"> </w:t>
                      </w:r>
                    </w:p>
                    <w:p w:rsidR="000D48B3" w:rsidRPr="00824690" w:rsidRDefault="000D48B3" w:rsidP="000D48B3">
                      <w:pPr>
                        <w:jc w:val="center"/>
                      </w:pPr>
                      <w:r>
                        <w:rPr>
                          <w:shd w:val="clear" w:color="auto" w:fill="FFFFFF"/>
                        </w:rPr>
                        <w:t>Google A</w:t>
                      </w:r>
                      <w:r w:rsidRPr="00824690">
                        <w:rPr>
                          <w:shd w:val="clear" w:color="auto" w:fill="FFFFFF"/>
                        </w:rPr>
                        <w:t>kademik</w:t>
                      </w:r>
                      <w:r w:rsidRPr="00824690">
                        <w:t xml:space="preserve"> n =</w:t>
                      </w:r>
                      <w:r>
                        <w:t>152</w:t>
                      </w:r>
                    </w:p>
                    <w:p w:rsidR="000D48B3" w:rsidRPr="00824690" w:rsidRDefault="000D48B3" w:rsidP="000D48B3">
                      <w:pPr>
                        <w:jc w:val="center"/>
                      </w:pPr>
                    </w:p>
                    <w:p w:rsidR="000D48B3" w:rsidRDefault="000D48B3" w:rsidP="000D48B3">
                      <w:pPr>
                        <w:jc w:val="center"/>
                        <w:rPr>
                          <w:rFonts w:ascii="Calibri" w:hAnsi="Calibri"/>
                          <w:sz w:val="22"/>
                        </w:rPr>
                      </w:pPr>
                    </w:p>
                    <w:p w:rsidR="000D48B3" w:rsidRDefault="000D48B3" w:rsidP="000D48B3">
                      <w:pPr>
                        <w:jc w:val="center"/>
                        <w:rPr>
                          <w:rFonts w:ascii="Calibri" w:hAnsi="Calibri"/>
                          <w:sz w:val="22"/>
                          <w:lang w:val="en"/>
                        </w:rPr>
                      </w:pPr>
                    </w:p>
                  </w:txbxContent>
                </v:textbox>
              </v:rect>
            </w:pict>
          </mc:Fallback>
        </mc:AlternateContent>
      </w:r>
      <w:r>
        <w:rPr>
          <w:noProof/>
          <w:szCs w:val="24"/>
          <w:lang w:eastAsia="tr-TR"/>
        </w:rPr>
        <mc:AlternateContent>
          <mc:Choice Requires="wps">
            <w:drawing>
              <wp:anchor distT="0" distB="0" distL="114300" distR="114300" simplePos="0" relativeHeight="251666432" behindDoc="0" locked="0" layoutInCell="1" allowOverlap="1" wp14:anchorId="43F86A11" wp14:editId="2C09D4FC">
                <wp:simplePos x="0" y="0"/>
                <wp:positionH relativeFrom="column">
                  <wp:posOffset>2914650</wp:posOffset>
                </wp:positionH>
                <wp:positionV relativeFrom="paragraph">
                  <wp:posOffset>811530</wp:posOffset>
                </wp:positionV>
                <wp:extent cx="2228850" cy="685800"/>
                <wp:effectExtent l="13335" t="13335" r="5715" b="5715"/>
                <wp:wrapNone/>
                <wp:docPr id="137" name="Dikdörtgen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rsidR="000D48B3" w:rsidRDefault="000D48B3" w:rsidP="000D48B3">
                            <w:pPr>
                              <w:jc w:val="center"/>
                            </w:pPr>
                          </w:p>
                          <w:p w:rsidR="000D48B3" w:rsidRPr="009E4A14" w:rsidRDefault="000D48B3" w:rsidP="000D48B3">
                            <w:pPr>
                              <w:jc w:val="center"/>
                              <w:rPr>
                                <w:lang w:val="en"/>
                              </w:rPr>
                            </w:pPr>
                            <w:r w:rsidRPr="009E4A14">
                              <w:t>Potansiyel lişkili çalışmalar (n=</w:t>
                            </w:r>
                            <w:r>
                              <w:t>33</w:t>
                            </w:r>
                            <w:r w:rsidRPr="009E4A14">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86A11" id="Dikdörtgen 137" o:spid="_x0000_s1027" style="position:absolute;margin-left:229.5pt;margin-top:63.9pt;width:175.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">
                <v:textbox inset=",7.2pt,,7.2pt">
                  <w:txbxContent>
                    <w:p w:rsidR="000D48B3" w:rsidRDefault="000D48B3" w:rsidP="000D48B3">
                      <w:pPr>
                        <w:jc w:val="center"/>
                      </w:pPr>
                    </w:p>
                    <w:p w:rsidR="000D48B3" w:rsidRPr="009E4A14" w:rsidRDefault="000D48B3" w:rsidP="000D48B3">
                      <w:pPr>
                        <w:jc w:val="center"/>
                        <w:rPr>
                          <w:lang w:val="en"/>
                        </w:rPr>
                      </w:pPr>
                      <w:r w:rsidRPr="009E4A14">
                        <w:t>Potansiyel lişkili çalışmalar (n=</w:t>
                      </w:r>
                      <w:r>
                        <w:t>33</w:t>
                      </w:r>
                      <w:r w:rsidRPr="009E4A14">
                        <w:t>)</w:t>
                      </w:r>
                    </w:p>
                  </w:txbxContent>
                </v:textbox>
              </v:rect>
            </w:pict>
          </mc:Fallback>
        </mc:AlternateContent>
      </w:r>
      <w:r>
        <w:rPr>
          <w:noProof/>
          <w:szCs w:val="24"/>
          <w:lang w:eastAsia="tr-TR"/>
        </w:rPr>
        <mc:AlternateContent>
          <mc:Choice Requires="wps">
            <w:drawing>
              <wp:anchor distT="36576" distB="36576" distL="36576" distR="36576" simplePos="0" relativeHeight="251674624" behindDoc="0" locked="0" layoutInCell="1" allowOverlap="1" wp14:anchorId="103C93FA" wp14:editId="7F059BC8">
                <wp:simplePos x="0" y="0"/>
                <wp:positionH relativeFrom="column">
                  <wp:posOffset>2720975</wp:posOffset>
                </wp:positionH>
                <wp:positionV relativeFrom="paragraph">
                  <wp:posOffset>3554730</wp:posOffset>
                </wp:positionV>
                <wp:extent cx="0" cy="615950"/>
                <wp:effectExtent l="57785" t="13335" r="56515" b="18415"/>
                <wp:wrapNone/>
                <wp:docPr id="136" name="Düz Ok Bağlayıcısı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59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09364D" id="_x0000_t32" coordsize="21600,21600" o:spt="32" o:oned="t" path="m,l21600,21600e" filled="f">
                <v:path arrowok="t" fillok="f" o:connecttype="none"/>
                <o:lock v:ext="edit" shapetype="t"/>
              </v:shapetype>
              <v:shape id="Düz Ok Bağlayıcısı 136" o:spid="_x0000_s1026" type="#_x0000_t32" style="position:absolute;margin-left:214.25pt;margin-top:279.9pt;width:0;height:48.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">
                <v:stroke endarrow="block"/>
                <v:shadow color="#ccc"/>
              </v:shape>
            </w:pict>
          </mc:Fallback>
        </mc:AlternateContent>
      </w:r>
      <w:r>
        <w:rPr>
          <w:noProof/>
          <w:szCs w:val="24"/>
          <w:lang w:eastAsia="tr-TR"/>
        </w:rPr>
        <mc:AlternateContent>
          <mc:Choice Requires="wps">
            <w:drawing>
              <wp:anchor distT="0" distB="0" distL="114300" distR="114300" simplePos="0" relativeHeight="251671552" behindDoc="0" locked="0" layoutInCell="1" allowOverlap="1" wp14:anchorId="1536502E" wp14:editId="5FAEA663">
                <wp:simplePos x="0" y="0"/>
                <wp:positionH relativeFrom="column">
                  <wp:posOffset>4165600</wp:posOffset>
                </wp:positionH>
                <wp:positionV relativeFrom="paragraph">
                  <wp:posOffset>3967480</wp:posOffset>
                </wp:positionV>
                <wp:extent cx="1714500" cy="1085850"/>
                <wp:effectExtent l="6985" t="6985" r="12065" b="12065"/>
                <wp:wrapNone/>
                <wp:docPr id="135" name="Dikdörtgen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85850"/>
                        </a:xfrm>
                        <a:prstGeom prst="rect">
                          <a:avLst/>
                        </a:prstGeom>
                        <a:solidFill>
                          <a:srgbClr val="FFFFFF"/>
                        </a:solidFill>
                        <a:ln w="9525">
                          <a:solidFill>
                            <a:srgbClr val="000000"/>
                          </a:solidFill>
                          <a:miter lim="800000"/>
                          <a:headEnd/>
                          <a:tailEnd/>
                        </a:ln>
                      </wps:spPr>
                      <wps:txbx>
                        <w:txbxContent>
                          <w:p w:rsidR="000D48B3" w:rsidRDefault="000D48B3" w:rsidP="000D48B3">
                            <w:pPr>
                              <w:jc w:val="center"/>
                            </w:pPr>
                          </w:p>
                          <w:p w:rsidR="000D48B3" w:rsidRPr="009E4A14" w:rsidRDefault="000D48B3" w:rsidP="000D48B3">
                            <w:pPr>
                              <w:jc w:val="center"/>
                            </w:pPr>
                            <w:r w:rsidRPr="009E4A14">
                              <w:t xml:space="preserve">Tam metnine ulaşılarak çalışmadan çıkarılanlar </w:t>
                            </w:r>
                            <w:r w:rsidRPr="009E4A14">
                              <w:br/>
                              <w:t>(n = 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6502E" id="Dikdörtgen 135" o:spid="_x0000_s1028" style="position:absolute;margin-left:328pt;margin-top:312.4pt;width:135pt;height: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">
                <v:textbox inset=",7.2pt,,7.2pt">
                  <w:txbxContent>
                    <w:p w:rsidR="000D48B3" w:rsidRDefault="000D48B3" w:rsidP="000D48B3">
                      <w:pPr>
                        <w:jc w:val="center"/>
                      </w:pPr>
                    </w:p>
                    <w:p w:rsidR="000D48B3" w:rsidRPr="009E4A14" w:rsidRDefault="000D48B3" w:rsidP="000D48B3">
                      <w:pPr>
                        <w:jc w:val="center"/>
                      </w:pPr>
                      <w:r w:rsidRPr="009E4A14">
                        <w:t xml:space="preserve">Tam metnine ulaşılarak çalışmadan çıkarılanlar </w:t>
                      </w:r>
                      <w:r w:rsidRPr="009E4A14">
                        <w:br/>
                        <w:t>(n = 0)</w:t>
                      </w:r>
                    </w:p>
                  </w:txbxContent>
                </v:textbox>
              </v:rect>
            </w:pict>
          </mc:Fallback>
        </mc:AlternateContent>
      </w:r>
      <w:r>
        <w:rPr>
          <w:noProof/>
          <w:szCs w:val="24"/>
          <w:lang w:eastAsia="tr-TR"/>
        </w:rPr>
        <mc:AlternateContent>
          <mc:Choice Requires="wps">
            <w:drawing>
              <wp:anchor distT="36576" distB="36576" distL="36576" distR="36576" simplePos="0" relativeHeight="251677696" behindDoc="0" locked="0" layoutInCell="1" allowOverlap="1" wp14:anchorId="4A320E36" wp14:editId="7D581D2F">
                <wp:simplePos x="0" y="0"/>
                <wp:positionH relativeFrom="column">
                  <wp:posOffset>3578225</wp:posOffset>
                </wp:positionH>
                <wp:positionV relativeFrom="paragraph">
                  <wp:posOffset>4510405</wp:posOffset>
                </wp:positionV>
                <wp:extent cx="587375" cy="3175"/>
                <wp:effectExtent l="10160" t="54610" r="21590" b="56515"/>
                <wp:wrapNone/>
                <wp:docPr id="134" name="Düz Ok Bağlayıcısı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375" cy="31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1D566B" id="Düz Ok Bağlayıcısı 134" o:spid="_x0000_s1026" type="#_x0000_t32" style="position:absolute;margin-left:281.75pt;margin-top:355.15pt;width:46.25pt;height:.25pt;flip:y;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">
                <v:stroke endarrow="block"/>
                <v:shadow color="#ccc"/>
              </v:shape>
            </w:pict>
          </mc:Fallback>
        </mc:AlternateContent>
      </w:r>
      <w:r>
        <w:rPr>
          <w:noProof/>
          <w:szCs w:val="24"/>
          <w:lang w:eastAsia="tr-TR"/>
        </w:rPr>
        <mc:AlternateContent>
          <mc:Choice Requires="wps">
            <w:drawing>
              <wp:anchor distT="0" distB="0" distL="114300" distR="114300" simplePos="0" relativeHeight="251670528" behindDoc="0" locked="0" layoutInCell="1" allowOverlap="1" wp14:anchorId="38647FAC" wp14:editId="0282BD09">
                <wp:simplePos x="0" y="0"/>
                <wp:positionH relativeFrom="column">
                  <wp:posOffset>1863725</wp:posOffset>
                </wp:positionH>
                <wp:positionV relativeFrom="paragraph">
                  <wp:posOffset>4170680</wp:posOffset>
                </wp:positionV>
                <wp:extent cx="1714500" cy="685800"/>
                <wp:effectExtent l="10160" t="10160" r="8890" b="8890"/>
                <wp:wrapNone/>
                <wp:docPr id="133" name="Dikdörtgen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rsidR="000D48B3" w:rsidRPr="009E4A14" w:rsidRDefault="000D48B3" w:rsidP="000D48B3">
                            <w:pPr>
                              <w:jc w:val="center"/>
                              <w:rPr>
                                <w:lang w:val="en"/>
                              </w:rPr>
                            </w:pPr>
                            <w:r w:rsidRPr="009E4A14">
                              <w:t>Dahil</w:t>
                            </w:r>
                            <w:r>
                              <w:t xml:space="preserve"> edilme kriterlerine uyan (n =24</w:t>
                            </w:r>
                            <w:r w:rsidRPr="009E4A14">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47FAC" id="Dikdörtgen 133" o:spid="_x0000_s1029" style="position:absolute;margin-left:146.75pt;margin-top:328.4pt;width:13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">
                <v:textbox inset=",7.2pt,,7.2pt">
                  <w:txbxContent>
                    <w:p w:rsidR="000D48B3" w:rsidRPr="009E4A14" w:rsidRDefault="000D48B3" w:rsidP="000D48B3">
                      <w:pPr>
                        <w:jc w:val="center"/>
                        <w:rPr>
                          <w:lang w:val="en"/>
                        </w:rPr>
                      </w:pPr>
                      <w:r w:rsidRPr="009E4A14">
                        <w:t>Dahil</w:t>
                      </w:r>
                      <w:r>
                        <w:t xml:space="preserve"> edilme kriterlerine uyan (n =24</w:t>
                      </w:r>
                      <w:r w:rsidRPr="009E4A14">
                        <w:t>)</w:t>
                      </w:r>
                    </w:p>
                  </w:txbxContent>
                </v:textbox>
              </v:rect>
            </w:pict>
          </mc:Fallback>
        </mc:AlternateContent>
      </w:r>
      <w:r>
        <w:rPr>
          <w:noProof/>
          <w:szCs w:val="24"/>
          <w:lang w:eastAsia="tr-TR"/>
        </w:rPr>
        <mc:AlternateContent>
          <mc:Choice Requires="wps">
            <w:drawing>
              <wp:anchor distT="0" distB="0" distL="114300" distR="114300" simplePos="0" relativeHeight="251668480" behindDoc="0" locked="0" layoutInCell="1" allowOverlap="1" wp14:anchorId="6C9AA3AF" wp14:editId="0386713C">
                <wp:simplePos x="0" y="0"/>
                <wp:positionH relativeFrom="column">
                  <wp:posOffset>1908175</wp:posOffset>
                </wp:positionH>
                <wp:positionV relativeFrom="paragraph">
                  <wp:posOffset>2983230</wp:posOffset>
                </wp:positionV>
                <wp:extent cx="1670050" cy="571500"/>
                <wp:effectExtent l="6985" t="13335" r="8890" b="5715"/>
                <wp:wrapNone/>
                <wp:docPr id="132" name="Dikdörtgen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rsidR="000D48B3" w:rsidRPr="009E4A14" w:rsidRDefault="000D48B3" w:rsidP="000D48B3">
                            <w:pPr>
                              <w:jc w:val="center"/>
                              <w:rPr>
                                <w:lang w:val="en"/>
                              </w:rPr>
                            </w:pPr>
                            <w:r w:rsidRPr="0051021B">
                              <w:t>Taramaya</w:t>
                            </w:r>
                            <w:r w:rsidRPr="009E4A14">
                              <w:t xml:space="preserve"> </w:t>
                            </w:r>
                            <w:r w:rsidRPr="0051021B">
                              <w:t>dahil</w:t>
                            </w:r>
                            <w:r w:rsidRPr="009E4A14">
                              <w:t xml:space="preserve"> </w:t>
                            </w:r>
                            <w:r w:rsidRPr="0051021B">
                              <w:t>edilenler</w:t>
                            </w:r>
                            <w:r>
                              <w:br/>
                              <w:t>(n = 28</w:t>
                            </w:r>
                            <w:r w:rsidRPr="009E4A14">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AA3AF" id="Dikdörtgen 132" o:spid="_x0000_s1030" style="position:absolute;margin-left:150.25pt;margin-top:234.9pt;width:13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">
                <v:textbox inset=",7.2pt,,7.2pt">
                  <w:txbxContent>
                    <w:p w:rsidR="000D48B3" w:rsidRPr="009E4A14" w:rsidRDefault="000D48B3" w:rsidP="000D48B3">
                      <w:pPr>
                        <w:jc w:val="center"/>
                        <w:rPr>
                          <w:lang w:val="en"/>
                        </w:rPr>
                      </w:pPr>
                      <w:r w:rsidRPr="0051021B">
                        <w:t>Taramaya</w:t>
                      </w:r>
                      <w:r w:rsidRPr="009E4A14">
                        <w:t xml:space="preserve"> </w:t>
                      </w:r>
                      <w:r w:rsidRPr="0051021B">
                        <w:t>dahil</w:t>
                      </w:r>
                      <w:r w:rsidRPr="009E4A14">
                        <w:t xml:space="preserve"> </w:t>
                      </w:r>
                      <w:r w:rsidRPr="0051021B">
                        <w:t>edilenler</w:t>
                      </w:r>
                      <w:r>
                        <w:br/>
                        <w:t>(n = 28</w:t>
                      </w:r>
                      <w:r w:rsidRPr="009E4A14">
                        <w:t xml:space="preserve"> )</w:t>
                      </w:r>
                    </w:p>
                  </w:txbxContent>
                </v:textbox>
              </v:rect>
            </w:pict>
          </mc:Fallback>
        </mc:AlternateContent>
      </w:r>
      <w:r>
        <w:rPr>
          <w:noProof/>
          <w:szCs w:val="24"/>
          <w:lang w:eastAsia="tr-TR"/>
        </w:rPr>
        <mc:AlternateContent>
          <mc:Choice Requires="wps">
            <w:drawing>
              <wp:anchor distT="36576" distB="36576" distL="36576" distR="36576" simplePos="0" relativeHeight="251673600" behindDoc="0" locked="0" layoutInCell="1" allowOverlap="1" wp14:anchorId="57B2AA31" wp14:editId="7C37F7C2">
                <wp:simplePos x="0" y="0"/>
                <wp:positionH relativeFrom="column">
                  <wp:posOffset>2743200</wp:posOffset>
                </wp:positionH>
                <wp:positionV relativeFrom="paragraph">
                  <wp:posOffset>2526030</wp:posOffset>
                </wp:positionV>
                <wp:extent cx="0" cy="457200"/>
                <wp:effectExtent l="60960" t="13335" r="53340" b="15240"/>
                <wp:wrapNone/>
                <wp:docPr id="131" name="Düz Ok Bağlayıcısı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6D5FAE" id="Düz Ok Bağlayıcısı 131" o:spid="_x0000_s1026" type="#_x0000_t32" style="position:absolute;margin-left:3in;margin-top:198.9pt;width:0;height:36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">
                <v:stroke endarrow="block"/>
                <v:shadow color="#ccc"/>
              </v:shape>
            </w:pict>
          </mc:Fallback>
        </mc:AlternateContent>
      </w:r>
      <w:r>
        <w:rPr>
          <w:noProof/>
          <w:szCs w:val="24"/>
          <w:lang w:eastAsia="tr-TR"/>
        </w:rPr>
        <mc:AlternateContent>
          <mc:Choice Requires="wps">
            <w:drawing>
              <wp:anchor distT="36576" distB="36576" distL="36576" distR="36576" simplePos="0" relativeHeight="251664384" behindDoc="0" locked="0" layoutInCell="1" allowOverlap="1" wp14:anchorId="0A28C524" wp14:editId="591FACB3">
                <wp:simplePos x="0" y="0"/>
                <wp:positionH relativeFrom="column">
                  <wp:posOffset>3886200</wp:posOffset>
                </wp:positionH>
                <wp:positionV relativeFrom="paragraph">
                  <wp:posOffset>1497330</wp:posOffset>
                </wp:positionV>
                <wp:extent cx="0" cy="457200"/>
                <wp:effectExtent l="60960" t="13335" r="53340" b="15240"/>
                <wp:wrapNone/>
                <wp:docPr id="130" name="Düz Ok Bağlayıcısı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CD2E5B" id="Düz Ok Bağlayıcısı 130" o:spid="_x0000_s1026" type="#_x0000_t32" style="position:absolute;margin-left:306pt;margin-top:117.9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">
                <v:stroke endarrow="block"/>
                <v:shadow color="#ccc"/>
              </v:shape>
            </w:pict>
          </mc:Fallback>
        </mc:AlternateContent>
      </w:r>
      <w:r>
        <w:rPr>
          <w:noProof/>
          <w:szCs w:val="24"/>
          <w:lang w:eastAsia="tr-TR"/>
        </w:rPr>
        <mc:AlternateContent>
          <mc:Choice Requires="wps">
            <w:drawing>
              <wp:anchor distT="36576" distB="36576" distL="36576" distR="36576" simplePos="0" relativeHeight="251663360" behindDoc="0" locked="0" layoutInCell="1" allowOverlap="1" wp14:anchorId="2F3138D4" wp14:editId="0E5DE2C7">
                <wp:simplePos x="0" y="0"/>
                <wp:positionH relativeFrom="column">
                  <wp:posOffset>1600200</wp:posOffset>
                </wp:positionH>
                <wp:positionV relativeFrom="paragraph">
                  <wp:posOffset>1497330</wp:posOffset>
                </wp:positionV>
                <wp:extent cx="0" cy="457200"/>
                <wp:effectExtent l="60960" t="13335" r="53340" b="15240"/>
                <wp:wrapNone/>
                <wp:docPr id="129" name="Düz Ok Bağlayıcısı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4D6A13" id="Düz Ok Bağlayıcısı 129" o:spid="_x0000_s1026" type="#_x0000_t32" style="position:absolute;margin-left:126pt;margin-top:117.9pt;width:0;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">
                <v:stroke endarrow="block"/>
                <v:shadow color="#ccc"/>
              </v:shape>
            </w:pict>
          </mc:Fallback>
        </mc:AlternateContent>
      </w:r>
      <w:r>
        <w:rPr>
          <w:noProof/>
          <w:szCs w:val="24"/>
          <w:lang w:eastAsia="tr-TR"/>
        </w:rPr>
        <mc:AlternateContent>
          <mc:Choice Requires="wps">
            <w:drawing>
              <wp:anchor distT="0" distB="0" distL="114300" distR="114300" simplePos="0" relativeHeight="251667456" behindDoc="0" locked="0" layoutInCell="1" allowOverlap="1" wp14:anchorId="42D1A3E4" wp14:editId="7F89331F">
                <wp:simplePos x="0" y="0"/>
                <wp:positionH relativeFrom="column">
                  <wp:posOffset>1356995</wp:posOffset>
                </wp:positionH>
                <wp:positionV relativeFrom="paragraph">
                  <wp:posOffset>1954530</wp:posOffset>
                </wp:positionV>
                <wp:extent cx="2771775" cy="571500"/>
                <wp:effectExtent l="8255" t="13335" r="10795" b="5715"/>
                <wp:wrapNone/>
                <wp:docPr id="128" name="Dikdörtgen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rsidR="000D48B3" w:rsidRPr="009E4A14" w:rsidRDefault="000D48B3" w:rsidP="000D48B3">
                            <w:pPr>
                              <w:jc w:val="center"/>
                              <w:rPr>
                                <w:lang w:val="en"/>
                              </w:rPr>
                            </w:pPr>
                            <w:r w:rsidRPr="0051021B">
                              <w:t>Tekrarlı</w:t>
                            </w:r>
                            <w:r w:rsidRPr="009E4A14">
                              <w:t xml:space="preserve"> </w:t>
                            </w:r>
                            <w:r w:rsidRPr="0051021B">
                              <w:t>çalışmaların</w:t>
                            </w:r>
                            <w:r w:rsidRPr="009E4A14">
                              <w:t xml:space="preserve"> </w:t>
                            </w:r>
                            <w:r w:rsidRPr="0051021B">
                              <w:t>çıkarılması</w:t>
                            </w:r>
                            <w:r w:rsidRPr="009E4A14">
                              <w:t xml:space="preserve"> </w:t>
                            </w:r>
                            <w:r w:rsidRPr="009E4A14">
                              <w:br/>
                              <w:t>(n =5)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1A3E4" id="Dikdörtgen 128" o:spid="_x0000_s1031" style="position:absolute;margin-left:106.85pt;margin-top:153.9pt;width:218.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">
                <v:textbox inset=",7.2pt,,7.2pt">
                  <w:txbxContent>
                    <w:p w:rsidR="000D48B3" w:rsidRPr="009E4A14" w:rsidRDefault="000D48B3" w:rsidP="000D48B3">
                      <w:pPr>
                        <w:jc w:val="center"/>
                        <w:rPr>
                          <w:lang w:val="en"/>
                        </w:rPr>
                      </w:pPr>
                      <w:r w:rsidRPr="0051021B">
                        <w:t>Tekrarlı</w:t>
                      </w:r>
                      <w:r w:rsidRPr="009E4A14">
                        <w:t xml:space="preserve"> </w:t>
                      </w:r>
                      <w:r w:rsidRPr="0051021B">
                        <w:t>çalışmaların</w:t>
                      </w:r>
                      <w:r w:rsidRPr="009E4A14">
                        <w:t xml:space="preserve"> </w:t>
                      </w:r>
                      <w:r w:rsidRPr="0051021B">
                        <w:t>çıkarılması</w:t>
                      </w:r>
                      <w:r w:rsidRPr="009E4A14">
                        <w:t xml:space="preserve"> </w:t>
                      </w:r>
                      <w:r w:rsidRPr="009E4A14">
                        <w:br/>
                        <w:t>(n =5)</w:t>
                      </w:r>
                    </w:p>
                  </w:txbxContent>
                </v:textbox>
              </v:rect>
            </w:pict>
          </mc:Fallback>
        </mc:AlternateContent>
      </w: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r>
        <w:rPr>
          <w:noProof/>
          <w:color w:val="000000"/>
          <w:w w:val="120"/>
          <w:lang w:eastAsia="tr-TR"/>
        </w:rPr>
        <mc:AlternateContent>
          <mc:Choice Requires="wps">
            <w:drawing>
              <wp:anchor distT="0" distB="0" distL="114300" distR="114300" simplePos="0" relativeHeight="251665408" behindDoc="0" locked="0" layoutInCell="1" allowOverlap="1" wp14:anchorId="4D7B2F89" wp14:editId="09DB7D9B">
                <wp:simplePos x="0" y="0"/>
                <wp:positionH relativeFrom="column">
                  <wp:posOffset>-609600</wp:posOffset>
                </wp:positionH>
                <wp:positionV relativeFrom="paragraph">
                  <wp:posOffset>530860</wp:posOffset>
                </wp:positionV>
                <wp:extent cx="1371600" cy="297180"/>
                <wp:effectExtent l="7620" t="6985" r="9525" b="12065"/>
                <wp:wrapNone/>
                <wp:docPr id="127" name="Yuvarlatılmış Dikdörtgen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rsidR="000D48B3" w:rsidRPr="009E4A14" w:rsidRDefault="000D48B3" w:rsidP="000D48B3">
                            <w:pPr>
                              <w:pStyle w:val="Balk2"/>
                              <w:keepNext/>
                              <w:rPr>
                                <w:lang w:val="en"/>
                              </w:rPr>
                            </w:pPr>
                            <w:r w:rsidRPr="009E4A14">
                              <w:rPr>
                                <w:lang w:val="en"/>
                              </w:rPr>
                              <w:t>Tanımlama</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B2F89" id="Yuvarlatılmış Dikdörtgen 127" o:spid="_x0000_s1032" style="position:absolute;left:0;text-align:left;margin-left:-48pt;margin-top:41.8pt;width:108pt;height:23.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" fillcolor="#ccecff">
                <v:textbox style="layout-flow:vertical;mso-layout-flow-alt:bottom-to-top" inset="3.6pt,,3.6pt">
                  <w:txbxContent>
                    <w:p w:rsidR="000D48B3" w:rsidRPr="009E4A14" w:rsidRDefault="000D48B3" w:rsidP="000D48B3">
                      <w:pPr>
                        <w:pStyle w:val="Balk2"/>
                        <w:keepNext/>
                        <w:rPr>
                          <w:lang w:val="en"/>
                        </w:rPr>
                      </w:pPr>
                      <w:r w:rsidRPr="009E4A14">
                        <w:rPr>
                          <w:lang w:val="en"/>
                        </w:rPr>
                        <w:t>Tanımlama</w:t>
                      </w:r>
                    </w:p>
                  </w:txbxContent>
                </v:textbox>
              </v:roundrect>
            </w:pict>
          </mc:Fallback>
        </mc:AlternateContent>
      </w: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r>
        <w:rPr>
          <w:noProof/>
          <w:color w:val="000000"/>
          <w:w w:val="120"/>
          <w:lang w:eastAsia="tr-TR"/>
        </w:rPr>
        <mc:AlternateContent>
          <mc:Choice Requires="wps">
            <w:drawing>
              <wp:anchor distT="0" distB="0" distL="114300" distR="114300" simplePos="0" relativeHeight="251660288" behindDoc="0" locked="0" layoutInCell="1" allowOverlap="1" wp14:anchorId="446E46D3" wp14:editId="559FEA3D">
                <wp:simplePos x="0" y="0"/>
                <wp:positionH relativeFrom="column">
                  <wp:posOffset>-609600</wp:posOffset>
                </wp:positionH>
                <wp:positionV relativeFrom="paragraph">
                  <wp:posOffset>660400</wp:posOffset>
                </wp:positionV>
                <wp:extent cx="1371600" cy="297180"/>
                <wp:effectExtent l="7620" t="5080" r="9525" b="13970"/>
                <wp:wrapNone/>
                <wp:docPr id="126" name="Yuvarlatılmış Dikdörtgen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rsidR="000D48B3" w:rsidRPr="009E4A14" w:rsidRDefault="000D48B3" w:rsidP="000D48B3">
                            <w:pPr>
                              <w:pStyle w:val="Balk2"/>
                              <w:keepNext/>
                              <w:rPr>
                                <w:lang w:val="en"/>
                              </w:rPr>
                            </w:pPr>
                            <w:r w:rsidRPr="009E4A14">
                              <w:rPr>
                                <w:lang w:val="en"/>
                              </w:rPr>
                              <w:t>Tarama</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E46D3" id="Yuvarlatılmış Dikdörtgen 126" o:spid="_x0000_s1033" style="position:absolute;left:0;text-align:left;margin-left:-48pt;margin-top:52pt;width:108pt;height:23.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" fillcolor="#ccecff">
                <v:textbox style="layout-flow:vertical;mso-layout-flow-alt:bottom-to-top" inset="3.6pt,,3.6pt">
                  <w:txbxContent>
                    <w:p w:rsidR="000D48B3" w:rsidRPr="009E4A14" w:rsidRDefault="000D48B3" w:rsidP="000D48B3">
                      <w:pPr>
                        <w:pStyle w:val="Balk2"/>
                        <w:keepNext/>
                        <w:rPr>
                          <w:lang w:val="en"/>
                        </w:rPr>
                      </w:pPr>
                      <w:r w:rsidRPr="009E4A14">
                        <w:rPr>
                          <w:lang w:val="en"/>
                        </w:rPr>
                        <w:t>Tarama</w:t>
                      </w:r>
                    </w:p>
                  </w:txbxContent>
                </v:textbox>
              </v:roundrect>
            </w:pict>
          </mc:Fallback>
        </mc:AlternateContent>
      </w: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r>
        <w:rPr>
          <w:noProof/>
          <w:color w:val="000000"/>
          <w:w w:val="120"/>
          <w:lang w:eastAsia="tr-TR"/>
        </w:rPr>
        <mc:AlternateContent>
          <mc:Choice Requires="wps">
            <w:drawing>
              <wp:anchor distT="0" distB="0" distL="114300" distR="114300" simplePos="0" relativeHeight="251669504" behindDoc="0" locked="0" layoutInCell="1" allowOverlap="1" wp14:anchorId="72E9FAFA" wp14:editId="154E3A57">
                <wp:simplePos x="0" y="0"/>
                <wp:positionH relativeFrom="column">
                  <wp:posOffset>4165600</wp:posOffset>
                </wp:positionH>
                <wp:positionV relativeFrom="paragraph">
                  <wp:posOffset>73660</wp:posOffset>
                </wp:positionV>
                <wp:extent cx="1714500" cy="765175"/>
                <wp:effectExtent l="6985" t="12700" r="12065" b="12700"/>
                <wp:wrapNone/>
                <wp:docPr id="125" name="Dikdörtgen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65175"/>
                        </a:xfrm>
                        <a:prstGeom prst="rect">
                          <a:avLst/>
                        </a:prstGeom>
                        <a:solidFill>
                          <a:srgbClr val="FFFFFF"/>
                        </a:solidFill>
                        <a:ln w="9525">
                          <a:solidFill>
                            <a:srgbClr val="000000"/>
                          </a:solidFill>
                          <a:miter lim="800000"/>
                          <a:headEnd/>
                          <a:tailEnd/>
                        </a:ln>
                      </wps:spPr>
                      <wps:txbx>
                        <w:txbxContent>
                          <w:p w:rsidR="000D48B3" w:rsidRDefault="000D48B3" w:rsidP="000D48B3">
                            <w:pPr>
                              <w:jc w:val="center"/>
                            </w:pPr>
                            <w:r w:rsidRPr="0051021B">
                              <w:t>Çalışmadan</w:t>
                            </w:r>
                            <w:r>
                              <w:t xml:space="preserve"> </w:t>
                            </w:r>
                            <w:r w:rsidRPr="0051021B">
                              <w:t>çıkarılanlar</w:t>
                            </w:r>
                            <w:r>
                              <w:br/>
                              <w:t>(nitel çalışma n=1</w:t>
                            </w:r>
                          </w:p>
                          <w:p w:rsidR="000D48B3" w:rsidRDefault="000D48B3" w:rsidP="000D48B3">
                            <w:pPr>
                              <w:jc w:val="center"/>
                            </w:pPr>
                            <w:r>
                              <w:t>Adölesan çalışması n=1</w:t>
                            </w:r>
                          </w:p>
                          <w:p w:rsidR="000D48B3" w:rsidRPr="009E4A14" w:rsidRDefault="000D48B3" w:rsidP="000D48B3">
                            <w:pPr>
                              <w:jc w:val="center"/>
                            </w:pPr>
                            <w:r>
                              <w:t>Almanca n=2</w:t>
                            </w:r>
                            <w:r w:rsidRPr="009E4A14">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9FAFA" id="Dikdörtgen 125" o:spid="_x0000_s1034" style="position:absolute;left:0;text-align:left;margin-left:328pt;margin-top:5.8pt;width:135pt;height:6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">
                <v:textbox inset=",7.2pt,,7.2pt">
                  <w:txbxContent>
                    <w:p w:rsidR="000D48B3" w:rsidRDefault="000D48B3" w:rsidP="000D48B3">
                      <w:pPr>
                        <w:jc w:val="center"/>
                      </w:pPr>
                      <w:r w:rsidRPr="0051021B">
                        <w:t>Çalışmadan</w:t>
                      </w:r>
                      <w:r>
                        <w:t xml:space="preserve"> </w:t>
                      </w:r>
                      <w:r w:rsidRPr="0051021B">
                        <w:t>çıkarılanlar</w:t>
                      </w:r>
                      <w:r>
                        <w:br/>
                        <w:t>(nitel çalışma n=1</w:t>
                      </w:r>
                    </w:p>
                    <w:p w:rsidR="000D48B3" w:rsidRDefault="000D48B3" w:rsidP="000D48B3">
                      <w:pPr>
                        <w:jc w:val="center"/>
                      </w:pPr>
                      <w:r>
                        <w:t>Adölesan çalışması n=1</w:t>
                      </w:r>
                    </w:p>
                    <w:p w:rsidR="000D48B3" w:rsidRPr="009E4A14" w:rsidRDefault="000D48B3" w:rsidP="000D48B3">
                      <w:pPr>
                        <w:jc w:val="center"/>
                      </w:pPr>
                      <w:r>
                        <w:t>Almanca n=2</w:t>
                      </w:r>
                      <w:r w:rsidRPr="009E4A14">
                        <w:t xml:space="preserve"> )</w:t>
                      </w:r>
                    </w:p>
                  </w:txbxContent>
                </v:textbox>
              </v:rect>
            </w:pict>
          </mc:Fallback>
        </mc:AlternateContent>
      </w:r>
      <w:r>
        <w:rPr>
          <w:noProof/>
          <w:color w:val="000000"/>
          <w:w w:val="120"/>
          <w:lang w:eastAsia="tr-TR"/>
        </w:rPr>
        <mc:AlternateContent>
          <mc:Choice Requires="wps">
            <w:drawing>
              <wp:anchor distT="36576" distB="36576" distL="36576" distR="36576" simplePos="0" relativeHeight="251676672" behindDoc="0" locked="0" layoutInCell="1" allowOverlap="1" wp14:anchorId="7520D645" wp14:editId="07C91DE4">
                <wp:simplePos x="0" y="0"/>
                <wp:positionH relativeFrom="column">
                  <wp:posOffset>3578225</wp:posOffset>
                </wp:positionH>
                <wp:positionV relativeFrom="paragraph">
                  <wp:posOffset>456565</wp:posOffset>
                </wp:positionV>
                <wp:extent cx="587375" cy="8255"/>
                <wp:effectExtent l="10160" t="52705" r="21590" b="53340"/>
                <wp:wrapNone/>
                <wp:docPr id="124" name="Düz Ok Bağlayıcısı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375" cy="825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305D01" id="Düz Ok Bağlayıcısı 124" o:spid="_x0000_s1026" type="#_x0000_t32" style="position:absolute;margin-left:281.75pt;margin-top:35.95pt;width:46.25pt;height:.65pt;flip:y;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">
                <v:stroke endarrow="block"/>
                <v:shadow color="#ccc"/>
              </v:shape>
            </w:pict>
          </mc:Fallback>
        </mc:AlternateContent>
      </w: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r>
        <w:rPr>
          <w:noProof/>
          <w:color w:val="000000"/>
          <w:w w:val="120"/>
          <w:lang w:eastAsia="tr-TR"/>
        </w:rPr>
        <mc:AlternateContent>
          <mc:Choice Requires="wps">
            <w:drawing>
              <wp:anchor distT="0" distB="0" distL="114300" distR="114300" simplePos="0" relativeHeight="251662336" behindDoc="0" locked="0" layoutInCell="1" allowOverlap="1" wp14:anchorId="498C5B04" wp14:editId="288C8238">
                <wp:simplePos x="0" y="0"/>
                <wp:positionH relativeFrom="column">
                  <wp:posOffset>-609600</wp:posOffset>
                </wp:positionH>
                <wp:positionV relativeFrom="paragraph">
                  <wp:posOffset>539115</wp:posOffset>
                </wp:positionV>
                <wp:extent cx="1371600" cy="297180"/>
                <wp:effectExtent l="7620" t="6985" r="9525" b="12065"/>
                <wp:wrapNone/>
                <wp:docPr id="123" name="Yuvarlatılmış Dikdörtgen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rsidR="000D48B3" w:rsidRPr="009E4A14" w:rsidRDefault="000D48B3" w:rsidP="000D48B3">
                            <w:pPr>
                              <w:pStyle w:val="Balk2"/>
                              <w:keepNext/>
                              <w:rPr>
                                <w:sz w:val="22"/>
                                <w:szCs w:val="22"/>
                                <w:lang w:val="en"/>
                              </w:rPr>
                            </w:pPr>
                            <w:r w:rsidRPr="009E4A14">
                              <w:rPr>
                                <w:sz w:val="22"/>
                                <w:szCs w:val="22"/>
                                <w:lang w:val="en"/>
                              </w:rPr>
                              <w:t>Uygunluk ölçütleri</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C5B04" id="Yuvarlatılmış Dikdörtgen 123" o:spid="_x0000_s1035" style="position:absolute;left:0;text-align:left;margin-left:-48pt;margin-top:42.45pt;width:108pt;height:23.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" fillcolor="#ccecff">
                <v:textbox style="layout-flow:vertical;mso-layout-flow-alt:bottom-to-top" inset="3.6pt,,3.6pt">
                  <w:txbxContent>
                    <w:p w:rsidR="000D48B3" w:rsidRPr="009E4A14" w:rsidRDefault="000D48B3" w:rsidP="000D48B3">
                      <w:pPr>
                        <w:pStyle w:val="Balk2"/>
                        <w:keepNext/>
                        <w:rPr>
                          <w:sz w:val="22"/>
                          <w:szCs w:val="22"/>
                          <w:lang w:val="en"/>
                        </w:rPr>
                      </w:pPr>
                      <w:r w:rsidRPr="009E4A14">
                        <w:rPr>
                          <w:sz w:val="22"/>
                          <w:szCs w:val="22"/>
                          <w:lang w:val="en"/>
                        </w:rPr>
                        <w:t>Uygunluk ölçütleri</w:t>
                      </w:r>
                    </w:p>
                  </w:txbxContent>
                </v:textbox>
              </v:roundrect>
            </w:pict>
          </mc:Fallback>
        </mc:AlternateContent>
      </w: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r>
        <w:rPr>
          <w:noProof/>
          <w:color w:val="000000"/>
          <w:w w:val="120"/>
          <w:lang w:eastAsia="tr-TR"/>
        </w:rPr>
        <mc:AlternateContent>
          <mc:Choice Requires="wps">
            <w:drawing>
              <wp:anchor distT="36576" distB="36576" distL="36576" distR="36576" simplePos="0" relativeHeight="251675648" behindDoc="0" locked="0" layoutInCell="1" allowOverlap="1" wp14:anchorId="316C690C" wp14:editId="2706CEDF">
                <wp:simplePos x="0" y="0"/>
                <wp:positionH relativeFrom="column">
                  <wp:posOffset>2720975</wp:posOffset>
                </wp:positionH>
                <wp:positionV relativeFrom="paragraph">
                  <wp:posOffset>125095</wp:posOffset>
                </wp:positionV>
                <wp:extent cx="0" cy="650240"/>
                <wp:effectExtent l="57785" t="10160" r="56515" b="15875"/>
                <wp:wrapNone/>
                <wp:docPr id="122" name="Düz Ok Bağlayıcısı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9620DC" id="Düz Ok Bağlayıcısı 122" o:spid="_x0000_s1026" type="#_x0000_t32" style="position:absolute;margin-left:214.25pt;margin-top:9.85pt;width:0;height:51.2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">
                <v:stroke endarrow="block"/>
                <v:shadow color="#ccc"/>
              </v:shape>
            </w:pict>
          </mc:Fallback>
        </mc:AlternateContent>
      </w: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r>
        <w:rPr>
          <w:noProof/>
          <w:color w:val="000000"/>
          <w:w w:val="120"/>
          <w:lang w:eastAsia="tr-TR"/>
        </w:rPr>
        <mc:AlternateContent>
          <mc:Choice Requires="wps">
            <w:drawing>
              <wp:anchor distT="0" distB="0" distL="114300" distR="114300" simplePos="0" relativeHeight="251661312" behindDoc="0" locked="0" layoutInCell="1" allowOverlap="1" wp14:anchorId="4B3B0EDD" wp14:editId="33B6038F">
                <wp:simplePos x="0" y="0"/>
                <wp:positionH relativeFrom="column">
                  <wp:posOffset>-609600</wp:posOffset>
                </wp:positionH>
                <wp:positionV relativeFrom="paragraph">
                  <wp:posOffset>699135</wp:posOffset>
                </wp:positionV>
                <wp:extent cx="1371600" cy="297180"/>
                <wp:effectExtent l="7620" t="6985" r="9525" b="12065"/>
                <wp:wrapNone/>
                <wp:docPr id="121" name="Yuvarlatılmış Dikdörtgen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rsidR="000D48B3" w:rsidRPr="009E4A14" w:rsidRDefault="000D48B3" w:rsidP="000D48B3">
                            <w:pPr>
                              <w:pStyle w:val="Balk2"/>
                              <w:keepNext/>
                              <w:rPr>
                                <w:lang w:val="en"/>
                              </w:rPr>
                            </w:pPr>
                            <w:r w:rsidRPr="009E4A14">
                              <w:rPr>
                                <w:lang w:val="en"/>
                              </w:rPr>
                              <w:t>Dahil edilenler</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B0EDD" id="Yuvarlatılmış Dikdörtgen 121" o:spid="_x0000_s1036" style="position:absolute;left:0;text-align:left;margin-left:-48pt;margin-top:55.05pt;width:108pt;height:23.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" fillcolor="#ccecff">
                <v:textbox style="layout-flow:vertical;mso-layout-flow-alt:bottom-to-top" inset="3.6pt,,3.6pt">
                  <w:txbxContent>
                    <w:p w:rsidR="000D48B3" w:rsidRPr="009E4A14" w:rsidRDefault="000D48B3" w:rsidP="000D48B3">
                      <w:pPr>
                        <w:pStyle w:val="Balk2"/>
                        <w:keepNext/>
                        <w:rPr>
                          <w:lang w:val="en"/>
                        </w:rPr>
                      </w:pPr>
                      <w:r w:rsidRPr="009E4A14">
                        <w:rPr>
                          <w:lang w:val="en"/>
                        </w:rPr>
                        <w:t>Dahil edilenler</w:t>
                      </w:r>
                    </w:p>
                  </w:txbxContent>
                </v:textbox>
              </v:roundrect>
            </w:pict>
          </mc:Fallback>
        </mc:AlternateContent>
      </w: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r>
        <w:rPr>
          <w:noProof/>
          <w:color w:val="000000"/>
          <w:w w:val="120"/>
          <w:lang w:eastAsia="tr-TR"/>
        </w:rPr>
        <mc:AlternateContent>
          <mc:Choice Requires="wps">
            <w:drawing>
              <wp:anchor distT="0" distB="0" distL="114300" distR="114300" simplePos="0" relativeHeight="251672576" behindDoc="0" locked="0" layoutInCell="1" allowOverlap="1" wp14:anchorId="68B36588" wp14:editId="454AF16A">
                <wp:simplePos x="0" y="0"/>
                <wp:positionH relativeFrom="column">
                  <wp:posOffset>1908175</wp:posOffset>
                </wp:positionH>
                <wp:positionV relativeFrom="paragraph">
                  <wp:posOffset>74295</wp:posOffset>
                </wp:positionV>
                <wp:extent cx="1714500" cy="685800"/>
                <wp:effectExtent l="6985" t="12700" r="12065" b="6350"/>
                <wp:wrapNone/>
                <wp:docPr id="120" name="Dikdörtgen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rsidR="000D48B3" w:rsidRPr="009E4A14" w:rsidRDefault="000D48B3" w:rsidP="000D48B3">
                            <w:pPr>
                              <w:jc w:val="center"/>
                              <w:rPr>
                                <w:lang w:val="en"/>
                              </w:rPr>
                            </w:pPr>
                            <w:r w:rsidRPr="009E4A14">
                              <w:t>A</w:t>
                            </w:r>
                            <w:r>
                              <w:t xml:space="preserve">nalize uygun olanlar </w:t>
                            </w:r>
                            <w:r>
                              <w:br/>
                              <w:t>(n =24</w:t>
                            </w:r>
                            <w:r w:rsidRPr="009E4A14">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6588" id="Dikdörtgen 120" o:spid="_x0000_s1037" style="position:absolute;left:0;text-align:left;margin-left:150.25pt;margin-top:5.85pt;width:13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">
                <v:textbox inset=",7.2pt,,7.2pt">
                  <w:txbxContent>
                    <w:p w:rsidR="000D48B3" w:rsidRPr="009E4A14" w:rsidRDefault="000D48B3" w:rsidP="000D48B3">
                      <w:pPr>
                        <w:jc w:val="center"/>
                        <w:rPr>
                          <w:lang w:val="en"/>
                        </w:rPr>
                      </w:pPr>
                      <w:r w:rsidRPr="009E4A14">
                        <w:t>A</w:t>
                      </w:r>
                      <w:r>
                        <w:t xml:space="preserve">nalize uygun olanlar </w:t>
                      </w:r>
                      <w:r>
                        <w:br/>
                        <w:t>(n =24</w:t>
                      </w:r>
                      <w:r w:rsidRPr="009E4A14">
                        <w:t>)</w:t>
                      </w:r>
                    </w:p>
                  </w:txbxContent>
                </v:textbox>
              </v:rect>
            </w:pict>
          </mc:Fallback>
        </mc:AlternateContent>
      </w: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pStyle w:val="stBilgi"/>
        <w:tabs>
          <w:tab w:val="right" w:pos="13860"/>
        </w:tabs>
        <w:ind w:left="720"/>
        <w:rPr>
          <w:bCs/>
          <w:color w:val="000000"/>
        </w:rPr>
      </w:pPr>
    </w:p>
    <w:p w:rsidR="000D48B3" w:rsidRPr="002F2F11" w:rsidRDefault="000D48B3" w:rsidP="000D48B3">
      <w:pPr>
        <w:jc w:val="both"/>
        <w:rPr>
          <w:rFonts w:eastAsia="Calibri"/>
          <w:szCs w:val="24"/>
          <w:lang w:val="en-US"/>
        </w:rPr>
      </w:pPr>
    </w:p>
    <w:p w:rsidR="000D48B3" w:rsidRPr="002F2F11" w:rsidRDefault="000D48B3" w:rsidP="000D48B3">
      <w:pPr>
        <w:jc w:val="both"/>
        <w:rPr>
          <w:rFonts w:eastAsia="Calibri"/>
          <w:szCs w:val="24"/>
          <w:lang w:val="en-US"/>
        </w:rPr>
      </w:pPr>
    </w:p>
    <w:p w:rsidR="000D48B3" w:rsidRPr="002F2F11" w:rsidRDefault="000D48B3" w:rsidP="000D48B3">
      <w:pPr>
        <w:jc w:val="both"/>
        <w:rPr>
          <w:rFonts w:eastAsia="Calibri"/>
          <w:b/>
          <w:szCs w:val="24"/>
          <w:lang w:val="en-US"/>
        </w:rPr>
      </w:pPr>
      <w:r>
        <w:rPr>
          <w:rFonts w:eastAsia="Calibri"/>
          <w:b/>
          <w:szCs w:val="24"/>
          <w:lang w:val="en-US"/>
        </w:rPr>
        <w:t>Bulgular ve tartı</w:t>
      </w:r>
      <w:r w:rsidRPr="002F2F11">
        <w:rPr>
          <w:rFonts w:eastAsia="Calibri"/>
          <w:b/>
          <w:szCs w:val="24"/>
          <w:lang w:val="en-US"/>
        </w:rPr>
        <w:t>şma</w:t>
      </w:r>
    </w:p>
    <w:p w:rsidR="000D48B3" w:rsidRDefault="000D48B3" w:rsidP="000D48B3">
      <w:pPr>
        <w:jc w:val="both"/>
        <w:rPr>
          <w:rFonts w:eastAsia="Calibri"/>
          <w:szCs w:val="24"/>
        </w:rPr>
      </w:pPr>
      <w:r>
        <w:rPr>
          <w:rFonts w:eastAsia="Calibri"/>
          <w:szCs w:val="24"/>
          <w:lang w:val="en-US"/>
        </w:rPr>
        <w:tab/>
      </w:r>
      <w:r w:rsidRPr="002F2F11">
        <w:rPr>
          <w:rFonts w:eastAsia="Calibri"/>
          <w:szCs w:val="24"/>
          <w:lang w:val="en-US"/>
        </w:rPr>
        <w:t xml:space="preserve">Bu sistematik derlemeye dahil edilen araştırmaların </w:t>
      </w:r>
      <w:r w:rsidRPr="002F2F11">
        <w:rPr>
          <w:rFonts w:eastAsia="Calibri"/>
          <w:szCs w:val="24"/>
        </w:rPr>
        <w:t>büyük çoğunluğu</w:t>
      </w:r>
      <w:r>
        <w:rPr>
          <w:rFonts w:eastAsia="Calibri"/>
          <w:szCs w:val="24"/>
        </w:rPr>
        <w:t>nun</w:t>
      </w:r>
      <w:r w:rsidRPr="002F2F11">
        <w:rPr>
          <w:rFonts w:eastAsia="Calibri"/>
          <w:szCs w:val="24"/>
        </w:rPr>
        <w:t xml:space="preserve"> (20) son beş yılda Ortadoğu [Türkiye</w:t>
      </w:r>
      <w:r>
        <w:rPr>
          <w:rFonts w:eastAsia="Calibri"/>
          <w:szCs w:val="24"/>
        </w:rPr>
        <w:t xml:space="preserve"> </w:t>
      </w:r>
      <w:r w:rsidRPr="002F2F11">
        <w:rPr>
          <w:rFonts w:eastAsia="Calibri"/>
          <w:szCs w:val="24"/>
        </w:rPr>
        <w:fldChar w:fldCharType="begin" w:fldLock="1"/>
      </w:r>
      <w:r w:rsidRPr="002F2F11">
        <w:rPr>
          <w:rFonts w:eastAsia="Calibri"/>
          <w:szCs w:val="24"/>
        </w:rPr>
        <w:instrText>ADDIN CSL_CITATION { "citationItems" : [ { "id" : "ITEM-1", "itemData" : { "DOI" : "10.3934/publichealth.2017.4.314", "ISBN" : "2327-8994 (Print)\r2327-8994 (Linking)", "ISSN" : "2327-8994", "PMID" : "29546220", "abstract" : "Objective: Health literacy plays a critical role in chronic disease self-management. This study aimed to determine the relation between health literacy levels, hypertension awareness and control among primary-secondary school teachers in Turkey. Materials and Methods: This descriptive and cross-sectional research was conducted among school teachers with the participation of 500 volunteer teachers of both genders. The response rate was 86.2%. To determine health literacy levels, the Newest Vital Sign Scale and Blood Pressure Concept Test were used. Results: The mean scores of all individuals were 2.12 +/- 1.82 over six points although this showed \"limited\" levels of health literacy. The mean scores obtained from the scale were 2.13 +/- 1.83 in non-hypertensives, while it was 2.06 +/- 1.77 in hypertensives. Nonetheless, disease knowledge and awareness were low in teachers. Adequate health literacy levels were low according to disease awareness and control. The measured health literacy levels of teachers didn't overlap with their own assessments about health literacy skills. Recommendations: Limited health literacy levels in educators gave an impression that our education system was poor in terms of health education programs.", "author" : [ { "dropping-particle" : "", "family" : "Yilmazel", "given" : "G\u00fclay", "non-dropping-particle" : "", "parse-names" : false, "suffix" : "" }, { "dropping-particle" : "", "family" : "\u00c7etinkaya", "given" : "Fevziye", "non-dropping-particle" : "", "parse-names" : false, "suffix" : "" } ], "container-title" : "AIMS Public Health", "id" : "ITEM-1", "issue" : "4", "issued" : { "date-parts" : [ [ "2017" ] ] }, "page" : "314-325", "title" : "Relation between Health Literacy Levels, Hypertension Awareness and Control among Primary-secondary School Teachers in Turkey", "type" : "article-journal", "volume" : "4" }, "uris" : [ "http://www.mendeley.com/documents/?uuid=1cbf097a-aa84-4790-b0a4-03d1354b95f8" ] } ], "mendeley" : { "formattedCitation" : "(Yilmazel &amp; \u00c7etinkaya, 2017)", "plainTextFormattedCitation" : "(Yilmazel &amp; \u00c7etinkaya, 2017)", "previouslyFormattedCitation" : "(Yilmazel &amp; \u00c7etinkaya, 2017)"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(Yilmazel &amp; Çetinkaya, 2017)</w:t>
      </w:r>
      <w:r w:rsidRPr="002F2F11">
        <w:rPr>
          <w:rFonts w:eastAsia="Calibri"/>
          <w:szCs w:val="24"/>
        </w:rPr>
        <w:fldChar w:fldCharType="end"/>
      </w:r>
      <w:r w:rsidRPr="002F2F11">
        <w:rPr>
          <w:rFonts w:eastAsia="Calibri"/>
          <w:szCs w:val="24"/>
        </w:rPr>
        <w:t xml:space="preserve">, İran </w:t>
      </w:r>
      <w:r w:rsidRPr="002F2F11">
        <w:rPr>
          <w:rFonts w:eastAsia="Calibri"/>
          <w:szCs w:val="24"/>
        </w:rPr>
        <w:fldChar w:fldCharType="begin" w:fldLock="1"/>
      </w:r>
      <w:r w:rsidRPr="002F2F11">
        <w:rPr>
          <w:rFonts w:eastAsia="Calibri"/>
          <w:szCs w:val="24"/>
        </w:rPr>
        <w:instrText>ADDIN CSL_CITATION { "citationItems" : [ { "id" : "ITEM-1", "itemData" : { "author" : [ { "dropping-particle" : "", "family" : "Chajaee", "given" : "F", "non-dropping-particle" : "", "parse-names" : false, "suffix" : "" }, { "dropping-particle" : "", "family" : "Pirzadeh", "given" : "A", "non-dropping-particle" : "", "parse-names" : false, "suffix" : "" }, { "dropping-particle" : "", "family" : "Hasanzadeh", "given" : "A", "non-dropping-particle" : "", "parse-names" : false, "suffix" : "" }, { "dropping-particle" : "", "family" : "Mostafavi", "given" : "F", "non-dropping-particle" : "", "parse-names" : false, "suffix" : "" } ], "container-title" : "Electronic Physician", "id" : "ITEM-1", "issue" : "3", "issued" : { "date-parts" : [ [ "2018" ] ] }, "page" : "6470- 6477", "title" : "Relationship between health literacy and knowledge among patients with hypertension in Isfahan province, Iran", "type" : "article-journal", "volume" : "10" }, "uris" : [ "http://www.mendeley.com/documents/?uuid=c456c00f-82d3-4b0e-a24d-b21dcd7fe718" ] }, { "id" : "ITEM-2", "itemData" : { "DOI" : "10.19082/5712", "ISBN" : "2425262830", "ISSN" : "2008-5842", "PMID" : "29403610", "abstract" : "Background and Objective Hypertension is considered an important public health problem in developed and developing countries. This disease is closely associated with the quality of life of patients, and it seems that health literacy plays a role in this regard. Due to lack of information on the role of health literacy on the quality of life in patients with hypertension, this study has aimed to determine the correlation between health literacy and health-related quality of life in patients with hypertension. Methods This study is cross-sectional. The sample consisted of 400 patients with hypertension who were enrolled if available. To collect data, a demographic questionnaire (SF-36), Short Form Health Survey, and Health Literacy for Iranian Adults (HELIA) Inventory were used. Data were analyzed using SPSS software version 21 for descriptive and inferential statistics (e.g., mean, standard deviation, t-test, and Pearson correlation coefficient). Results The mean and standard deviation scores of health literacy and health-related quality of life were, respectively, 68.66 (\u00b113.56) and 52.94 (\u00b115.20). There was positive and significant correlation between health literacy and health-related quality of life (p&lt;0.01, r=0.30). Conclusion According to research findings, there was a significant positive correlation between health literacy and health-related quality of life. Given the importance of health literacy in the quality of life in patients with hypertension, it seems essential that nursing officials and policymakers take steps to promote patients' health and quality of life by using training programs appropriate for the patients' health literacy level.", "author" : [ { "dropping-particle" : "", "family" : "Naimi", "given" : "Ahmad Johari", "non-dropping-particle" : "", "parse-names" : false, "suffix" : "" }, { "dropping-particle" : "", "family" : "Naderiravesh", "given" : "Nadereh", "non-dropping-particle" : "", "parse-names" : false, "suffix" : "" }, { "dropping-particle" : "", "family" : "Bayat", "given" : "Zahra Safavi", "non-dropping-particle" : "", "parse-names" : false, "suffix" : "" }, { "dropping-particle" : "", "family" : "Shakeri", "given" : "Nezhat", "non-dropping-particle" : "", "parse-names" : false, "suffix" : "" }, { "dropping-particle" : "", "family" : "Matbouei", "given" : "Mahsa", "non-dropping-particle" : "", "parse-names" : false, "suffix" : "" } ], "container-title" : "Electronic physician", "id" : "ITEM-2", "issue" : "11", "issued" : { "date-parts" : [ [ "2017" ] ] }, "page" : "5712-5720", "title" : "Correlation between health literacy and health-related quality of life in patients with hypertension, in Tehran, Iran, 2015-2016.", "type" : "article-journal", "volume" : "9" }, "uris" : [ "http://www.mendeley.com/documents/?uuid=1df560b2-7b40-493b-8350-3b8220f51e47" ] }, { "id" : "ITEM-3", "itemData" : { "ISBN" : "2008-6164 (Print)\r2008-6164 (Linking)", "ISSN" : "2008-6164", "PMID" : "24009940", "abstract" : "Background : Hypertension is considered as a major health problem in our society. The association between educational level with hypertension and its control in the Golestan Province (northern Iran) were the main objectives of this study. Methods: This was a population-based cross-sectional study that enrolled 3497 subjects aged 15-65 years using stratified and cluster sampling. The interviewers recorded the data using a multidimensional questionnaire, including blood pressure level. Blood pressure was measured three times with 5 minutes interval and defined based on Join National Committee (JNC-7). Results: Totally, 741 (21.2 %) cases suffered from hypertension and illiterate people were significantly more aware of their disease (p=0.011). In the aware group, 435 (89.6%) cases used one method to control their disease and it was not statistically significant as far as educational levels was concerned. The control of hypertension was significantly greater in college educated group than the illiterate one (32.4% vs 68.8%) (p=0.001). Logistic regression analysis revealed that illiteracy is a risk factor for hypertension (p&lt;0.001). Conclusion: In spite of awareness in the illiterate people was high, the rate of hypertension control was low in this group. Prevention, detection, treatment, and control of hypertension especially the illiterate people should be given high priority.", "author" : [ { "dropping-particle" : "", "family" : "Veghari", "given" : "Gholamreza", "non-dropping-particle" : "", "parse-names" : false, "suffix" : "" }, { "dropping-particle" : "", "family" : "Sedaghat", "given" : "Mehdi", "non-dropping-particle" : "", "parse-names" : false, "suffix" : "" }, { "dropping-particle" : "", "family" : "Maghsodlo", "given" : "Siavash", "non-dropping-particle" : "", "parse-names" : false, "suffix" : "" }, { "dropping-particle" : "", "family" : "Banihashem", "given" : "Samieh", "non-dropping-particle" : "", "parse-names" : false, "suffix" : "" }, { "dropping-particle" : "", "family" : "Moharloei", "given" : "Pooneh", "non-dropping-particle" : "", "parse-names" : false, "suffix" : "" }, { "dropping-particle" : "", "family" : "Angizeh", "given" : "Abdolhamid", "non-dropping-particle" : "", "parse-names" : false, "suffix" : "" }, { "dropping-particle" : "", "family" : "Tazik", "given" : "Ebrahim", "non-dropping-particle" : "", "parse-names" : false, "suffix" : "" }, { "dropping-particle" : "", "family" : "Moghaddami", "given" : "Abbas", "non-dropping-particle" : "", "parse-names" : false, "suffix" : "" } ], "container-title" : "Caspian journal of internal medicine", "id" : "ITEM-3", "issue" : "1", "issued" : { "date-parts" : [ [ "2013" ] ] }, "page" : "580-4", "title" : "Impact of literacy on the prevalence, awareness, treatment and control of hypertension in adults in Golestan Province (northern Iran).", "type" : "article-journal", "volume" : "4" }, "uris" : [ "http://www.mendeley.com/documents/?uuid=e4b98362-7032-47ed-b8c5-f98d71a1db9a" ] }, { "id" : "ITEM-4", "itemData" : { "ISSN" : "2228-5504", "PMID" : "21772920", "abstract" : "Hypertension is one of the most crucial health problems and most common chronic disease in developed and underdeveloped countries, which is called silent killer. Usually diagnosis happens suddenly. Despite this fact that is a preventable and treatable condition but without treatment it leads to serious and life threatening complications (such as heart, kidney and brain destruction), and in most cases these complications result in disability. It can be prevented by, increase knowledge and awareness, change attitude and practice. Prevention, plays significant role in controlling this disease.", "author" : [ { "dropping-particle" : "", "family" : "Sabouhi", "given" : "Fakhri", "non-dropping-particle" : "", "parse-names" : false, "suffix" : "" }, { "dropping-particle" : "", "family" : "Babaee", "given" : "Sima", "non-dropping-particle" : "", "parse-names" : false, "suffix" : "" }, { "dropping-particle" : "", "family" : "Naji", "given" : "Homayoon", "non-dropping-particle" : "", "parse-names" : false, "suffix" : "" }, { "dropping-particle" : "", "family" : "Zadeh", "given" : "Akbar Hassan", "non-dropping-particle" : "", "parse-names" : false, "suffix" : "" } ], "container-title" : "Iranian journal of nursing and midwifery research", "id" : "ITEM-4", "issue" : "1", "issued" : { "date-parts" : [ [ "2011" ] ] }, "page" : "34-40", "title" : "Knowledge, awareness, attitudes and practice about hypertension in hypertensive patients referring to public health care centers in Khoor &amp;amp; Biabanak.", "type" : "article-journal", "volume" : "16" }, "uris" : [ "http://www.mendeley.com/documents/?uuid=de5afb1b-f131-41fd-9715-c38b228fe63f" ] } ], "mendeley" : { "formattedCitation" : "(Chajaee et al., 2018; Naimi et al., 2017; Sabouhi, Babaee, Naji, &amp; Zadeh, 2011; Veghari et al., 2013)", "plainTextFormattedCitation" : "(Chajaee et al., 2018; Naimi et al., 2017; Sabouhi, Babaee, Naji, &amp; Zadeh, 2011; Veghari et al., 2013)", "previouslyFormattedCitation" : "(Chajaee et al., 2018; Naimi et al., 2017; Sabouhi, Babaee, Naji, &amp; Zadeh, 2011; Veghari et al., 2013)"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(Chajaee et al., 2018; Naimi et al., 2017; Sabouhi, Babaee, Naji, &amp; Zadeh, 2011; Veghari et al., 2013)</w:t>
      </w:r>
      <w:r w:rsidRPr="002F2F11">
        <w:rPr>
          <w:rFonts w:eastAsia="Calibri"/>
          <w:szCs w:val="24"/>
        </w:rPr>
        <w:fldChar w:fldCharType="end"/>
      </w:r>
      <w:r w:rsidRPr="002F2F11">
        <w:rPr>
          <w:rFonts w:eastAsia="Calibri"/>
          <w:szCs w:val="24"/>
        </w:rPr>
        <w:t>] ve Uzakdoğu [Çin (</w:t>
      </w:r>
      <w:r w:rsidRPr="002F2F11">
        <w:rPr>
          <w:rFonts w:eastAsia="Calibri"/>
          <w:szCs w:val="24"/>
        </w:rPr>
        <w:fldChar w:fldCharType="begin" w:fldLock="1"/>
      </w:r>
      <w:r w:rsidRPr="002F2F11">
        <w:rPr>
          <w:rFonts w:eastAsia="Calibri"/>
          <w:szCs w:val="24"/>
        </w:rPr>
        <w:instrText>ADDIN CSL_CITATION { "citationItems" : [ { "id" : "ITEM-1", "itemData" : { "DOI" : "10.1097/MBP.0b013e32834af7ba", "ISBN" : "1473-5725 (Electronic)\\r1359-5237 (Linking)", "ISSN" : "13595237", "PMID" : "21857504", "abstract" : "BACKGROUND: With the growth in the popularity of the Internet, individuals' skills in finding and applying information about health issues [health literacy (HL)] are affecting their health behaviors. This study aimed to examine functional HL (FHL), critical HL (CHL), and hypertension knowledge (HK) among middle-aged Japanese adults. In addition, to measure health outcomes, we examined the relationship between HL, HK, and blood pressure (BP) level.\\n\\nMETHODS: The study included middle-aged participants who received an annual health check-up at an urban clinic in Japan. FHL, CHL, and HK were assessed using structured questionnaires. In addition, BP was obtained from the electronic medical record.\\n\\nRESULTS: Participants included 139 women and 181 men with a mean age of 54.4 years (standard deviation = 0.69). Individuals with lower reading comprehension scores in FHL were more likely to have a history of hypertension (P = 0.003) and diabetes mellitus (P = 0.02). Individuals with lower CHL had significantly higher rates of current smoking (P = 0.03) and men with lower CHL had a significantly higher waist circumference (P = 0.03). There was a significant relationship between sex and HK (P = 0.03). Systolic BP in women with higher HL and HK was significantly lower than in men with higher FHL (P &lt; 0.001), CHL (P = 0.01), and HK (P = 0.001).\\n\\nCONCLUSION: Lower HL and HK were associated with a poor health status and BP level in middle-aged participants. Further research is needed to examine the role of health management in improving outcomes and to address disparities between individuals with higher and lower HL.", "author" : [ { "dropping-particle" : "", "family" : "Shibuya", "given" : "Akiko", "non-dropping-particle" : "", "parse-names" : false, "suffix" : "" }, { "dropping-particle" : "", "family" : "Inoue", "given" : "Ryusuke", "non-dropping-particle" : "", "parse-names" : false, "suffix" : "" }, { "dropping-particle" : "", "family" : "Ohkubo", "given" : "Takayoshi", "non-dropping-particle" : "", "parse-names" : false, "suffix" : "" }, { "dropping-particle" : "", "family" : "Takeda", "given" : "Yumiko", "non-dropping-particle" : "", "parse-names" : false, "suffix" : "" }, { "dropping-particle" : "", "family" : "Teshima", "given" : "Takeo", "non-dropping-particle" : "", "parse-names" : false, "suffix" : "" }, { "dropping-particle" : "", "family" : "Imai", "given" : "Yutaka", "non-dropping-particle" : "", "parse-names" : false, "suffix" : "" }, { "dropping-particle" : "", "family" : "Kondo", "given" : "Yoshiaki", "non-dropping-particle" : "", "parse-names" : false, "suffix" : "" } ], "container-title" : "Blood Pressure Monitoring", "id" : "ITEM-1", "issue" : "5", "issued" : { "date-parts" : [ [ "2011" ] ] }, "page" : "224-230", "title" : "The relation between health literacy, hypertension knowledge, and blood pressure among middle-aged Japanese adults", "type" : "article-journal", "volume" : "16" }, "uris" : [ "http://www.mendeley.com/documents/?uuid=cfa1e57f-5b81-480a-8cb3-73aa6acb996e" ] }, { "id" : "ITEM-2", "itemData" : { "DOI" : "10.1007/s11739-017-1651-7", "ISSN" : "19709366", "PMID" : "28303441", "abstract" : "Low health literacy is associated with poor clinical outcomes. The relationship between literacy and blood pressure (BP) has been inconsistent. We investigated the determinants of health literacy and the potential relationship between health literacy and hypertension management. We conducted a retrospective cohort trial of 360 hypertensive patients. Scale measurements, physical examination, and laboratory tests were performed based on a standard protocol. To determine factors associated with health literacy, multiple logistic regression analysis was performed and the discriminatory power of the scale score for hypertension control was assessed by the area under the receiver operating curve. After adjusting for potential confounders, our findings show that the level of education, home blood pressure measurement, regular medication, and systolic blood pressure are significantly associated with health literacy. Moreover, patients with high health literacy have better hypertension control, a lower risk of ischemic cardiovascular disease (ICVD), lower brachial ankle pulse wave velocity values, and better health-related quality of life. In addition, our study also demonstrates that we can identify the health literacy level of hypertensive patients using the Chinese Health Literacy Scale for Hypertension. At a cut-off value of 13.5, we predict that patients will achieve long-term hypertension control. Adequate health literacy is a contributing factor to better blood pressure (BP) control and better perceived quality of life in hypertensive patients. Low health literacy increases the 10-year risk of ICVD and incidence of artery stiffness in hypertensive patients. Improving health literacy should be considered an important part of the management of hypertension.", "author" : [ { "dropping-particle" : "", "family" : "Shi", "given" : "Di", "non-dropping-particle" : "", "parse-names" : false, "suffix" : "" }, { "dropping-particle" : "", "family" : "Li", "given" : "Jiangbo", "non-dropping-particle" : "", "parse-names" : false, "suffix" : "" }, { "dropping-particle" : "", "family" : "Wang", "given" : "Yong", "non-dropping-particle" : "", "parse-names" : false, "suffix" : "" }, { "dropping-particle" : "", "family" : "Wang", "given" : "Si", "non-dropping-particle" : "", "parse-names" : false, "suffix" : "" }, { "dropping-particle" : "", "family" : "Liu", "given" : "Kai", "non-dropping-particle" : "", "parse-names" : false, "suffix" : "" }, { "dropping-particle" : "", "family" : "Shi", "given" : "Rufeng", "non-dropping-particle" : "", "parse-names" : false, "suffix" : "" }, { "dropping-particle" : "", "family" : "Zhang", "given" : "Qiang", "non-dropping-particle" : "", "parse-names" : false, "suffix" : "" }, { "dropping-particle" : "", "family" : "Chen", "given" : "Xiaoping", "non-dropping-particle" : "", "parse-names" : false, "suffix" : "" } ], "container-title" : "Internal and Emergency Medicine", "id" : "ITEM-2", "issue" : "6", "issued" : { "date-parts" : [ [ "2017" ] ] }, "page" : "765-776", "publisher" : "Springer International Publishing", "title" : "Association between health literacy and hypertension management in a Chinese community: a retrospective cohort study", "type" : "article-journal", "volume" : "12" }, "uris" : [ "http://www.mendeley.com/documents/?uuid=0da948f7-8682-4cc0-a694-0dbdeb604fc3" ] }, { "id" : "ITEM-3", "itemData" : { "DOI" : "10.3390/ijerph10031125", "ISBN" : "1403210861", "ISSN" : "16604601", "PMID" : "23507738", "abstract" : "We conducted this study to determine levels and correlates of hypertension knowledge among rural Chinese adults, and to assess the association between knowledge levels and salty food consumption among hypertensive and non-hypertensive populations. This face-to-face cross sectional survey included 665 hypertensive and 854 non-hypertensive respondents in the rural areas of Heilongjiang province, China. Hypertension knowledge was assessed through a 10-item test; respondents received 10 points for each correct answer. Among respondents, the average hypertension knowledge score was 26 out of a maximum of 100 points for hypertensive and 20 for non-hypertensive respondents. Hypertension knowledge was associated with marital status, education, health status, periodically reading books, newspapers or other materials, history of blood pressure measurement, and attending hypertension educational sessions. Hypertension knowledge is extremely low in rural areas of China. Hypertension education programs should focus on marginal populations, such as individuals who are not married or illiterate to enhance their knowledge levels. Focusing on educational and literacy levels in conjunction with health education is important given illiteracy is still a prominent issue for the Chinese rural population.", "author" : [ { "dropping-particle" : "", "family" : "Li", "given" : "Xia", "non-dropping-particle" : "", "parse-names" : false, "suffix" : "" }, { "dropping-particle" : "", "family" : "Ning", "given" : "Ning", "non-dropping-particle" : "", "parse-names" : false, "suffix" : "" }, { "dropping-particle" : "", "family" : "Hao", "given" : "Yanhua", "non-dropping-particle" : "", "parse-names" : false, "suffix" : "" }, { "dropping-particle" : "", "family" : "Sun", "given" : "Hong", "non-dropping-particle" : "", "parse-names" : false, "suffix" : "" }, { "dropping-particle" : "", "family" : "Gao", "given" : "Lijun", "non-dropping-particle" : "", "parse-names" : false, "suffix" : "" }, { "dropping-particle" : "", "family" : "Jiao", "given" : "Mingli", "non-dropping-particle" : "", "parse-names" : false, "suffix" : "" }, { "dropping-particle" : "", "family" : "Wu", "given" : "Qunhong", "non-dropping-particle" : "", "parse-names" : false, "suffix" : "" }, { "dropping-particle" : "", "family" : "Quan", "given" : "Hude", "non-dropping-particle" : "", "parse-names" : false, "suffix" : "" } ], "container-title" : "International journal of environmental research and public health", "id" : "ITEM-3", "issue" : "3", "issued" : { "date-parts" : [ [ "2013" ] ] }, "page" : "1125-1138", "title" : "Health literacy in rural areas of China: hypertension knowledge survey.", "type" : "article-journal", "volume" : "10" }, "uris" : [ "http://www.mendeley.com/documents/?uuid=8ca8c546-a9e2-4637-a10e-731a10b854fc" ] } ], "mendeley" : { "formattedCitation" : "(Li et al., 2013; Shi et al., 2017; Shibuya et al., 2011)", "manualFormatting" : "(Li et al., 2013; Shi et al., 2017)", "plainTextFormattedCitation" : "(Li et al., 2013; Shi et al., 2017; Shibuya et al., 2011)", "previouslyFormattedCitation" : "(Li et al., 2013; Shi et al., 2017; Shibuya et al., 2011)"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 xml:space="preserve">(Li et </w:t>
      </w:r>
      <w:r w:rsidRPr="002F2F11">
        <w:rPr>
          <w:rFonts w:eastAsia="Calibri"/>
          <w:noProof/>
          <w:szCs w:val="24"/>
        </w:rPr>
        <w:lastRenderedPageBreak/>
        <w:t>al., 2013; Shi et al., 2017)</w:t>
      </w:r>
      <w:r w:rsidRPr="002F2F11">
        <w:rPr>
          <w:rFonts w:eastAsia="Calibri"/>
          <w:szCs w:val="24"/>
        </w:rPr>
        <w:fldChar w:fldCharType="end"/>
      </w:r>
      <w:r w:rsidRPr="002F2F11">
        <w:rPr>
          <w:rFonts w:eastAsia="Calibri"/>
          <w:szCs w:val="24"/>
        </w:rPr>
        <w:t xml:space="preserve">, Japonya </w:t>
      </w:r>
      <w:r w:rsidRPr="002F2F11">
        <w:rPr>
          <w:rFonts w:eastAsia="Calibri"/>
          <w:szCs w:val="24"/>
        </w:rPr>
        <w:fldChar w:fldCharType="begin" w:fldLock="1"/>
      </w:r>
      <w:r w:rsidRPr="002F2F11">
        <w:rPr>
          <w:rFonts w:eastAsia="Calibri"/>
          <w:szCs w:val="24"/>
        </w:rPr>
        <w:instrText>ADDIN CSL_CITATION { "citationItems" : [ { "id" : "ITEM-1", "itemData" : { "DOI" : "10.1097/MBP.0b013e32834af7ba", "ISBN" : "1473-5725 (Electronic)\\r1359-5237 (Linking)", "ISSN" : "13595237", "PMID" : "21857504", "abstract" : "BACKGROUND: With the growth in the popularity of the Internet, individuals' skills in finding and applying information about health issues [health literacy (HL)] are affecting their health behaviors. This study aimed to examine functional HL (FHL), critical HL (CHL), and hypertension knowledge (HK) among middle-aged Japanese adults. In addition, to measure health outcomes, we examined the relationship between HL, HK, and blood pressure (BP) level.\\n\\nMETHODS: The study included middle-aged participants who received an annual health check-up at an urban clinic in Japan. FHL, CHL, and HK were assessed using structured questionnaires. In addition, BP was obtained from the electronic medical record.\\n\\nRESULTS: Participants included 139 women and 181 men with a mean age of 54.4 years (standard deviation = 0.69). Individuals with lower reading comprehension scores in FHL were more likely to have a history of hypertension (P = 0.003) and diabetes mellitus (P = 0.02). Individuals with lower CHL had significantly higher rates of current smoking (P = 0.03) and men with lower CHL had a significantly higher waist circumference (P = 0.03). There was a significant relationship between sex and HK (P = 0.03). Systolic BP in women with higher HL and HK was significantly lower than in men with higher FHL (P &lt; 0.001), CHL (P = 0.01), and HK (P = 0.001).\\n\\nCONCLUSION: Lower HL and HK were associated with a poor health status and BP level in middle-aged participants. Further research is needed to examine the role of health management in improving outcomes and to address disparities between individuals with higher and lower HL.", "author" : [ { "dropping-particle" : "", "family" : "Shibuya", "given" : "Akiko", "non-dropping-particle" : "", "parse-names" : false, "suffix" : "" }, { "dropping-particle" : "", "family" : "Inoue", "given" : "Ryusuke", "non-dropping-particle" : "", "parse-names" : false, "suffix" : "" }, { "dropping-particle" : "", "family" : "Ohkubo", "given" : "Takayoshi", "non-dropping-particle" : "", "parse-names" : false, "suffix" : "" }, { "dropping-particle" : "", "family" : "Takeda", "given" : "Yumiko", "non-dropping-particle" : "", "parse-names" : false, "suffix" : "" }, { "dropping-particle" : "", "family" : "Teshima", "given" : "Takeo", "non-dropping-particle" : "", "parse-names" : false, "suffix" : "" }, { "dropping-particle" : "", "family" : "Imai", "given" : "Yutaka", "non-dropping-particle" : "", "parse-names" : false, "suffix" : "" }, { "dropping-particle" : "", "family" : "Kondo", "given" : "Yoshiaki", "non-dropping-particle" : "", "parse-names" : false, "suffix" : "" } ], "container-title" : "Blood Pressure Monitoring", "id" : "ITEM-1", "issue" : "5", "issued" : { "date-parts" : [ [ "2011" ] ] }, "page" : "224-230", "title" : "The relation between health literacy, hypertension knowledge, and blood pressure among middle-aged Japanese adults", "type" : "article-journal", "volume" : "16" }, "uris" : [ "http://www.mendeley.com/documents/?uuid=cfa1e57f-5b81-480a-8cb3-73aa6acb996e" ] } ], "mendeley" : { "formattedCitation" : "(Shibuya et al., 2011)", "plainTextFormattedCitation" : "(Shibuya et al., 2011)", "previouslyFormattedCitation" : "(Shibuya et al., 2011)"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(Shibuya et al., 2011)</w:t>
      </w:r>
      <w:r w:rsidRPr="002F2F11">
        <w:rPr>
          <w:rFonts w:eastAsia="Calibri"/>
          <w:szCs w:val="24"/>
        </w:rPr>
        <w:fldChar w:fldCharType="end"/>
      </w:r>
      <w:r w:rsidRPr="002F2F11">
        <w:rPr>
          <w:rFonts w:eastAsia="Calibri"/>
          <w:szCs w:val="24"/>
        </w:rPr>
        <w:t xml:space="preserve">, Singapur </w:t>
      </w:r>
      <w:r w:rsidRPr="002F2F11">
        <w:rPr>
          <w:rFonts w:eastAsia="Calibri"/>
          <w:szCs w:val="24"/>
        </w:rPr>
        <w:fldChar w:fldCharType="begin" w:fldLock="1"/>
      </w:r>
      <w:r w:rsidRPr="002F2F11">
        <w:rPr>
          <w:rFonts w:eastAsia="Calibri"/>
          <w:szCs w:val="24"/>
        </w:rPr>
        <w:instrText>ADDIN CSL_CITATION { "citationItems" : [ { "id" : "ITEM-1", "itemData" : { "DOI" : "10.1016/j.ijcard.2013.08.041", "ISBN" : "1874-1754 (Electronic)\\r0167-5273 (Linking)", "ISSN" : "01675273", "PMID" : "23992931", "abstract" : "Individuals with adequate health literacy (HL) can understand their healthcare providers' explanations of health conditions and treatment options while those with low HL have been associated with adverse outcomes such as lack of disease knowledge, poor health status, and greater risk for hospitalization. Despite its importance in public health and healthcare, HL has not been sufficiently researched in patients with a specific disease, such as hypertension. The causes of poor management of hypertension are multi-faceted, and one of the factors is patients' lack of knowledge regarding hyperten-sion [1]. Patients with hypertension need to have adequate knowledge of their disease to manage their condition. They need to understand how to properly take prescribed medications and modify their lifestyle in order to achieve the target blood pressure (BP). The lack of understanding on hypertension can lead to poor adherence to medication regimens and, consequently, poor BP control [2]. This study aimed to identify the deficits and factors associated with hypertension knowledge and also to evaluate the association between HL and the knowledge and control of hypertension. A cross-sectional, interviewer-administered survey was performed at a government-funded primary care clinic. Before the survey was administered, the respondents' BP was measured in a sitting position. The survey consisted of a demographic questionnaire, a hypertension knowledge test, and a validated HL instrument, the Short Test of Functional Health Literacy in Adults, Singapore version (STOFHLA Singapore) [3]. The hypertension knowledge test was developed by adapting questions from previous studies [4\u20136]. For analysis purpose, patients were categorized into adequate and inadequate HL groups using a cut-off of 75% correct responses [3]. In addition, patients were categorized into two BP control groups: \" met the target BP \" (i.e., b140/90 mm Hg for hypertensive patients and b130/80 mm Hg for hypertensive patients with diabetes and chronic kidney disease) and \" did not meet the target BP \" . Independent t-test was used to examine the differences in hyperten-sion knowledge scores between the two HL groups and between the two BP control groups. Chi-squared test was performed to examine the association between HL and BP control. The factors that were significantly associated with the total knowledge scores in bivariate analysis were further analyzed using multiple linear regression analysis. All analy\u2026", "author" : [ { "dropping-particle" : "", "family" : "Ko", "given" : "Yu", "non-dropping-particle" : "", "parse-names" : false, "suffix" : "" }, { "dropping-particle" : "", "family" : "Balasubramanian", "given" : "Thurga Devi", "non-dropping-particle" : "", "parse-names" : false, "suffix" : "" }, { "dropping-particle" : "", "family" : "Wong", "given" : "Lilian", "non-dropping-particle" : "", "parse-names" : false, "suffix" : "" }, { "dropping-particle" : "", "family" : "Tan", "given" : "Mui Ling", "non-dropping-particle" : "", "parse-names" : false, "suffix" : "" }, { "dropping-particle" : "", "family" : "Lee", "given" : "Evonne", "non-dropping-particle" : "", "parse-names" : false, "suffix" : "" }, { "dropping-particle" : "", "family" : "Tang", "given" : "Wern Ee", "non-dropping-particle" : "", "parse-names" : false, "suffix" : "" }, { "dropping-particle" : "", "family" : "Chan", "given" : "Soo Chung", "non-dropping-particle" : "", "parse-names" : false, "suffix" : "" }, { "dropping-particle" : "", "family" : "Tan", "given" : "Audrey S.L.", "non-dropping-particle" : "", "parse-names" : false, "suffix" : "" }, { "dropping-particle" : "", "family" : "Toh", "given" : "Matthias Paul Han Sim", "non-dropping-particle" : "", "parse-names" : false, "suffix" : "" } ], "container-title" : "International Journal of Cardiology", "id" : "ITEM-1", "issue" : "4", "issued" : { "date-parts" : [ [ "2013" ] ] }, "page" : "167-168", "title" : "Health literacy and its association with disease knowledge and control in patients with hypertension in Singapore", "type" : "article-journal", "volume" : "168" }, "uris" : [ "http://www.mendeley.com/documents/?uuid=1164b423-6ba6-468b-8b22-ac74fd36a828" ] } ], "mendeley" : { "formattedCitation" : "(Ko et al., 2013)", "plainTextFormattedCitation" : "(Ko et al., 2013)", "previouslyFormattedCitation" : "(Ko et al., 2013)"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(Ko et al., 2013)</w:t>
      </w:r>
      <w:r w:rsidRPr="002F2F11">
        <w:rPr>
          <w:rFonts w:eastAsia="Calibri"/>
          <w:szCs w:val="24"/>
        </w:rPr>
        <w:fldChar w:fldCharType="end"/>
      </w:r>
      <w:r w:rsidRPr="002F2F11">
        <w:rPr>
          <w:rFonts w:eastAsia="Calibri"/>
          <w:szCs w:val="24"/>
        </w:rPr>
        <w:t xml:space="preserve">] ülkeleri ile Amerika’da </w:t>
      </w:r>
      <w:r w:rsidRPr="002F2F11">
        <w:rPr>
          <w:rFonts w:eastAsia="Calibri"/>
          <w:szCs w:val="24"/>
        </w:rPr>
        <w:fldChar w:fldCharType="begin" w:fldLock="1"/>
      </w:r>
      <w:r w:rsidRPr="002F2F11">
        <w:rPr>
          <w:rFonts w:eastAsia="Calibri"/>
          <w:szCs w:val="24"/>
        </w:rPr>
        <w:instrText>ADDIN CSL_CITATION { "citationItems" : [ { "id" : "ITEM-1", "itemData" : { "DOI" : "10.1007/s11606-008-0612-2", "ISBN" : "1525-1497 (Electronic)\\r0884-8734 (Linking)", "ISSN" : "08848734", "PMID" : "18459011", "abstract" : "BACKGROUND: Approximately half of the US population has marginal or inadequate health literacy, a measure highly associated with health outcomes. This measure is often linked to age and education, but recent evidence from patients with chronic heart failure suggests that much of age-related variability in health literacy can be explained by cognitive abilities (e.g., working memory, processing speed).\\n\\nOBJECTIVE: We examined the role of cognitive and sensory abilities as mediators of age and education in determining functional health literacy among patients with hypertension.\\n\\nPARTICIPANTS: Four hundred ninety two community-dwelling adults diagnosed with hypertension (aged 21 to 92 years) participated. They were primarily female (73%), African-American (68%), and reported taking on average 7.8 prescribed medications.\\n\\nMEASUREMENTS: Before participation in a medication adherence intervention study, participants completed a battery of health literacy-related tasks. They completed tests that measured health literacy [Short Test of Functional Health Literacy in Adults (STOFHLA)], cognitive abilities (working memory, processing speed), sensory abilities (visual acuity and hearing), and physical health.\\n\\nRESULTS: Regression analyses showed that health literacy was related to age, education, and race (accounting for 24.4% of variance in STOFHLA scores). Cognitive ability accounted for an additional 24% of variance and greatly reduced the influence of age, education, and race (by 75%, 40%, and 48%, respectively).\\n\\nCONCLUSIONS: When controlling for cognitive and sensory variables, the association of age and education with STOFHLA scores was dramatically reduced. Thus, future interventions aimed at improving self-care for patients with low health literacy should aim to reduce demands on patients' cognitive abilities.", "author" : [ { "dropping-particle" : "", "family" : "Levinthal", "given" : "Brian R.", "non-dropping-particle" : "", "parse-names" : false, "suffix" : "" }, { "dropping-particle" : "", "family" : "Morrow", "given" : "Daniel G.", "non-dropping-particle" : "", "parse-names" : false, "suffix" : "" }, { "dropping-particle" : "", "family" : "Tu", "given" : "Wanzhu", "non-dropping-particle" : "", "parse-names" : false, "suffix" : "" }, { "dropping-particle" : "", "family" : "Wu", "given" : "Jingwei", "non-dropping-particle" : "", "parse-names" : false, "suffix" : "" }, { "dropping-particle" : "", "family" : "Murray", "given" : "Michael D.", "non-dropping-particle" : "", "parse-names" : false, "suffix" : "" } ], "container-title" : "Journal of General Internal Medicine", "id" : "ITEM-1", "issue" : "8", "issued" : { "date-parts" : [ [ "2008" ] ] }, "page" : "1172-1176", "title" : "Cognition and health literacy in patients with hypertension", "type" : "article-journal", "volume" : "23" }, "uris" : [ "http://www.mendeley.com/documents/?uuid=ade94de5-c068-4024-a7fb-a8e8ede8b1a9" ] }, { "id" : "ITEM-2", "itemData" : { "PMID" : "97077496", "abstract" : "This study examines the association between health literacy and adherence to low-salt diet practices among individuals with hypertension. Health literacy is the ability of individuals to understand and utilize health information. We surveyed 238 patients with hypertension from a primary care clinic in Charlotte, NC. We assessed health literacy and self-reported low-salt diet. Logistic regression was used to model the relationship between health literacy and low-salt diet adherence. Respondents were primarily female (67.3{%}) and black (80{%}). Black Americans were less likely to have adequate health literacy as compared to white Americans (21.8{%} vs. 55.8{%}). The study found no association between adequate health literacy and adherence to a low-salt diet (OR = 1.06, 95{%} CI: 0.36-3.10) after adjusting for confounders. This study addresses the conflicting findings for health literacy in two related areas: chronic illness self-care, and nutrition/diet skills. Additional research is warranted among black Americans given their increased risk of hypertension, low rates of diet adherence and previous findings of positive associations between health literacy and nutrition skills. [ABSTRACT FROM AUTHOR] Copyright of Journal of Health Disparities Research {&amp;} Practice is the property of Michelle Chino, Ph.D.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"Hutchison", "given" : "Jenny", "non-dropping-particle" : "", "parse-names" : false, "suffix" : "" }, { "dropping-particle" : "", "family" : "Warren-Findlow", "given" : "Jan", "non-dropping-particle" : "", "parse-names" : false, "suffix" : "" }, { "dropping-particle" : "", "family" : "Dulin", "given" : "Michael", "non-dropping-particle" : "", "parse-names" : false, "suffix" : "" }, { "dropping-particle" : "", "family" : "Tapp", "given" : "Hazel", "non-dropping-particle" : "", "parse-names" : false, "suffix" : "" }, { "dropping-particle" : "", "family" : "Kuhn", "given" : "Lindsay", "non-dropping-particle" : "", "parse-names" : false, "suffix" : "" } ], "container-title" : "Journal of Health Disparities Research {&amp;} Practice", "id" : "ITEM-2", "issue" : "2", "issued" : { "date-parts" : [ [ "2014" ] ] }, "page" : "109-126", "title" : "The Association Between Health Literacy and Diet Adherence Among Primary Care Patients with Hypertension", "type" : "article-journal", "volume" : "7" }, "uris" : [ "http://www.mendeley.com/documents/?uuid=208a3b61-8078-49b9-b588-401a2aa3cdcc" ] }, { "id" : "ITEM-3", "itemData" : { "author" : [ { "dropping-particle" : "", "family" : "Warren-Findlow", "given" : "J", "non-dropping-particle" : "", "parse-names" : false, "suffix" : "" }, { "dropping-particle" : "", "family" : "Hutchison", "given" : "J", "non-dropping-particle" : "", "parse-names" : false, "suffix" : "" }, { "dropping-particle" : "", "family" : "Patel", "given" : "P", "non-dropping-particle" : "", "parse-names" : false, "suffix" : "" }, { "dropping-particle" : "", "family" : "Dulin", "given" : "M", "non-dropping-particle" : "", "parse-names" : false, "suffix" : "" }, { "dropping-particle" : "", "family" : "Tapp", "given" : "H", "non-dropping-particle" : "", "parse-names" : false, "suffix" : "" }, { "dropping-particle" : "", "family" : "Kuhn", "given" : "L", "non-dropping-particle" : "", "parse-names" : false, "suffix" : "" } ], "container-title" : "J Health Care Poor Underserved", "id" : "ITEM-3", "issue" : "4", "issued" : { "date-parts" : [ [ "2014" ] ] }, "page" : "1833-1843", "title" : "Assessing health literacy of hypertensive patients in a primary care setting using a self-administered questionnaire", "type" : "article-journal", "volume" : "25" }, "uris" : [ "http://www.mendeley.com/documents/?uuid=d313dcf0-9ff3-43be-bd99-4f58e1ce4ed2" ] } ], "mendeley" : { "formattedCitation" : "(Hutchison, Warren-Findlow, Dulin, Tapp, &amp; Kuhn, 2014; Levinthal, Morrow, Tu, Wu, &amp; Murray, 2008; Warren-Findlow et al., 2014)", "manualFormatting" : "(Hutchison, Warren-Findlow, Dulin, Tapp, &amp; Kuhn, 2014; Warren-Findlow et al., 2014; Levinthal, Morrow, Tu, Wu, &amp; Murray, 2008)", "plainTextFormattedCitation" : "(Hutchison, Warren-Findlow, Dulin, Tapp, &amp; Kuhn, 2014; Levinthal, Morrow, Tu, Wu, &amp; Murray, 2008; Warren-Findlow et al., 2014)", "previouslyFormattedCitation" : "(Hutchison, Warren-Findlow, Dulin, Tapp, &amp; Kuhn, 2014; Levinthal, Morrow, Tu, Wu, &amp; Murray, 2008; Warren-Findlow et al., 2014)"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(Hutchison, Warren-Findlow, Dulin, Tapp, &amp; Kuhn, 2014; Warren-Findlow et al., 2014; Levinthal, Morrow, Tu, Wu, &amp; Murray, 2008)</w:t>
      </w:r>
      <w:r w:rsidRPr="002F2F11">
        <w:rPr>
          <w:rFonts w:eastAsia="Calibri"/>
          <w:szCs w:val="24"/>
        </w:rPr>
        <w:fldChar w:fldCharType="end"/>
      </w:r>
      <w:r>
        <w:rPr>
          <w:rFonts w:eastAsia="Calibri"/>
          <w:szCs w:val="24"/>
        </w:rPr>
        <w:t xml:space="preserve"> gerçekleştirilen</w:t>
      </w:r>
      <w:r w:rsidRPr="002F2F11">
        <w:rPr>
          <w:rFonts w:eastAsia="Calibri"/>
          <w:szCs w:val="24"/>
        </w:rPr>
        <w:t xml:space="preserve"> </w:t>
      </w:r>
      <w:r w:rsidRPr="002F2F11">
        <w:rPr>
          <w:rFonts w:eastAsia="Calibri"/>
          <w:szCs w:val="24"/>
          <w:lang w:val="en-US"/>
        </w:rPr>
        <w:t>t</w:t>
      </w:r>
      <w:r w:rsidRPr="002F2F11">
        <w:rPr>
          <w:rFonts w:eastAsia="Calibri"/>
          <w:szCs w:val="24"/>
        </w:rPr>
        <w:t xml:space="preserve">anımlayıcı, kesitsel, retrospektif kohort türde araştırmalar olduğu tespit edilmiştir. </w:t>
      </w:r>
    </w:p>
    <w:p w:rsidR="000D48B3" w:rsidRPr="002F2F11" w:rsidRDefault="000D48B3" w:rsidP="000D48B3">
      <w:pPr>
        <w:spacing w:before="120" w:after="120"/>
        <w:jc w:val="both"/>
        <w:rPr>
          <w:rFonts w:eastAsia="Calibri"/>
          <w:szCs w:val="24"/>
        </w:rPr>
      </w:pPr>
      <w:r>
        <w:rPr>
          <w:rFonts w:eastAsia="Calibri"/>
          <w:szCs w:val="24"/>
        </w:rPr>
        <w:tab/>
      </w:r>
      <w:r w:rsidRPr="002F2F11">
        <w:rPr>
          <w:rFonts w:eastAsia="Calibri"/>
          <w:szCs w:val="24"/>
        </w:rPr>
        <w:t xml:space="preserve">Sağlık okuryazarlığı, hastalık yönetiminin önemli bir parçasıdır </w:t>
      </w:r>
      <w:r w:rsidRPr="002F2F11">
        <w:rPr>
          <w:rFonts w:eastAsia="Calibri"/>
          <w:szCs w:val="24"/>
        </w:rPr>
        <w:fldChar w:fldCharType="begin" w:fldLock="1"/>
      </w:r>
      <w:r w:rsidRPr="002F2F11">
        <w:rPr>
          <w:rFonts w:eastAsia="Calibri"/>
          <w:szCs w:val="24"/>
        </w:rPr>
        <w:instrText>ADDIN CSL_CITATION { "citationItems" : [ { "id" : "ITEM-1", "itemData" : { "DOI" : "10.3934/publichealth.2017.4.314", "ISBN" : "2327-8994 (Print)\r2327-8994 (Linking)", "ISSN" : "2327-8994", "PMID" : "29546220", "abstract" : "Objective: Health literacy plays a critical role in chronic disease self-management. This study aimed to determine the relation between health literacy levels, hypertension awareness and control among primary-secondary school teachers in Turkey. Materials and Methods: This descriptive and cross-sectional research was conducted among school teachers with the participation of 500 volunteer teachers of both genders. The response rate was 86.2%. To determine health literacy levels, the Newest Vital Sign Scale and Blood Pressure Concept Test were used. Results: The mean scores of all individuals were 2.12 +/- 1.82 over six points although this showed \"limited\" levels of health literacy. The mean scores obtained from the scale were 2.13 +/- 1.83 in non-hypertensives, while it was 2.06 +/- 1.77 in hypertensives. Nonetheless, disease knowledge and awareness were low in teachers. Adequate health literacy levels were low according to disease awareness and control. The measured health literacy levels of teachers didn't overlap with their own assessments about health literacy skills. Recommendations: Limited health literacy levels in educators gave an impression that our education system was poor in terms of health education programs.", "author" : [ { "dropping-particle" : "", "family" : "Yilmazel", "given" : "G\u00fclay", "non-dropping-particle" : "", "parse-names" : false, "suffix" : "" }, { "dropping-particle" : "", "family" : "\u00c7etinkaya", "given" : "Fevziye", "non-dropping-particle" : "", "parse-names" : false, "suffix" : "" } ], "container-title" : "AIMS Public Health", "id" : "ITEM-1", "issue" : "4", "issued" : { "date-parts" : [ [ "2017" ] ] }, "page" : "314-325", "title" : "Relation between Health Literacy Levels, Hypertension Awareness and Control among Primary-secondary School Teachers in Turkey", "type" : "article-journal", "volume" : "4" }, "uris" : [ "http://www.mendeley.com/documents/?uuid=1cbf097a-aa84-4790-b0a4-03d1354b95f8" ] } ], "mendeley" : { "formattedCitation" : "(Yilmazel &amp; \u00c7etinkaya, 2017)", "plainTextFormattedCitation" : "(Yilmazel &amp; \u00c7etinkaya, 2017)", "previouslyFormattedCitation" : "(Yilmazel &amp; \u00c7etinkaya, 2017)"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(Yilmazel &amp; Çetinkaya, 2017)</w:t>
      </w:r>
      <w:r w:rsidRPr="002F2F11">
        <w:rPr>
          <w:rFonts w:eastAsia="Calibri"/>
          <w:szCs w:val="24"/>
        </w:rPr>
        <w:fldChar w:fldCharType="end"/>
      </w:r>
      <w:r w:rsidRPr="002F2F11">
        <w:rPr>
          <w:rFonts w:eastAsia="Calibri"/>
          <w:szCs w:val="24"/>
        </w:rPr>
        <w:t xml:space="preserve">. Hipertansiyonu olan bireylerin büyük çoğunluğunun sağlık okuryazarlığı yetersizdir </w:t>
      </w:r>
      <w:r w:rsidRPr="002F2F11">
        <w:rPr>
          <w:rFonts w:eastAsia="Calibri"/>
          <w:szCs w:val="24"/>
        </w:rPr>
        <w:fldChar w:fldCharType="begin" w:fldLock="1"/>
      </w:r>
      <w:r w:rsidRPr="002F2F11">
        <w:rPr>
          <w:rFonts w:eastAsia="Calibri"/>
          <w:szCs w:val="24"/>
        </w:rPr>
        <w:instrText>ADDIN CSL_CITATION { "citationItems" : [ { "id" : "ITEM-1", "itemData" : { "author" : [ { "dropping-particle" : "", "family" : "Chajaee", "given" : "F", "non-dropping-particle" : "", "parse-names" : false, "suffix" : "" }, { "dropping-particle" : "", "family" : "Pirzadeh", "given" : "A", "non-dropping-particle" : "", "parse-names" : false, "suffix" : "" }, { "dropping-particle" : "", "family" : "Hasanzadeh", "given" : "A", "non-dropping-particle" : "", "parse-names" : false, "suffix" : "" }, { "dropping-particle" : "", "family" : "Mostafavi", "given" : "F", "non-dropping-particle" : "", "parse-names" : false, "suffix" : "" } ], "container-title" : "Electronic Physician", "id" : "ITEM-1", "issue" : "3", "issued" : { "date-parts" : [ [ "2018" ] ] }, "page" : "6470- 6477", "title" : "Relationship between health literacy and knowledge among patients with hypertension in Isfahan province, Iran", "type" : "article-journal", "volume" : "10" }, "uris" : [ "http://www.mendeley.com/documents/?uuid=c456c00f-82d3-4b0e-a24d-b21dcd7fe718" ] }, { "id" : "ITEM-2", "itemData" : { "DOI" : "10.19082/5712", "ISBN" : "2425262830", "ISSN" : "2008-5842", "PMID" : "29403610", "abstract" : "Background and Objective Hypertension is considered an important public health problem in developed and developing countries. This disease is closely associated with the quality of life of patients, and it seems that health literacy plays a role in this regard. Due to lack of information on the role of health literacy on the quality of life in patients with hypertension, this study has aimed to determine the correlation between health literacy and health-related quality of life in patients with hypertension. Methods This study is cross-sectional. The sample consisted of 400 patients with hypertension who were enrolled if available. To collect data, a demographic questionnaire (SF-36), Short Form Health Survey, and Health Literacy for Iranian Adults (HELIA) Inventory were used. Data were analyzed using SPSS software version 21 for descriptive and inferential statistics (e.g., mean, standard deviation, t-test, and Pearson correlation coefficient). Results The mean and standard deviation scores of health literacy and health-related quality of life were, respectively, 68.66 (\u00b113.56) and 52.94 (\u00b115.20). There was positive and significant correlation between health literacy and health-related quality of life (p&lt;0.01, r=0.30). Conclusion According to research findings, there was a significant positive correlation between health literacy and health-related quality of life. Given the importance of health literacy in the quality of life in patients with hypertension, it seems essential that nursing officials and policymakers take steps to promote patients' health and quality of life by using training programs appropriate for the patients' health literacy level.", "author" : [ { "dropping-particle" : "", "family" : "Naimi", "given" : "Ahmad Johari", "non-dropping-particle" : "", "parse-names" : false, "suffix" : "" }, { "dropping-particle" : "", "family" : "Naderiravesh", "given" : "Nadereh", "non-dropping-particle" : "", "parse-names" : false, "suffix" : "" }, { "dropping-particle" : "", "family" : "Bayat", "given" : "Zahra Safavi", "non-dropping-particle" : "", "parse-names" : false, "suffix" : "" }, { "dropping-particle" : "", "family" : "Shakeri", "given" : "Nezhat", "non-dropping-particle" : "", "parse-names" : false, "suffix" : "" }, { "dropping-particle" : "", "family" : "Matbouei", "given" : "Mahsa", "non-dropping-particle" : "", "parse-names" : false, "suffix" : "" } ], "container-title" : "Electronic physician", "id" : "ITEM-2", "issue" : "11", "issued" : { "date-parts" : [ [ "2017" ] ] }, "page" : "5712-5720", "title" : "Correlation between health literacy and health-related quality of life in patients with hypertension, in Tehran, Iran, 2015-2016.", "type" : "article-journal", "volume" : "9" }, "uris" : [ "http://www.mendeley.com/documents/?uuid=1df560b2-7b40-493b-8350-3b8220f51e47" ] }, { "id" : "ITEM-3", "itemData" : { "DOI" : "10.3934/publichealth.2017.4.314", "ISBN" : "2327-8994 (Print)\r2327-8994 (Linking)", "ISSN" : "2327-8994", "PMID" : "29546220", "abstract" : "Objective: Health literacy plays a critical role in chronic disease self-management. This study aimed to determine the relation between health literacy levels, hypertension awareness and control among primary-secondary school teachers in Turkey. Materials and Methods: This descriptive and cross-sectional research was conducted among school teachers with the participation of 500 volunteer teachers of both genders. The response rate was 86.2%. To determine health literacy levels, the Newest Vital Sign Scale and Blood Pressure Concept Test were used. Results: The mean scores of all individuals were 2.12 +/- 1.82 over six points although this showed \"limited\" levels of health literacy. The mean scores obtained from the scale were 2.13 +/- 1.83 in non-hypertensives, while it was 2.06 +/- 1.77 in hypertensives. Nonetheless, disease knowledge and awareness were low in teachers. Adequate health literacy levels were low according to disease awareness and control. The measured health literacy levels of teachers didn't overlap with their own assessments about health literacy skills. Recommendations: Limited health literacy levels in educators gave an impression that our education system was poor in terms of health education programs.", "author" : [ { "dropping-particle" : "", "family" : "Yilmazel", "given" : "G\u00fclay", "non-dropping-particle" : "", "parse-names" : false, "suffix" : "" }, { "dropping-particle" : "", "family" : "\u00c7etinkaya", "given" : "Fevziye", "non-dropping-particle" : "", "parse-names" : false, "suffix" : "" } ], "container-title" : "AIMS Public Health", "id" : "ITEM-3", "issue" : "4", "issued" : { "date-parts" : [ [ "2017" ] ] }, "page" : "314-325", "title" : "Relation between Health Literacy Levels, Hypertension Awareness and Control among Primary-secondary School Teachers in Turkey", "type" : "article-journal", "volume" : "4" }, "uris" : [ "http://www.mendeley.com/documents/?uuid=1cbf097a-aa84-4790-b0a4-03d1354b95f8" ] }, { "id" : "ITEM-4", "itemData" : { "DOI" : "10.1007/s11739-017-1651-7", "ISSN" : "19709366", "PMID" : "28303441", "abstract" : "Low health literacy is associated with poor clinical outcomes. The relationship between literacy and blood pressure (BP) has been inconsistent. We investigated the determinants of health literacy and the potential relationship between health literacy and hypertension management. We conducted a retrospective cohort trial of 360 hypertensive patients. Scale measurements, physical examination, and laboratory tests were performed based on a standard protocol. To determine factors associated with health literacy, multiple logistic regression analysis was performed and the discriminatory power of the scale score for hypertension control was assessed by the area under the receiver operating curve. After adjusting for potential confounders, our findings show that the level of education, home blood pressure measurement, regular medication, and systolic blood pressure are significantly associated with health literacy. Moreover, patients with high health literacy have better hypertension control, a lower risk of ischemic cardiovascular disease (ICVD), lower brachial ankle pulse wave velocity values, and better health-related quality of life. In addition, our study also demonstrates that we can identify the health literacy level of hypertensive patients using the Chinese Health Literacy Scale for Hypertension. At a cut-off value of 13.5, we predict that patients will achieve long-term hypertension control. Adequate health literacy is a contributing factor to better blood pressure (BP) control and better perceived quality of life in hypertensive patients. Low health literacy increases the 10-year risk of ICVD and incidence of artery stiffness in hypertensive patients. Improving health literacy should be considered an important part of the management of hypertension.", "author" : [ { "dropping-particle" : "", "family" : "Shi", "given" : "Di", "non-dropping-particle" : "", "parse-names" : false, "suffix" : "" }, { "dropping-particle" : "", "family" : "Li", "given" : "Jiangbo", "non-dropping-particle" : "", "parse-names" : false, "suffix" : "" }, { "dropping-particle" : "", "family" : "Wang", "given" : "Yong", "non-dropping-particle" : "", "parse-names" : false, "suffix" : "" }, { "dropping-particle" : "", "family" : "Wang", "given" : "Si", "non-dropping-particle" : "", "parse-names" : false, "suffix" : "" }, { "dropping-particle" : "", "family" : "Liu", "given" : "Kai", "non-dropping-particle" : "", "parse-names" : false, "suffix" : "" }, { "dropping-particle" : "", "family" : "Shi", "given" : "Rufeng", "non-dropping-particle" : "", "parse-names" : false, "suffix" : "" }, { "dropping-particle" : "", "family" : "Zhang", "given" : "Qiang", "non-dropping-particle" : "", "parse-names" : false, "suffix" : "" }, { "dropping-particle" : "", "family" : "Chen", "given" : "Xiaoping", "non-dropping-particle" : "", "parse-names" : false, "suffix" : "" } ], "container-title" : "Internal and Emergency Medicine", "id" : "ITEM-4", "issue" : "6", "issued" : { "date-parts" : [ [ "2017" ] ] }, "page" : "765-776", "publisher" : "Springer International Publishing", "title" : "Association between health literacy and hypertension management in a Chinese community: a retrospective cohort study", "type" : "article-journal", "volume" : "12" }, "uris" : [ "http://www.mendeley.com/documents/?uuid=0da948f7-8682-4cc0-a694-0dbdeb604fc3" ] }, { "id" : "ITEM-5", "itemData" : { "DOI" : "10.3390/ijerph10031125", "ISBN" : "1403210861", "ISSN" : "16604601", "PMID" : "23507738", "abstract" : "We conducted this study to determine levels and correlates of hypertension knowledge among rural Chinese adults, and to assess the association between knowledge levels and salty food consumption among hypertensive and non-hypertensive populations. This face-to-face cross sectional survey included 665 hypertensive and 854 non-hypertensive respondents in the rural areas of Heilongjiang province, China. Hypertension knowledge was assessed through a 10-item test; respondents received 10 points for each correct answer. Among respondents, the average hypertension knowledge score was 26 out of a maximum of 100 points for hypertensive and 20 for non-hypertensive respondents. Hypertension knowledge was associated with marital status, education, health status, periodically reading books, newspapers or other materials, history of blood pressure measurement, and attending hypertension educational sessions. Hypertension knowledge is extremely low in rural areas of China. Hypertension education programs should focus on marginal populations, such as individuals who are not married or illiterate to enhance their knowledge levels. Focusing on educational and literacy levels in conjunction with health education is important given illiteracy is still a prominent issue for the Chinese rural population.", "author" : [ { "dropping-particle" : "", "family" : "Li", "given" : "Xia", "non-dropping-particle" : "", "parse-names" : false, "suffix" : "" }, { "dropping-particle" : "", "family" : "Ning", "given" : "Ning", "non-dropping-particle" : "", "parse-names" : false, "suffix" : "" }, { "dropping-particle" : "", "family" : "Hao", "given" : "Yanhua", "non-dropping-particle" : "", "parse-names" : false, "suffix" : "" }, { "dropping-particle" : "", "family" : "Sun", "given" : "Hong", "non-dropping-particle" : "", "parse-names" : false, "suffix" : "" }, { "dropping-particle" : "", "family" : "Gao", "given" : "Lijun", "non-dropping-particle" : "", "parse-names" : false, "suffix" : "" }, { "dropping-particle" : "", "family" : "Jiao", "given" : "Mingli", "non-dropping-particle" : "", "parse-names" : false, "suffix" : "" }, { "dropping-particle" : "", "family" : "Wu", "given" : "Qunhong", "non-dropping-particle" : "", "parse-names" : false, "suffix" : "" }, { "dropping-particle" : "", "family" : "Quan", "given" : "Hude", "non-dropping-particle" : "", "parse-names" : false, "suffix" : "" } ], "container-title" : "International journal of environmental research and public health", "id" : "ITEM-5", "issue" : "3", "issued" : { "date-parts" : [ [ "2013" ] ] }, "page" : "1125-1138", "title" : "Health literacy in rural areas of China: hypertension knowledge survey.", "type" : "article-journal", "volume" : "10" }, "uris" : [ "http://www.mendeley.com/documents/?uuid=8ca8c546-a9e2-4637-a10e-731a10b854fc" ] } ], "mendeley" : { "formattedCitation" : "(Chajaee et al., 2018; Li et al., 2013; Naimi et al., 2017; Shi et al., 2017; Yilmazel &amp; \u00c7etinkaya, 2017)", "plainTextFormattedCitation" : "(Chajaee et al., 2018; Li et al., 2013; Naimi et al., 2017; Shi et al., 2017; Yilmazel &amp; \u00c7etinkaya, 2017)", "previouslyFormattedCitation" : "(Chajaee et al., 2018; Li et al., 2013; Naimi et al., 2017; Shi et al., 2017; Yilmazel &amp; \u00c7etinkaya, 2017)"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(Chajaee et al., 2018; Li et al., 2013; Naimi et al., 2017; Shi et al., 2017; Yilmazel &amp; Çetinkaya, 2017)</w:t>
      </w:r>
      <w:r w:rsidRPr="002F2F11">
        <w:rPr>
          <w:rFonts w:eastAsia="Calibri"/>
          <w:szCs w:val="24"/>
        </w:rPr>
        <w:fldChar w:fldCharType="end"/>
      </w:r>
      <w:r w:rsidRPr="002F2F11">
        <w:rPr>
          <w:rFonts w:eastAsia="Calibri"/>
          <w:szCs w:val="24"/>
        </w:rPr>
        <w:t>. Ülkelere göre hipertansiyonu olan bireyler arasında yeterli seviyede sağlık okuryazarlık düzeyine sahip olma düzeyleri %24.5- %85.5 arasında değişmektedir</w:t>
      </w:r>
      <w:r>
        <w:rPr>
          <w:rFonts w:eastAsia="Calibri"/>
          <w:szCs w:val="24"/>
        </w:rPr>
        <w:t xml:space="preserve"> </w:t>
      </w:r>
      <w:r w:rsidRPr="002F2F11">
        <w:rPr>
          <w:rFonts w:eastAsia="Calibri"/>
          <w:szCs w:val="24"/>
        </w:rPr>
        <w:fldChar w:fldCharType="begin" w:fldLock="1"/>
      </w:r>
      <w:r w:rsidRPr="002F2F11">
        <w:rPr>
          <w:rFonts w:eastAsia="Calibri"/>
          <w:szCs w:val="24"/>
        </w:rPr>
        <w:instrText>ADDIN CSL_CITATION { "citationItems" : [ { "id" : "ITEM-1", "itemData" : { "author" : [ { "dropping-particle" : "", "family" : "Chajaee", "given" : "F", "non-dropping-particle" : "", "parse-names" : false, "suffix" : "" }, { "dropping-particle" : "", "family" : "Pirzadeh", "given" : "A", "non-dropping-particle" : "", "parse-names" : false, "suffix" : "" }, { "dropping-particle" : "", "family" : "Hasanzadeh", "given" : "A", "non-dropping-particle" : "", "parse-names" : false, "suffix" : "" }, { "dropping-particle" : "", "family" : "Mostafavi", "given" : "F", "non-dropping-particle" : "", "parse-names" : false, "suffix" : "" } ], "container-title" : "Electronic Physician", "id" : "ITEM-1", "issue" : "3", "issued" : { "date-parts" : [ [ "2018" ] ] }, "page" : "6470- 6477", "title" : "Relationship between health literacy and knowledge among patients with hypertension in Isfahan province, Iran", "type" : "article-journal", "volume" : "10" }, "uris" : [ "http://www.mendeley.com/documents/?uuid=c456c00f-82d3-4b0e-a24d-b21dcd7fe718" ] } ], "mendeley" : { "formattedCitation" : "(Chajaee et al., 2018)", "plainTextFormattedCitation" : "(Chajaee et al., 2018)", "previouslyFormattedCitation" : "(Chajaee et al., 2018)"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(Chajaee et al., 2018</w:t>
      </w:r>
      <w:r>
        <w:rPr>
          <w:rFonts w:eastAsia="Calibri"/>
          <w:noProof/>
          <w:szCs w:val="24"/>
        </w:rPr>
        <w:t xml:space="preserve">; </w:t>
      </w:r>
      <w:r w:rsidRPr="002F2F11">
        <w:rPr>
          <w:rFonts w:eastAsia="Calibri"/>
          <w:noProof/>
          <w:szCs w:val="24"/>
        </w:rPr>
        <w:t>Willens et al., 2013)</w:t>
      </w:r>
      <w:r w:rsidRPr="002F2F11">
        <w:rPr>
          <w:rFonts w:eastAsia="Calibri"/>
          <w:szCs w:val="24"/>
        </w:rPr>
        <w:fldChar w:fldCharType="end"/>
      </w:r>
      <w:r w:rsidRPr="002F2F11">
        <w:rPr>
          <w:rFonts w:eastAsia="Calibri"/>
          <w:szCs w:val="24"/>
        </w:rPr>
        <w:t xml:space="preserve">. Çalışmalarda eğitimle sağlık okuryazarlığının </w:t>
      </w:r>
      <w:r w:rsidRPr="002F2F11">
        <w:rPr>
          <w:rFonts w:eastAsia="Calibri"/>
          <w:szCs w:val="24"/>
        </w:rPr>
        <w:fldChar w:fldCharType="begin" w:fldLock="1"/>
      </w:r>
      <w:r w:rsidRPr="002F2F11">
        <w:rPr>
          <w:rFonts w:eastAsia="Calibri"/>
          <w:szCs w:val="24"/>
        </w:rPr>
        <w:instrText>ADDIN CSL_CITATION { "citationItems" : [ { "id" : "ITEM-1", "itemData" : { "DOI" : "10.1007/s11606-008-0612-2", "ISBN" : "1525-1497 (Electronic)\\r0884-8734 (Linking)", "ISSN" : "08848734", "PMID" : "18459011", "abstract" : "BACKGROUND: Approximately half of the US population has marginal or inadequate health literacy, a measure highly associated with health outcomes. This measure is often linked to age and education, but recent evidence from patients with chronic heart failure suggests that much of age-related variability in health literacy can be explained by cognitive abilities (e.g., working memory, processing speed).\\n\\nOBJECTIVE: We examined the role of cognitive and sensory abilities as mediators of age and education in determining functional health literacy among patients with hypertension.\\n\\nPARTICIPANTS: Four hundred ninety two community-dwelling adults diagnosed with hypertension (aged 21 to 92 years) participated. They were primarily female (73%), African-American (68%), and reported taking on average 7.8 prescribed medications.\\n\\nMEASUREMENTS: Before participation in a medication adherence intervention study, participants completed a battery of health literacy-related tasks. They completed tests that measured health literacy [Short Test of Functional Health Literacy in Adults (STOFHLA)], cognitive abilities (working memory, processing speed), sensory abilities (visual acuity and hearing), and physical health.\\n\\nRESULTS: Regression analyses showed that health literacy was related to age, education, and race (accounting for 24.4% of variance in STOFHLA scores). Cognitive ability accounted for an additional 24% of variance and greatly reduced the influence of age, education, and race (by 75%, 40%, and 48%, respectively).\\n\\nCONCLUSIONS: When controlling for cognitive and sensory variables, the association of age and education with STOFHLA scores was dramatically reduced. Thus, future interventions aimed at improving self-care for patients with low health literacy should aim to reduce demands on patients' cognitive abilities.", "author" : [ { "dropping-particle" : "", "family" : "Levinthal", "given" : "Brian R.", "non-dropping-particle" : "", "parse-names" : false, "suffix" : "" }, { "dropping-particle" : "", "family" : "Morrow", "given" : "Daniel G.", "non-dropping-particle" : "", "parse-names" : false, "suffix" : "" }, { "dropping-particle" : "", "family" : "Tu", "given" : "Wanzhu", "non-dropping-particle" : "", "parse-names" : false, "suffix" : "" }, { "dropping-particle" : "", "family" : "Wu", "given" : "Jingwei", "non-dropping-particle" : "", "parse-names" : false, "suffix" : "" }, { "dropping-particle" : "", "family" : "Murray", "given" : "Michael D.", "non-dropping-particle" : "", "parse-names" : false, "suffix" : "" } ], "container-title" : "Journal of General Internal Medicine", "id" : "ITEM-1", "issue" : "8", "issued" : { "date-parts" : [ [ "2008" ] ] }, "page" : "1172-1176", "title" : "Cognition and health literacy in patients with hypertension", "type" : "article-journal", "volume" : "23" }, "uris" : [ "http://www.mendeley.com/documents/?uuid=ade94de5-c068-4024-a7fb-a8e8ede8b1a9" ] }, { "id" : "ITEM-2", "itemData" : { "DOI" : "10.1007/s11739-017-1651-7", "ISSN" : "19709366", "PMID" : "28303441", "abstract" : "Low health literacy is associated with poor clinical outcomes. The relationship between literacy and blood pressure (BP) has been inconsistent. We investigated the determinants of health literacy and the potential relationship between health literacy and hypertension management. We conducted a retrospective cohort trial of 360 hypertensive patients. Scale measurements, physical examination, and laboratory tests were performed based on a standard protocol. To determine factors associated with health literacy, multiple logistic regression analysis was performed and the discriminatory power of the scale score for hypertension control was assessed by the area under the receiver operating curve. After adjusting for potential confounders, our findings show that the level of education, home blood pressure measurement, regular medication, and systolic blood pressure are significantly associated with health literacy. Moreover, patients with high health literacy have better hypertension control, a lower risk of ischemic cardiovascular disease (ICVD), lower brachial ankle pulse wave velocity values, and better health-related quality of life. In addition, our study also demonstrates that we can identify the health literacy level of hypertensive patients using the Chinese Health Literacy Scale for Hypertension. At a cut-off value of 13.5, we predict that patients will achieve long-term hypertension control. Adequate health literacy is a contributing factor to better blood pressure (BP) control and better perceived quality of life in hypertensive patients. Low health literacy increases the 10-year risk of ICVD and incidence of artery stiffness in hypertensive patients. Improving health literacy should be considered an important part of the management of hypertension.", "author" : [ { "dropping-particle" : "", "family" : "Shi", "given" : "Di", "non-dropping-particle" : "", "parse-names" : false, "suffix" : "" }, { "dropping-particle" : "", "family" : "Li", "given" : "Jiangbo", "non-dropping-particle" : "", "parse-names" : false, "suffix" : "" }, { "dropping-particle" : "", "family" : "Wang", "given" : "Yong", "non-dropping-particle" : "", "parse-names" : false, "suffix" : "" }, { "dropping-particle" : "", "family" : "Wang", "given" : "Si", "non-dropping-particle" : "", "parse-names" : false, "suffix" : "" }, { "dropping-particle" : "", "family" : "Liu", "given" : "Kai", "non-dropping-particle" : "", "parse-names" : false, "suffix" : "" }, { "dropping-particle" : "", "family" : "Shi", "given" : "Rufeng", "non-dropping-particle" : "", "parse-names" : false, "suffix" : "" }, { "dropping-particle" : "", "family" : "Zhang", "given" : "Qiang", "non-dropping-particle" : "", "parse-names" : false, "suffix" : "" }, { "dropping-particle" : "", "family" : "Chen", "given" : "Xiaoping", "non-dropping-particle" : "", "parse-names" : false, "suffix" : "" } ], "container-title" : "Internal and Emergency Medicine", "id" : "ITEM-2", "issue" : "6", "issued" : { "date-parts" : [ [ "2017" ] ] }, "page" : "765-776", "publisher" : "Springer International Publishing", "title" : "Association between health literacy and hypertension management in a Chinese community: a retrospective cohort study", "type" : "article-journal", "volume" : "12" }, "uris" : [ "http://www.mendeley.com/documents/?uuid=0da948f7-8682-4cc0-a694-0dbdeb604fc3" ] }, { "id" : "ITEM-3", "itemData" : { "DOI" : "10.1016/j.pec.2009.04.006", "ISBN" : "1873-5134 (Electronic)\\r0738-3991 (Linking)", "ISSN" : "07383991", "PMID" : "19442477", "abstract" : "Objective: To determine whether literacy mediates the association between education, hypertension knowledge and control. Methods: In-person interviews with a literacy assessment and chart review were conducted with 330 hypertensive patients from six primary care safety net clinics. Mediational analysis was used to test the role of literacy skills in explaining the relationship between education and hypertension knowledge and control. Results: In multivariate analyses that did not make an adjustment for the other variable, both lower educational attainment and more limited literacy were found to be significant independent predictors of poorer hypertension knowledge and control. When literacy was entered into models that included education only, the association between education and knowledge was fully attenuated and no longer significant (Grades 1-8: \u03b2 = -0.30, 95% CI = -1.44-0.83), while the relationship between education and blood pressure control was only minimally reduced (AOR 2.46, 95% CI 2.10-2.88). More limited literacy skills also was associated with hypertension control in the final model (AOR 2.68, 95% CI 1.54-4.70). Conclusion: Patient literacy mediated the relationship between education and hypertension knowledge. Literacy was a significant independent predictor of blood pressure control, but only minimally explained the relationship between education and blood pressure. Practice implications: Health literacy is critical to the design of educational tools to improve knowledge acquisition. However, in order to impact health outcome, future health literacy studies should also address other psychosocial factors that impact motivation and capability to manage disease. \u00a9 2009 Elsevier Ireland Ltd. All rights reserved.", "author" : [ { "dropping-particle" : "", "family" : "Pandit", "given" : "Anjali U.", "non-dropping-particle" : "", "parse-names" : false, "suffix" : "" }, { "dropping-particle" : "", "family" : "Tang", "given" : "Joyce W.", "non-dropping-particle" : "", "parse-names" : false, "suffix" : "" }, { "dropping-particle" : "", "family" : "Bailey", "given" : "Stacy Cooper", "non-dropping-particle" : "", "parse-names" : false, "suffix" : "" }, { "dropping-particle" : "", "family" : "Davis", "given" : "Terry C.", "non-dropping-particle" : "", "parse-names" : false, "suffix" : "" }, { "dropping-particle" : "V.", "family" : "Bocchini", "given" : "Mary", "non-dropping-particle" : "", "parse-names" : false, "suffix" : "" }, { "dropping-particle" : "", "family" : "Persell", "given" : "Stephen D.", "non-dropping-particle" : "", "parse-names" : false, "suffix" : "" }, { "dropping-particle" : "", "family" : "Federman", "given" : "Alex D.", "non-dropping-particle" : "", "parse-names" : false, "suffix" : "" }, { "dropping-particle" : "", "family" : "Wolf", "given" : "Michael S.", "non-dropping-particle" : "", "parse-names" : false, "suffix" : "" } ], "container-title" : "Patient Education and Counseling", "id" : "ITEM-3", "issue" : "3", "issued" : { "date-parts" : [ [ "2009" ] ] }, "page" : "381-385", "title" : "Education, literacy, and health: Mediating effects on hypertension knowledge and control", "type" : "article-journal", "volume" : "75" }, "uris" : [ "http://www.mendeley.com/documents/?uuid=572a2c38-505b-4aac-bac5-24880c0e8939" ] }, { "id" : "ITEM-4", "itemData" : { "DOI" : "10.3390/ijerph10031125", "ISBN" : "1403210861", "ISSN" : "16604601", "PMID" : "23507738", "abstract" : "We conducted this study to determine levels and correlates of hypertension knowledge among rural Chinese adults, and to assess the association between knowledge levels and salty food consumption among hypertensive and non-hypertensive populations. This face-to-face cross sectional survey included 665 hypertensive and 854 non-hypertensive respondents in the rural areas of Heilongjiang province, China. Hypertension knowledge was assessed through a 10-item test; respondents received 10 points for each correct answer. Among respondents, the average hypertension knowledge score was 26 out of a maximum of 100 points for hypertensive and 20 for non-hypertensive respondents. Hypertension knowledge was associated with marital status, education, health status, periodically reading books, newspapers or other materials, history of blood pressure measurement, and attending hypertension educational sessions. Hypertension knowledge is extremely low in rural areas of China. Hypertension education programs should focus on marginal populations, such as individuals who are not married or illiterate to enhance their knowledge levels. Focusing on educational and literacy levels in conjunction with health education is important given illiteracy is still a prominent issue for the Chinese rural population.", "author" : [ { "dropping-particle" : "", "family" : "Li", "given" : "Xia", "non-dropping-particle" : "", "parse-names" : false, "suffix" : "" }, { "dropping-particle" : "", "family" : "Ning", "given" : "Ning", "non-dropping-particle" : "", "parse-names" : false, "suffix" : "" }, { "dropping-particle" : "", "family" : "Hao", "given" : "Yanhua", "non-dropping-particle" : "", "parse-names" : false, "suffix" : "" }, { "dropping-particle" : "", "family" : "Sun", "given" : "Hong", "non-dropping-particle" : "", "parse-names" : false, "suffix" : "" }, { "dropping-particle" : "", "family" : "Gao", "given" : "Lijun", "non-dropping-particle" : "", "parse-names" : false, "suffix" : "" }, { "dropping-particle" : "", "family" : "Jiao", "given" : "Mingli", "non-dropping-particle" : "", "parse-names" : false, "suffix" : "" }, { "dropping-particle" : "", "family" : "Wu", "given" : "Qunhong", "non-dropping-particle" : "", "parse-names" : false, "suffix" : "" }, { "dropping-particle" : "", "family" : "Quan", "given" : "Hude", "non-dropping-particle" : "", "parse-names" : false, "suffix" : "" } ], "container-title" : "International journal of environmental research and public health", "id" : "ITEM-4", "issue" : "3", "issued" : { "date-parts" : [ [ "2013" ] ] }, "page" : "1125-1138", "title" : "Health literacy in rural areas of China: hypertension knowledge survey.", "type" : "article-journal", "volume" : "10" }, "uris" : [ "http://www.mendeley.com/documents/?uuid=8ca8c546-a9e2-4637-a10e-731a10b854fc" ] } ], "mendeley" : { "formattedCitation" : "(Levinthal et al., 2008; Li et al., 2013; Pandit et al., 2009; Shi et al., 2017)", "manualFormatting" : "(Levinthal et al., 2008; Pandit et al., 2009; Li et al.; 2013 Shi et al., 2017)", "plainTextFormattedCitation" : "(Levinthal et al., 2008; Li et al., 2013; Pandit et al., 2009; Shi et al., 2017)", "previouslyFormattedCitation" : "(Levinthal et al., 2008; Li et al., 2013; Pandit et al., 2009; Shi et al., 2017)"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(Levinthal et al., 2008; Pandit et al., 2009; Li et al.; 2013 Shi et al., 2017)</w:t>
      </w:r>
      <w:r w:rsidRPr="002F2F11">
        <w:rPr>
          <w:rFonts w:eastAsia="Calibri"/>
          <w:szCs w:val="24"/>
        </w:rPr>
        <w:fldChar w:fldCharType="end"/>
      </w:r>
      <w:r w:rsidRPr="002F2F11">
        <w:rPr>
          <w:rFonts w:eastAsia="Calibri"/>
          <w:szCs w:val="24"/>
        </w:rPr>
        <w:t xml:space="preserve"> ve sağlık okuryazarlığı ile hastalık bilgisinin ilişkili olduğu gösterilmiştir </w:t>
      </w:r>
      <w:r w:rsidRPr="002F2F11">
        <w:rPr>
          <w:rFonts w:eastAsia="Calibri"/>
          <w:szCs w:val="24"/>
        </w:rPr>
        <w:fldChar w:fldCharType="begin" w:fldLock="1"/>
      </w:r>
      <w:r w:rsidRPr="002F2F11">
        <w:rPr>
          <w:rFonts w:eastAsia="Calibri"/>
          <w:szCs w:val="24"/>
        </w:rPr>
        <w:instrText>ADDIN CSL_CITATION { "citationItems" : [ { "id" : "ITEM-1", "itemData" : { "author" : [ { "dropping-particle" : "", "family" : "Darvishpour", "given" : "Jamileh", "non-dropping-particle" : "", "parse-names" : false, "suffix" : "" }, { "dropping-particle" : "", "family" : "Omidi", "given" : "Saeed", "non-dropping-particle" : "", "parse-names" : false, "suffix" : "" }, { "dropping-particle" : "", "family" : "Farmanbar", "given" : "Rabiollah", "non-dropping-particle" : "", "parse-names" : false, "suffix" : "" } ], "container-title" : "Caspian Journal of Health Research", "id" : "ITEM-1", "issue" : "1", "issued" : { "date-parts" : [ [ "2016" ] ] }, "page" : "1-8", "title" : "The Relationship between Health Literacy and Hypertension Treatment Control and Follow-up", "type" : "article-journal", "volume" : "2" }, "uris" : [ "http://www.mendeley.com/documents/?uuid=79fec1f4-c1f7-40ba-b50f-cbff958c816e" ] }, { "id" : "ITEM-2", "itemData" : { "DOI" : "10.1016/j.ijcard.2013.08.041", "ISBN" : "1874-1754 (Electronic)\\r0167-5273 (Linking)", "ISSN" : "01675273", "PMID" : "23992931", "abstract" : "Individuals with adequate health literacy (HL) can understand their healthcare providers' explanations of health conditions and treatment options while those with low HL have been associated with adverse outcomes such as lack of disease knowledge, poor health status, and greater risk for hospitalization. Despite its importance in public health and healthcare, HL has not been sufficiently researched in patients with a specific disease, such as hypertension. The causes of poor management of hypertension are multi-faceted, and one of the factors is patients' lack of knowledge regarding hyperten-sion [1]. Patients with hypertension need to have adequate knowledge of their disease to manage their condition. They need to understand how to properly take prescribed medications and modify their lifestyle in order to achieve the target blood pressure (BP). The lack of understanding on hypertension can lead to poor adherence to medication regimens and, consequently, poor BP control [2]. This study aimed to identify the deficits and factors associated with hypertension knowledge and also to evaluate the association between HL and the knowledge and control of hypertension. A cross-sectional, interviewer-administered survey was performed at a government-funded primary care clinic. Before the survey was administered, the respondents' BP was measured in a sitting position. The survey consisted of a demographic questionnaire, a hypertension knowledge test, and a validated HL instrument, the Short Test of Functional Health Literacy in Adults, Singapore version (STOFHLA Singapore) [3]. The hypertension knowledge test was developed by adapting questions from previous studies [4\u20136]. For analysis purpose, patients were categorized into adequate and inadequate HL groups using a cut-off of 75% correct responses [3]. In addition, patients were categorized into two BP control groups: \" met the target BP \" (i.e., b140/90 mm Hg for hypertensive patients and b130/80 mm Hg for hypertensive patients with diabetes and chronic kidney disease) and \" did not meet the target BP \" . Independent t-test was used to examine the differences in hyperten-sion knowledge scores between the two HL groups and between the two BP control groups. Chi-squared test was performed to examine the association between HL and BP control. The factors that were significantly associated with the total knowledge scores in bivariate analysis were further analyzed using multiple linear regression analysis. All analy\u2026", "author" : [ { "dropping-particle" : "", "family" : "Ko", "given" : "Yu", "non-dropping-particle" : "", "parse-names" : false, "suffix" : "" }, { "dropping-particle" : "", "family" : "Balasubramanian", "given" : "Thurga Devi", "non-dropping-particle" : "", "parse-names" : false, "suffix" : "" }, { "dropping-particle" : "", "family" : "Wong", "given" : "Lilian", "non-dropping-particle" : "", "parse-names" : false, "suffix" : "" }, { "dropping-particle" : "", "family" : "Tan", "given" : "Mui Ling", "non-dropping-particle" : "", "parse-names" : false, "suffix" : "" }, { "dropping-particle" : "", "family" : "Lee", "given" : "Evonne", "non-dropping-particle" : "", "parse-names" : false, "suffix" : "" }, { "dropping-particle" : "", "family" : "Tang", "given" : "Wern Ee", "non-dropping-particle" : "", "parse-names" : false, "suffix" : "" }, { "dropping-particle" : "", "family" : "Chan", "given" : "Soo Chung", "non-dropping-particle" : "", "parse-names" : false, "suffix" : "" }, { "dropping-particle" : "", "family" : "Tan", "given" : "Audrey S.L.", "non-dropping-particle" : "", "parse-names" : false, "suffix" : "" }, { "dropping-particle" : "", "family" : "Toh", "given" : "Matthias Paul Han Sim", "non-dropping-particle" : "", "parse-names" : false, "suffix" : "" } ], "container-title" : "International Journal of Cardiology", "id" : "ITEM-2", "issue" : "4", "issued" : { "date-parts" : [ [ "2013" ] ] }, "page" : "167-168", "title" : "Health literacy and its association with disease knowledge and control in patients with hypertension in Singapore", "type" : "article-journal", "volume" : "168" }, "uris" : [ "http://www.mendeley.com/documents/?uuid=1164b423-6ba6-468b-8b22-ac74fd36a828" ] }, { "id" : "ITEM-3", "itemData" : { "author" : [ { "dropping-particle" : "", "family" : "Chajaee", "given" : "F", "non-dropping-particle" : "", "parse-names" : false, "suffix" : "" }, { "dropping-particle" : "", "family" : "Pirzadeh", "given" : "A", "non-dropping-particle" : "", "parse-names" : false, "suffix" : "" }, { "dropping-particle" : "", "family" : "Hasanzadeh", "given" : "A", "non-dropping-particle" : "", "parse-names" : false, "suffix" : "" }, { "dropping-particle" : "", "family" : "Mostafavi", "given" : "F", "non-dropping-particle" : "", "parse-names" : false, "suffix" : "" } ], "container-title" : "Electronic Physician", "id" : "ITEM-3", "issue" : "3", "issued" : { "date-parts" : [ [ "2018" ] ] }, "page" : "6470- 6477", "title" : "Relationship between health literacy and knowledge among patients with hypertension in Isfahan province, Iran", "type" : "article-journal", "volume" : "10" }, "uris" : [ "http://www.mendeley.com/documents/?uuid=c456c00f-82d3-4b0e-a24d-b21dcd7fe718" ] }, { "id" : "ITEM-4", "itemData" : { "DOI" : "10.3390/ijerph10031125", "ISBN" : "1403210861", "ISSN" : "16604601", "PMID" : "23507738", "abstract" : "We conducted this study to determine levels and correlates of hypertension knowledge among rural Chinese adults, and to assess the association between knowledge levels and salty food consumption among hypertensive and non-hypertensive populations. This face-to-face cross sectional survey included 665 hypertensive and 854 non-hypertensive respondents in the rural areas of Heilongjiang province, China. Hypertension knowledge was assessed through a 10-item test; respondents received 10 points for each correct answer. Among respondents, the average hypertension knowledge score was 26 out of a maximum of 100 points for hypertensive and 20 for non-hypertensive respondents. Hypertension knowledge was associated with marital status, education, health status, periodically reading books, newspapers or other materials, history of blood pressure measurement, and attending hypertension educational sessions. Hypertension knowledge is extremely low in rural areas of China. Hypertension education programs should focus on marginal populations, such as individuals who are not married or illiterate to enhance their knowledge levels. Focusing on educational and literacy levels in conjunction with health education is important given illiteracy is still a prominent issue for the Chinese rural population.", "author" : [ { "dropping-particle" : "", "family" : "Li", "given" : "Xia", "non-dropping-particle" : "", "parse-names" : false, "suffix" : "" }, { "dropping-particle" : "", "family" : "Ning", "given" : "Ning", "non-dropping-particle" : "", "parse-names" : false, "suffix" : "" }, { "dropping-particle" : "", "family" : "Hao", "given" : "Yanhua", "non-dropping-particle" : "", "parse-names" : false, "suffix" : "" }, { "dropping-particle" : "", "family" : "Sun", "given" : "Hong", "non-dropping-particle" : "", "parse-names" : false, "suffix" : "" }, { "dropping-particle" : "", "family" : "Gao", "given" : "Lijun", "non-dropping-particle" : "", "parse-names" : false, "suffix" : "" }, { "dropping-particle" : "", "family" : "Jiao", "given" : "Mingli", "non-dropping-particle" : "", "parse-names" : false, "suffix" : "" }, { "dropping-particle" : "", "family" : "Wu", "given" : "Qunhong", "non-dropping-particle" : "", "parse-names" : false, "suffix" : "" }, { "dropping-particle" : "", "family" : "Quan", "given" : "Hude", "non-dropping-particle" : "", "parse-names" : false, "suffix" : "" } ], "container-title" : "International journal of environmental research and public health", "id" : "ITEM-4", "issue" : "3", "issued" : { "date-parts" : [ [ "2013" ] ] }, "page" : "1125-1138", "title" : "Health literacy in rural areas of China: hypertension knowledge survey.", "type" : "article-journal", "volume" : "10" }, "uris" : [ "http://www.mendeley.com/documents/?uuid=8ca8c546-a9e2-4637-a10e-731a10b854fc" ] } ], "mendeley" : { "formattedCitation" : "(Chajaee et al., 2018; Darvishpour, Omidi, &amp; Farmanbar, 2016; Ko et al., 2013; Li et al., 2013)", "plainTextFormattedCitation" : "(Chajaee et al., 2018; Darvishpour, Omidi, &amp; Farmanbar, 2016; Ko et al., 2013; Li et al., 2013)", "previouslyFormattedCitation" : "(Chajaee et al., 2018; Darvishpour, Omidi, &amp; Farmanbar, 2016; Ko et al., 2013; Li et al., 2013)"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(Chajaee et al., 2018; Darvishpour, Omidi, &amp; Farmanbar, 2016; Ko et al., 2013; Li et al., 2013)</w:t>
      </w:r>
      <w:r w:rsidRPr="002F2F11">
        <w:rPr>
          <w:rFonts w:eastAsia="Calibri"/>
          <w:szCs w:val="24"/>
        </w:rPr>
        <w:fldChar w:fldCharType="end"/>
      </w:r>
      <w:r w:rsidRPr="002F2F11">
        <w:rPr>
          <w:rFonts w:eastAsia="Calibri"/>
          <w:szCs w:val="24"/>
        </w:rPr>
        <w:t xml:space="preserve">. Daha az eğitime sahip bireylerde hastalık ve tedavi bilgisi daha azdır, bu kişilerde hipertansiyonu kontrol altında tutamama riski daha yüksektir </w:t>
      </w:r>
      <w:r w:rsidRPr="002F2F11">
        <w:rPr>
          <w:rFonts w:eastAsia="Calibri"/>
          <w:szCs w:val="24"/>
        </w:rPr>
        <w:fldChar w:fldCharType="begin" w:fldLock="1"/>
      </w:r>
      <w:r w:rsidRPr="002F2F11">
        <w:rPr>
          <w:rFonts w:eastAsia="Calibri"/>
          <w:szCs w:val="24"/>
        </w:rPr>
        <w:instrText>ADDIN CSL_CITATION { "citationItems" : [ { "id" : "ITEM-1", "itemData" : { "DOI" : "10.1016/j.pec.2009.04.006", "ISBN" : "1873-5134 (Electronic)\\r0738-3991 (Linking)", "ISSN" : "07383991", "PMID" : "19442477", "abstract" : "Objective: To determine whether literacy mediates the association between education, hypertension knowledge and control. Methods: In-person interviews with a literacy assessment and chart review were conducted with 330 hypertensive patients from six primary care safety net clinics. Mediational analysis was used to test the role of literacy skills in explaining the relationship between education and hypertension knowledge and control. Results: In multivariate analyses that did not make an adjustment for the other variable, both lower educational attainment and more limited literacy were found to be significant independent predictors of poorer hypertension knowledge and control. When literacy was entered into models that included education only, the association between education and knowledge was fully attenuated and no longer significant (Grades 1-8: \u03b2 = -0.30, 95% CI = -1.44-0.83), while the relationship between education and blood pressure control was only minimally reduced (AOR 2.46, 95% CI 2.10-2.88). More limited literacy skills also was associated with hypertension control in the final model (AOR 2.68, 95% CI 1.54-4.70). Conclusion: Patient literacy mediated the relationship between education and hypertension knowledge. Literacy was a significant independent predictor of blood pressure control, but only minimally explained the relationship between education and blood pressure. Practice implications: Health literacy is critical to the design of educational tools to improve knowledge acquisition. However, in order to impact health outcome, future health literacy studies should also address other psychosocial factors that impact motivation and capability to manage disease. \u00a9 2009 Elsevier Ireland Ltd. All rights reserved.", "author" : [ { "dropping-particle" : "", "family" : "Pandit", "given" : "Anjali U.", "non-dropping-particle" : "", "parse-names" : false, "suffix" : "" }, { "dropping-particle" : "", "family" : "Tang", "given" : "Joyce W.", "non-dropping-particle" : "", "parse-names" : false, "suffix" : "" }, { "dropping-particle" : "", "family" : "Bailey", "given" : "Stacy Cooper", "non-dropping-particle" : "", "parse-names" : false, "suffix" : "" }, { "dropping-particle" : "", "family" : "Davis", "given" : "Terry C.", "non-dropping-particle" : "", "parse-names" : false, "suffix" : "" }, { "dropping-particle" : "V.", "family" : "Bocchini", "given" : "Mary", "non-dropping-particle" : "", "parse-names" : false, "suffix" : "" }, { "dropping-particle" : "", "family" : "Persell", "given" : "Stephen D.", "non-dropping-particle" : "", "parse-names" : false, "suffix" : "" }, { "dropping-particle" : "", "family" : "Federman", "given" : "Alex D.", "non-dropping-particle" : "", "parse-names" : false, "suffix" : "" }, { "dropping-particle" : "", "family" : "Wolf", "given" : "Michael S.", "non-dropping-particle" : "", "parse-names" : false, "suffix" : "" } ], "container-title" : "Patient Education and Counseling", "id" : "ITEM-1", "issue" : "3", "issued" : { "date-parts" : [ [ "2009" ] ] }, "page" : "381-385", "title" : "Education, literacy, and health: Mediating effects on hypertension knowledge and control", "type" : "article-journal", "volume" : "75" }, "uris" : [ "http://www.mendeley.com/documents/?uuid=572a2c38-505b-4aac-bac5-24880c0e8939" ] } ], "mendeley" : { "formattedCitation" : "(Pandit et al., 2009)", "plainTextFormattedCitation" : "(Pandit et al., 2009)", "previouslyFormattedCitation" : "(Pandit et al., 2009)"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(Pandit et al., 2009)</w:t>
      </w:r>
      <w:r w:rsidRPr="002F2F11">
        <w:rPr>
          <w:rFonts w:eastAsia="Calibri"/>
          <w:szCs w:val="24"/>
        </w:rPr>
        <w:fldChar w:fldCharType="end"/>
      </w:r>
      <w:r w:rsidRPr="002F2F11">
        <w:rPr>
          <w:rFonts w:eastAsia="Calibri"/>
          <w:szCs w:val="24"/>
        </w:rPr>
        <w:t xml:space="preserve">. Sağlık okuryazarlık düzeyi yaş </w:t>
      </w:r>
      <w:r w:rsidRPr="002F2F11">
        <w:rPr>
          <w:rFonts w:eastAsia="Calibri"/>
          <w:szCs w:val="24"/>
        </w:rPr>
        <w:fldChar w:fldCharType="begin" w:fldLock="1"/>
      </w:r>
      <w:r w:rsidRPr="002F2F11">
        <w:rPr>
          <w:rFonts w:eastAsia="Calibri"/>
          <w:szCs w:val="24"/>
        </w:rPr>
        <w:instrText>ADDIN CSL_CITATION { "citationItems" : [ { "id" : "ITEM-1", "itemData" : { "author" : [ { "dropping-particle" : "", "family" : "Chajaee", "given" : "F", "non-dropping-particle" : "", "parse-names" : false, "suffix" : "" }, { "dropping-particle" : "", "family" : "Pirzadeh", "given" : "A", "non-dropping-particle" : "", "parse-names" : false, "suffix" : "" }, { "dropping-particle" : "", "family" : "Hasanzadeh", "given" : "A", "non-dropping-particle" : "", "parse-names" : false, "suffix" : "" }, { "dropping-particle" : "", "family" : "Mostafavi", "given" : "F", "non-dropping-particle" : "", "parse-names" : false, "suffix" : "" } ], "container-title" : "Electronic Physician", "id" : "ITEM-1", "issue" : "3", "issued" : { "date-parts" : [ [ "2018" ] ] }, "page" : "6470- 6477", "title" : "Relationship between health literacy and knowledge among patients with hypertension in Isfahan province, Iran", "type" : "article-journal", "volume" : "10" }, "uris" : [ "http://www.mendeley.com/documents/?uuid=c456c00f-82d3-4b0e-a24d-b21dcd7fe718" ] }, { "id" : "ITEM-2", "itemData" : { "DOI" : "10.1016/j.ihj.2015.09.029", "ISSN" : "00194832", "PMID" : "27316479", "abstract" : "Background Slum dwellers have poor socio-environmental conditions and less access to medical care, which make them susceptible to illnesses. Studies on urban slums have primarily focused on communicable diseases and less on lifestyle diseases, such as hypertension. Consequently, there is a paucity of prevalence studies of hypertension in slums in different parts of the country. The aim of the study was to provide estimates of the prevalence, awareness, and control of hypertension in an adult population sample of the slums of Kolkata. Methods A population-based cross-sectional study was conducted in the slums of Kolkata in collaboration with Kolkata Municipality Corporation. Door-to-door survey was conducted by trained healthcare workers using a structured questionnaire. Age, sex, religion, housing conditions (house/hut), average monthly household income, education status, current use of tobacco, history of hypertension, and whether on antihypertensive treatment were recorded. Blood pressure (BP) was recorded as per standard guidelines. Hypertension was diagnosed by JNC-VII criteria. A total of 10,175 adults aged \u226520 years were enrolled in the study. Results Overall prevalence of hypertension was 42%. Hypertension was newly detected in 19% of the population. Fifty-four percent of the hypertensive subjects were aware of their hypertension status, 38% were on antihypertensive treatment, and 12% had their BP controlled to target level. Subgroup analysis showed that the prevalence of hypertension was higher in men, above 60 years age, in the minority community, in those with a higher household income, and among the tobacco users. Conclusion There is a high prevalence of hypertension in the slums of Kolkata. Although the awareness of the condition is high, the control of hypertension is poor.", "author" : [ { "dropping-particle" : "", "family" : "Banerjee", "given" : "Suvro", "non-dropping-particle" : "", "parse-names" : false, "suffix" : "" }, { "dropping-particle" : "", "family" : "Mukherjee", "given" : "Tapan Kumar", "non-dropping-particle" : "", "parse-names" : false, "suffix" : "" }, { "dropping-particle" : "", "family" : "Basu", "given" : "Srabashi", "non-dropping-particle" : "", "parse-names" : false, "suffix" : "" } ], "container-title" : "Indian Heart Journal", "id" : "ITEM-2", "issue" : "3", "issued" : { "date-parts" : [ [ "2016" ] ] }, "page" : "286-294", "publisher" : "Cardiological Society of India", "title" : "Prevalence, awareness, and control of hypertension in the slums of Kolkata", "type" : "article-journal", "volume" : "68" }, "uris" : [ "http://www.mendeley.com/documents/?uuid=2afb787d-7b9f-4cc5-be4f-c00c66af3886" ] }, { "id" : "ITEM-3", "itemData" : { "ISSN" : "2228-5504", "PMID" : "21772920", "abstract" : "Hypertension is one of the most crucial health problems and most common chronic disease in developed and underdeveloped countries, which is called silent killer. Usually diagnosis happens suddenly. Despite this fact that is a preventable and treatable condition but without treatment it leads to serious and life threatening complications (such as heart, kidney and brain destruction), and in most cases these complications result in disability. It can be prevented by, increase knowledge and awareness, change attitude and practice. Prevention, plays significant role in controlling this disease.", "author" : [ { "dropping-particle" : "", "family" : "Sabouhi", "given" : "Fakhri", "non-dropping-particle" : "", "parse-names" : false, "suffix" : "" }, { "dropping-particle" : "", "family" : "Babaee", "given" : "Sima", "non-dropping-particle" : "", "parse-names" : false, "suffix" : "" }, { "dropping-particle" : "", "family" : "Naji", "given" : "Homayoon", "non-dropping-particle" : "", "parse-names" : false, "suffix" : "" }, { "dropping-particle" : "", "family" : "Zadeh", "given" : "Akbar Hassan", "non-dropping-particle" : "", "parse-names" : false, "suffix" : "" } ], "container-title" : "Iranian journal of nursing and midwifery research", "id" : "ITEM-3", "issue" : "1", "issued" : { "date-parts" : [ [ "2011" ] ] }, "page" : "34-40", "title" : "Knowledge, awareness, attitudes and practice about hypertension in hypertensive patients referring to public health care centers in Khoor &amp;amp; Biabanak.", "type" : "article-journal", "volume" : "16" }, "uris" : [ "http://www.mendeley.com/documents/?uuid=de5afb1b-f131-41fd-9715-c38b228fe63f" ] } ], "mendeley" : { "formattedCitation" : "(Banerjee, Mukherjee, &amp; Basu, 2016; Chajaee et al., 2018; Sabouhi et al., 2011)", "plainTextFormattedCitation" : "(Banerjee, Mukherjee, &amp; Basu, 2016; Chajaee et al., 2018; Sabouhi et al., 2011)", "previouslyFormattedCitation" : "(Banerjee, Mukherjee, &amp; Basu, 2016; Chajaee et al., 2018; Sabouhi et al., 2011)"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(Banerjee, Mukherjee, &amp; Basu, 2016; Chajaee et al., 2018; Sabouhi et al., 2011)</w:t>
      </w:r>
      <w:r w:rsidRPr="002F2F11">
        <w:rPr>
          <w:rFonts w:eastAsia="Calibri"/>
          <w:szCs w:val="24"/>
        </w:rPr>
        <w:fldChar w:fldCharType="end"/>
      </w:r>
      <w:r w:rsidRPr="002F2F11">
        <w:rPr>
          <w:rFonts w:eastAsia="Calibri"/>
          <w:szCs w:val="24"/>
        </w:rPr>
        <w:t>, cinsiyet, ırka göre değişmektedir; kadınlarda</w:t>
      </w:r>
      <w:r>
        <w:rPr>
          <w:rFonts w:eastAsia="Calibri"/>
          <w:szCs w:val="24"/>
        </w:rPr>
        <w:t xml:space="preserve"> </w:t>
      </w:r>
      <w:r w:rsidRPr="002F2F11">
        <w:rPr>
          <w:rFonts w:eastAsia="Calibri"/>
          <w:szCs w:val="24"/>
        </w:rPr>
        <w:fldChar w:fldCharType="begin" w:fldLock="1"/>
      </w:r>
      <w:r w:rsidRPr="002F2F11">
        <w:rPr>
          <w:rFonts w:eastAsia="Calibri"/>
          <w:szCs w:val="24"/>
        </w:rPr>
        <w:instrText>ADDIN CSL_CITATION { "citationItems" : [ { "id" : "ITEM-1", "itemData" : { "DOI" : "10.1007/s11739-017-1651-7", "ISSN" : "19709366", "PMID" : "28303441", "abstract" : "Low health literacy is associated with poor clinical outcomes. The relationship between literacy and blood pressure (BP) has been inconsistent. We investigated the determinants of health literacy and the potential relationship between health literacy and hypertension management. We conducted a retrospective cohort trial of 360 hypertensive patients. Scale measurements, physical examination, and laboratory tests were performed based on a standard protocol. To determine factors associated with health literacy, multiple logistic regression analysis was performed and the discriminatory power of the scale score for hypertension control was assessed by the area under the receiver operating curve. After adjusting for potential confounders, our findings show that the level of education, home blood pressure measurement, regular medication, and systolic blood pressure are significantly associated with health literacy. Moreover, patients with high health literacy have better hypertension control, a lower risk of ischemic cardiovascular disease (ICVD), lower brachial ankle pulse wave velocity values, and better health-related quality of life. In addition, our study also demonstrates that we can identify the health literacy level of hypertensive patients using the Chinese Health Literacy Scale for Hypertension. At a cut-off value of 13.5, we predict that patients will achieve long-term hypertension control. Adequate health literacy is a contributing factor to better blood pressure (BP) control and better perceived quality of life in hypertensive patients. Low health literacy increases the 10-year risk of ICVD and incidence of artery stiffness in hypertensive patients. Improving health literacy should be considered an important part of the management of hypertension.", "author" : [ { "dropping-particle" : "", "family" : "Shi", "given" : "Di", "non-dropping-particle" : "", "parse-names" : false, "suffix" : "" }, { "dropping-particle" : "", "family" : "Li", "given" : "Jiangbo", "non-dropping-particle" : "", "parse-names" : false, "suffix" : "" }, { "dropping-particle" : "", "family" : "Wang", "given" : "Yong", "non-dropping-particle" : "", "parse-names" : false, "suffix" : "" }, { "dropping-particle" : "", "family" : "Wang", "given" : "Si", "non-dropping-particle" : "", "parse-names" : false, "suffix" : "" }, { "dropping-particle" : "", "family" : "Liu", "given" : "Kai", "non-dropping-particle" : "", "parse-names" : false, "suffix" : "" }, { "dropping-particle" : "", "family" : "Shi", "given" : "Rufeng", "non-dropping-particle" : "", "parse-names" : false, "suffix" : "" }, { "dropping-particle" : "", "family" : "Zhang", "given" : "Qiang", "non-dropping-particle" : "", "parse-names" : false, "suffix" : "" }, { "dropping-particle" : "", "family" : "Chen", "given" : "Xiaoping", "non-dropping-particle" : "", "parse-names" : false, "suffix" : "" } ], "container-title" : "Internal and Emergency Medicine", "id" : "ITEM-1", "issue" : "6", "issued" : { "date-parts" : [ [ "2017" ] ] }, "page" : "765-776", "publisher" : "Springer International Publishing", "title" : "Association between health literacy and hypertension management in a Chinese community: a retrospective cohort study", "type" : "article-journal", "volume" : "12" }, "uris" : [ "http://www.mendeley.com/documents/?uuid=0da948f7-8682-4cc0-a694-0dbdeb604fc3" ] } ], "mendeley" : { "formattedCitation" : "(Shi et al., 2017)", "plainTextFormattedCitation" : "(Shi et al., 2017)", "previouslyFormattedCitation" : "(Shi et al., 2017)"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(Shi et al., 2017)</w:t>
      </w:r>
      <w:r w:rsidRPr="002F2F11">
        <w:rPr>
          <w:rFonts w:eastAsia="Calibri"/>
          <w:szCs w:val="24"/>
        </w:rPr>
        <w:fldChar w:fldCharType="end"/>
      </w:r>
      <w:r w:rsidRPr="002F2F11">
        <w:rPr>
          <w:rFonts w:eastAsia="Calibri"/>
          <w:szCs w:val="24"/>
        </w:rPr>
        <w:t xml:space="preserve">, siyahilerde </w:t>
      </w:r>
      <w:r w:rsidRPr="002F2F11">
        <w:rPr>
          <w:rFonts w:eastAsia="Calibri"/>
          <w:szCs w:val="24"/>
        </w:rPr>
        <w:fldChar w:fldCharType="begin" w:fldLock="1"/>
      </w:r>
      <w:r w:rsidRPr="002F2F11">
        <w:rPr>
          <w:rFonts w:eastAsia="Calibri"/>
          <w:szCs w:val="24"/>
        </w:rPr>
        <w:instrText>ADDIN CSL_CITATION { "citationItems" : [ { "id" : "ITEM-1", "itemData" : { "DOI" : "10.1007/s11606-008-0612-2", "ISBN" : "1525-1497 (Electronic)\\r0884-8734 (Linking)", "ISSN" : "08848734", "PMID" : "18459011", "abstract" : "BACKGROUND: Approximately half of the US population has marginal or inadequate health literacy, a measure highly associated with health outcomes. This measure is often linked to age and education, but recent evidence from patients with chronic heart failure suggests that much of age-related variability in health literacy can be explained by cognitive abilities (e.g., working memory, processing speed).\\n\\nOBJECTIVE: We examined the role of cognitive and sensory abilities as mediators of age and education in determining functional health literacy among patients with hypertension.\\n\\nPARTICIPANTS: Four hundred ninety two community-dwelling adults diagnosed with hypertension (aged 21 to 92 years) participated. They were primarily female (73%), African-American (68%), and reported taking on average 7.8 prescribed medications.\\n\\nMEASUREMENTS: Before participation in a medication adherence intervention study, participants completed a battery of health literacy-related tasks. They completed tests that measured health literacy [Short Test of Functional Health Literacy in Adults (STOFHLA)], cognitive abilities (working memory, processing speed), sensory abilities (visual acuity and hearing), and physical health.\\n\\nRESULTS: Regression analyses showed that health literacy was related to age, education, and race (accounting for 24.4% of variance in STOFHLA scores). Cognitive ability accounted for an additional 24% of variance and greatly reduced the influence of age, education, and race (by 75%, 40%, and 48%, respectively).\\n\\nCONCLUSIONS: When controlling for cognitive and sensory variables, the association of age and education with STOFHLA scores was dramatically reduced. Thus, future interventions aimed at improving self-care for patients with low health literacy should aim to reduce demands on patients' cognitive abilities.", "author" : [ { "dropping-particle" : "", "family" : "Levinthal", "given" : "Brian R.", "non-dropping-particle" : "", "parse-names" : false, "suffix" : "" }, { "dropping-particle" : "", "family" : "Morrow", "given" : "Daniel G.", "non-dropping-particle" : "", "parse-names" : false, "suffix" : "" }, { "dropping-particle" : "", "family" : "Tu", "given" : "Wanzhu", "non-dropping-particle" : "", "parse-names" : false, "suffix" : "" }, { "dropping-particle" : "", "family" : "Wu", "given" : "Jingwei", "non-dropping-particle" : "", "parse-names" : false, "suffix" : "" }, { "dropping-particle" : "", "family" : "Murray", "given" : "Michael D.", "non-dropping-particle" : "", "parse-names" : false, "suffix" : "" } ], "container-title" : "Journal of General Internal Medicine", "id" : "ITEM-1", "issue" : "8", "issued" : { "date-parts" : [ [ "2008" ] ] }, "page" : "1172-1176", "title" : "Cognition and health literacy in patients with hypertension", "type" : "article-journal", "volume" : "23" }, "uris" : [ "http://www.mendeley.com/documents/?uuid=ade94de5-c068-4024-a7fb-a8e8ede8b1a9" ] }, { "id" : "ITEM-2", "itemData" : { "PMID" : "97077496", "abstract" : "This study examines the association between health literacy and adherence to low-salt diet practices among individuals with hypertension. Health literacy is the ability of individuals to understand and utilize health information. We surveyed 238 patients with hypertension from a primary care clinic in Charlotte, NC. We assessed health literacy and self-reported low-salt diet. Logistic regression was used to model the relationship between health literacy and low-salt diet adherence. Respondents were primarily female (67.3{%}) and black (80{%}). Black Americans were less likely to have adequate health literacy as compared to white Americans (21.8{%} vs. 55.8{%}). The study found no association between adequate health literacy and adherence to a low-salt diet (OR = 1.06, 95{%} CI: 0.36-3.10) after adjusting for confounders. This study addresses the conflicting findings for health literacy in two related areas: chronic illness self-care, and nutrition/diet skills. Additional research is warranted among black Americans given their increased risk of hypertension, low rates of diet adherence and previous findings of positive associations between health literacy and nutrition skills. [ABSTRACT FROM AUTHOR] Copyright of Journal of Health Disparities Research {&amp;} Practice is the property of Michelle Chino, Ph.D.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"Hutchison", "given" : "Jenny", "non-dropping-particle" : "", "parse-names" : false, "suffix" : "" }, { "dropping-particle" : "", "family" : "Warren-Findlow", "given" : "Jan", "non-dropping-particle" : "", "parse-names" : false, "suffix" : "" }, { "dropping-particle" : "", "family" : "Dulin", "given" : "Michael", "non-dropping-particle" : "", "parse-names" : false, "suffix" : "" }, { "dropping-particle" : "", "family" : "Tapp", "given" : "Hazel", "non-dropping-particle" : "", "parse-names" : false, "suffix" : "" }, { "dropping-particle" : "", "family" : "Kuhn", "given" : "Lindsay", "non-dropping-particle" : "", "parse-names" : false, "suffix" : "" } ], "container-title" : "Journal of Health Disparities Research {&amp;} Practice", "id" : "ITEM-2", "issue" : "2", "issued" : { "date-parts" : [ [ "2014" ] ] }, "page" : "109-126", "title" : "The Association Between Health Literacy and Diet Adherence Among Primary Care Patients with Hypertension", "type" : "article-journal", "volume" : "7" }, "uris" : [ "http://www.mendeley.com/documents/?uuid=208a3b61-8078-49b9-b588-401a2aa3cdcc" ] } ], "mendeley" : { "formattedCitation" : "(Hutchison et al., 2014; Levinthal et al., 2008)", "plainTextFormattedCitation" : "(Hutchison et al., 2014; Levinthal et al., 2008)", "previouslyFormattedCitation" : "(Hutchison et al., 2014; Levinthal et al., 2008)"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(Hutchison et al., 2014; Levinthal et al., 2008)</w:t>
      </w:r>
      <w:r w:rsidRPr="002F2F11">
        <w:rPr>
          <w:rFonts w:eastAsia="Calibri"/>
          <w:szCs w:val="24"/>
        </w:rPr>
        <w:fldChar w:fldCharType="end"/>
      </w:r>
      <w:r w:rsidRPr="002F2F11">
        <w:rPr>
          <w:rFonts w:eastAsia="Calibri"/>
          <w:szCs w:val="24"/>
        </w:rPr>
        <w:t xml:space="preserve"> ve yaşlılarda </w:t>
      </w:r>
      <w:r w:rsidRPr="002F2F11">
        <w:rPr>
          <w:rFonts w:eastAsia="Calibri"/>
          <w:szCs w:val="24"/>
        </w:rPr>
        <w:fldChar w:fldCharType="begin" w:fldLock="1"/>
      </w:r>
      <w:r w:rsidRPr="002F2F11">
        <w:rPr>
          <w:rFonts w:eastAsia="Calibri"/>
          <w:szCs w:val="24"/>
        </w:rPr>
        <w:instrText>ADDIN CSL_CITATION { "citationItems" : [ { "id" : "ITEM-1", "itemData" : { "DOI" : "10.1097/MBP.0b013e32834af7ba", "ISBN" : "1473-5725 (Electronic)\\r1359-5237 (Linking)", "ISSN" : "13595237", "PMID" : "21857504", "abstract" : "BACKGROUND: With the growth in the popularity of the Internet, individuals' skills in finding and applying information about health issues [health literacy (HL)] are affecting their health behaviors. This study aimed to examine functional HL (FHL), critical HL (CHL), and hypertension knowledge (HK) among middle-aged Japanese adults. In addition, to measure health outcomes, we examined the relationship between HL, HK, and blood pressure (BP) level.\\n\\nMETHODS: The study included middle-aged participants who received an annual health check-up at an urban clinic in Japan. FHL, CHL, and HK were assessed using structured questionnaires. In addition, BP was obtained from the electronic medical record.\\n\\nRESULTS: Participants included 139 women and 181 men with a mean age of 54.4 years (standard deviation = 0.69). Individuals with lower reading comprehension scores in FHL were more likely to have a history of hypertension (P = 0.003) and diabetes mellitus (P = 0.02). Individuals with lower CHL had significantly higher rates of current smoking (P = 0.03) and men with lower CHL had a significantly higher waist circumference (P = 0.03). There was a significant relationship between sex and HK (P = 0.03). Systolic BP in women with higher HL and HK was significantly lower than in men with higher FHL (P &lt; 0.001), CHL (P = 0.01), and HK (P = 0.001).\\n\\nCONCLUSION: Lower HL and HK were associated with a poor health status and BP level in middle-aged participants. Further research is needed to examine the role of health management in improving outcomes and to address disparities between individuals with higher and lower HL.", "author" : [ { "dropping-particle" : "", "family" : "Shibuya", "given" : "Akiko", "non-dropping-particle" : "", "parse-names" : false, "suffix" : "" }, { "dropping-particle" : "", "family" : "Inoue", "given" : "Ryusuke", "non-dropping-particle" : "", "parse-names" : false, "suffix" : "" }, { "dropping-particle" : "", "family" : "Ohkubo", "given" : "Takayoshi", "non-dropping-particle" : "", "parse-names" : false, "suffix" : "" }, { "dropping-particle" : "", "family" : "Takeda", "given" : "Yumiko", "non-dropping-particle" : "", "parse-names" : false, "suffix" : "" }, { "dropping-particle" : "", "family" : "Teshima", "given" : "Takeo", "non-dropping-particle" : "", "parse-names" : false, "suffix" : "" }, { "dropping-particle" : "", "family" : "Imai", "given" : "Yutaka", "non-dropping-particle" : "", "parse-names" : false, "suffix" : "" }, { "dropping-particle" : "", "family" : "Kondo", "given" : "Yoshiaki", "non-dropping-particle" : "", "parse-names" : false, "suffix" : "" } ], "container-title" : "Blood Pressure Monitoring", "id" : "ITEM-1", "issue" : "5", "issued" : { "date-parts" : [ [ "2011" ] ] }, "page" : "224-230", "title" : "The relation between health literacy, hypertension knowledge, and blood pressure among middle-aged Japanese adults", "type" : "article-journal", "volume" : "16" }, "uris" : [ "http://www.mendeley.com/documents/?uuid=cfa1e57f-5b81-480a-8cb3-73aa6acb996e" ] }, { "id" : "ITEM-2", "itemData" : { "DOI" : "10.11604/pamj.2017.27.190.11682", "ISSN" : "19378688", "PMID" : "28904715", "abstract" : "INTRODUCTION Hypertension is highly prevalent among the elderly. Its awareness has a direct influence on control through drug adherence. Earlier studies have shown that awareness of hypertension is low among sub-Saharan African populations but only a few studies have looked at the prevalence and awareness of hypertension among the elderly. METHODS The Ibadan Study of Ageing is a longitudinal cohort study of the mental and physical health status as well as the functioning of elderly persons residing in the Yoruba-speaking areas of Nigeria. Study was conducted in multiple waves from 2003/2004 to 2009. This report is based on the sample studied in 2007 (N = 1469). Respondents, aged \u2265 65 years, were assessed for the presence of hypertension, its awareness, receipt of and adherence to medication for the condition, and effectiveness of treatment on the control of blood pressure. Blood pressure was measured with the use of digital monitors (Omron MS - 2 Basic Model). Awareness of the diagnosis of hypertension was ascertained by self-reports. We explored social, economic, demographic and clinical correlates of the presence of hypertension, its awareness and control using multiple logistic regression analyses. RESULTS The sample was composed of 809 (55.1%) females and 666 (44.9%) males. The mean age of the participants was 76.9 \u00b1 8.4 years. Hypertension (defined as previous diagnosis by a health provider or a measured blood pressure higher than or equal to 140/90 mm Hg) was recorded in 973 (62.2%) participants, with females having a prevalence of 61.4% and males that of 70.1%. Other than female gender, residing in urban/semi urban areas and being overweight or obesity were associated with the occurrence of hypertension. Among those assessed to have hypertension, 78% were not previously aware of its presence. Factors independently associated with lack of awareness of hypertension included low socioeconomic class (OR 8.21, 95% CI 3.72-18.11, P &lt; 0.001), and BMI &gt;25kg/m2 (OR 3.11, 95% CI 1.36-7.09, P &lt; 0.009). Among those who were aware of the presence of hypertension and were on treatment, 77.3% still had uncontrolled hypertension. Only obesity or overweight (OR 5.56, 95% CI 1.35 - 22.83, P &lt; 0.016) was independently associated with poor blood pressure control. CONCLUSION The prevalence of hypertension among elderly Nigerians is high and those affected are often not aware of having the condition. Only a minority of those who receive treatment for the condition hav\u2026", "author" : [ { "dropping-particle" : "", "family" : "Raji", "given" : "Yemi Raheem", "non-dropping-particle" : "", "parse-names" : false, "suffix" : "" }, { "dropping-particle" : "", "family" : "Abiona", "given" : "Taiwo", "non-dropping-particle" : "", "parse-names" : false, "suffix" : "" }, { "dropping-particle" : "", "family" : "Gureje", "given" : "Oye", "non-dropping-particle" : "", "parse-names" : false, "suffix" : "" } ], "container-title" : "The Pan African medical journal", "id" : "ITEM-2", "issue" : "190", "issued" : { "date-parts" : [ [ "2017" ] ] }, "page" : "1-14", "title" : "Awareness of hypertension and its impact on blood pressure control among elderly nigerians: report from the Ibadan study of aging", "type" : "article-journal", "volume" : "27" }, "uris" : [ "http://www.mendeley.com/documents/?uuid=4fe02abc-5657-45d0-8eec-377acc294989" ] } ], "mendeley" : { "formattedCitation" : "(Raji et al., 2017; Shibuya et al., 2011)", "plainTextFormattedCitation" : "(Raji et al., 2017; Shibuya et al., 2011)", "previouslyFormattedCitation" : "(Raji et al., 2017; Shibuya et al., 2011)"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(Raji et al., 2017; Shibuya et al., 2011)</w:t>
      </w:r>
      <w:r w:rsidRPr="002F2F11">
        <w:rPr>
          <w:rFonts w:eastAsia="Calibri"/>
          <w:szCs w:val="24"/>
        </w:rPr>
        <w:fldChar w:fldCharType="end"/>
      </w:r>
      <w:r w:rsidRPr="002F2F11">
        <w:rPr>
          <w:rFonts w:eastAsia="Calibri"/>
          <w:szCs w:val="24"/>
        </w:rPr>
        <w:t xml:space="preserve"> sağlık okuryazarlık düzeyi daha düşüktür.  Sağlık okuryazarlık düzeyi, ilaç uyumu ile sağlıkla ilgili yaşam kalitesini etkilemektedir </w:t>
      </w:r>
      <w:r w:rsidRPr="002F2F11">
        <w:rPr>
          <w:rFonts w:eastAsia="Calibri"/>
          <w:szCs w:val="24"/>
        </w:rPr>
        <w:fldChar w:fldCharType="begin" w:fldLock="1"/>
      </w:r>
      <w:r w:rsidRPr="002F2F11">
        <w:rPr>
          <w:rFonts w:eastAsia="Calibri"/>
          <w:szCs w:val="24"/>
        </w:rPr>
        <w:instrText>ADDIN CSL_CITATION { "citationItems" : [ { "id" : "ITEM-1", "itemData" : { "DOI" : "10.19082/5712", "ISBN" : "2425262830", "ISSN" : "2008-5842", "PMID" : "29403610", "abstract" : "Background and Objective Hypertension is considered an important public health problem in developed and developing countries. This disease is closely associated with the quality of life of patients, and it seems that health literacy plays a role in this regard. Due to lack of information on the role of health literacy on the quality of life in patients with hypertension, this study has aimed to determine the correlation between health literacy and health-related quality of life in patients with hypertension. Methods This study is cross-sectional. The sample consisted of 400 patients with hypertension who were enrolled if available. To collect data, a demographic questionnaire (SF-36), Short Form Health Survey, and Health Literacy for Iranian Adults (HELIA) Inventory were used. Data were analyzed using SPSS software version 21 for descriptive and inferential statistics (e.g., mean, standard deviation, t-test, and Pearson correlation coefficient). Results The mean and standard deviation scores of health literacy and health-related quality of life were, respectively, 68.66 (\u00b113.56) and 52.94 (\u00b115.20). There was positive and significant correlation between health literacy and health-related quality of life (p&lt;0.01, r=0.30). Conclusion According to research findings, there was a significant positive correlation between health literacy and health-related quality of life. Given the importance of health literacy in the quality of life in patients with hypertension, it seems essential that nursing officials and policymakers take steps to promote patients' health and quality of life by using training programs appropriate for the patients' health literacy level.", "author" : [ { "dropping-particle" : "", "family" : "Naimi", "given" : "Ahmad Johari", "non-dropping-particle" : "", "parse-names" : false, "suffix" : "" }, { "dropping-particle" : "", "family" : "Naderiravesh", "given" : "Nadereh", "non-dropping-particle" : "", "parse-names" : false, "suffix" : "" }, { "dropping-particle" : "", "family" : "Bayat", "given" : "Zahra Safavi", "non-dropping-particle" : "", "parse-names" : false, "suffix" : "" }, { "dropping-particle" : "", "family" : "Shakeri", "given" : "Nezhat", "non-dropping-particle" : "", "parse-names" : false, "suffix" : "" }, { "dropping-particle" : "", "family" : "Matbouei", "given" : "Mahsa", "non-dropping-particle" : "", "parse-names" : false, "suffix" : "" } ], "container-title" : "Electronic physician", "id" : "ITEM-1", "issue" : "11", "issued" : { "date-parts" : [ [ "2017" ] ] }, "page" : "5712-5720", "title" : "Correlation between health literacy and health-related quality of life in patients with hypertension, in Tehran, Iran, 2015-2016.", "type" : "article-journal", "volume" : "9" }, "uris" : [ "http://www.mendeley.com/documents/?uuid=1df560b2-7b40-493b-8350-3b8220f51e47" ] }, { "id" : "ITEM-2", "itemData" : { "DOI" : "10.1007/s11739-017-1651-7", "ISSN" : "19709366", "PMID" : "28303441", "abstract" : "Low health literacy is associated with poor clinical outcomes. The relationship between literacy and blood pressure (BP) has been inconsistent. We investigated the determinants of health literacy and the potential relationship between health literacy and hypertension management. We conducted a retrospective cohort trial of 360 hypertensive patients. Scale measurements, physical examination, and laboratory tests were performed based on a standard protocol. To determine factors associated with health literacy, multiple logistic regression analysis was performed and the discriminatory power of the scale score for hypertension control was assessed by the area under the receiver operating curve. After adjusting for potential confounders, our findings show that the level of education, home blood pressure measurement, regular medication, and systolic blood pressure are significantly associated with health literacy. Moreover, patients with high health literacy have better hypertension control, a lower risk of ischemic cardiovascular disease (ICVD), lower brachial ankle pulse wave velocity values, and better health-related quality of life. In addition, our study also demonstrates that we can identify the health literacy level of hypertensive patients using the Chinese Health Literacy Scale for Hypertension. At a cut-off value of 13.5, we predict that patients will achieve long-term hypertension control. Adequate health literacy is a contributing factor to better blood pressure (BP) control and better perceived quality of life in hypertensive patients. Low health literacy increases the 10-year risk of ICVD and incidence of artery stiffness in hypertensive patients. Improving health literacy should be considered an important part of the management of hypertension.", "author" : [ { "dropping-particle" : "", "family" : "Shi", "given" : "Di", "non-dropping-particle" : "", "parse-names" : false, "suffix" : "" }, { "dropping-particle" : "", "family" : "Li", "given" : "Jiangbo", "non-dropping-particle" : "", "parse-names" : false, "suffix" : "" }, { "dropping-particle" : "", "family" : "Wang", "given" : "Yong", "non-dropping-particle" : "", "parse-names" : false, "suffix" : "" }, { "dropping-particle" : "", "family" : "Wang", "given" : "Si", "non-dropping-particle" : "", "parse-names" : false, "suffix" : "" }, { "dropping-particle" : "", "family" : "Liu", "given" : "Kai", "non-dropping-particle" : "", "parse-names" : false, "suffix" : "" }, { "dropping-particle" : "", "family" : "Shi", "given" : "Rufeng", "non-dropping-particle" : "", "parse-names" : false, "suffix" : "" }, { "dropping-particle" : "", "family" : "Zhang", "given" : "Qiang", "non-dropping-particle" : "", "parse-names" : false, "suffix" : "" }, { "dropping-particle" : "", "family" : "Chen", "given" : "Xiaoping", "non-dropping-particle" : "", "parse-names" : false, "suffix" : "" } ], "container-title" : "Internal and Emergency Medicine", "id" : "ITEM-2", "issue" : "6", "issued" : { "date-parts" : [ [ "2017" ] ] }, "page" : "765-776", "publisher" : "Springer International Publishing", "title" : "Association between health literacy and hypertension management in a Chinese community: a retrospective cohort study", "type" : "article-journal", "volume" : "12" }, "uris" : [ "http://www.mendeley.com/documents/?uuid=0da948f7-8682-4cc0-a694-0dbdeb604fc3" ] }, { "id" : "ITEM-3", "itemData" : { "DOI" : "10.1111/opn.12196", "ISBN" : "1748-3743(Electronic),1748-3735(Print)", "ISSN" : "17483743", "PMID" : "29665241", "abstract" : "AIM AND OBJECTIVE This study investigated the effects of medication adherence and health literacy on health-related quality of life in vulnerable older people with hypertension. BACKGROUND Health literacy is particularly critical for providing accurate information regarding correct medication intake to improve medication adherence. Additionally, health-related quality of life is directly related to impairment from chronic disease. DESIGN A descriptive, cross-sectional study design was used. The participants were 160 low-income older people with hypertension registered in 16 public health centres in Busan, South Korea. They had received \"visiting nursing services\" for at least 6\u00a0months until the latest date and had belonged to the priority group of visiting nursing services. METHODS The Morisky Medication Adherence Scale, the Newest Vital Signs and EuroQol-5 Dimensions were used to assess medication adherence, health literacy and health-related quality of life, respectively. RESULTS Medication adherence and health literacy were significantly associated with health-related quality of life in vulnerable older people with hypertension, although exercise and subjective health were more significant factors affecting health-related quality of life than medical adherence and health literacy. Level of education, monthly income and employment status were not associated with health-related quality of life. CONCLUSIONS To effectively promote health-related quality of life in this population, medication adherence and health literacy of patients should be considered when developing health interventions, including subjective health and exercise. IMPLICATIONS FOR PRACTICE To effectively promote health-related quality of life in vulnerable older people, medication adherence and health literacy of patients should be assessed, and patient-centred intervention strategies that consider their individual differences should be developed.", "author" : [ { "dropping-particle" : "", "family" : "Park", "given" : "Nam Hee", "non-dropping-particle" : "", "parse-names" : false, "suffix" : "" }, { "dropping-particle" : "", "family" : "Song", "given" : "Mi Sook", "non-dropping-particle" : "", "parse-names" : false, "suffix" : "" }, { "dropping-particle" : "", "family" : "Shin", "given" : "So Young", "non-dropping-particle" : "", "parse-names" : false, "suffix" : "" }, { "dropping-particle" : "", "family" : "Jeong", "given" : "Ji hye", "non-dropping-particle" : "", "parse-names" : false, "suffix" : "" }, { "dropping-particle" : "", "family" : "Lee", "given" : "Hyo Young", "non-dropping-particle" : "", "parse-names" : false, "suffix" : "" } ], "container-title" : "International Journal of Older People Nursing", "id" : "ITEM-3", "issue" : "3", "issued" : { "date-parts" : [ [ "2018" ] ] }, "page" : "1-10", "title" : "The effects of medication adherence and health literacy on health-related quality of life in older people with hypertension", "type" : "article-journal", "volume" : "13" }, "uris" : [ "http://www.mendeley.com/documents/?uuid=0dbc8c12-45ba-4f96-8eca-7fcfeeef1b80" ] } ], "mendeley" : { "formattedCitation" : "(Naimi et al., 2017; Park et al., 2018; Shi et al., 2017)", "plainTextFormattedCitation" : "(Naimi et al., 2017; Park et al., 2018; Shi et al., 2017)", "previouslyFormattedCitation" : "(Naimi et al., 2017; Park et al., 2018; Shi et al., 2017)"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(Naimi et al., 2017; Park et al., 2018; Shi et al., 2017)</w:t>
      </w:r>
      <w:r w:rsidRPr="002F2F11">
        <w:rPr>
          <w:rFonts w:eastAsia="Calibri"/>
          <w:szCs w:val="24"/>
        </w:rPr>
        <w:fldChar w:fldCharType="end"/>
      </w:r>
      <w:r>
        <w:rPr>
          <w:rFonts w:eastAsia="Calibri"/>
          <w:szCs w:val="24"/>
        </w:rPr>
        <w:t xml:space="preserve">.  </w:t>
      </w:r>
      <w:r w:rsidRPr="002F2F11">
        <w:rPr>
          <w:rFonts w:eastAsia="Calibri"/>
          <w:szCs w:val="24"/>
        </w:rPr>
        <w:t xml:space="preserve">Sadece bir çalışmada sağlık okuryazarlığı, kan basıncı ile sağlık hizmetleri ilişkisinin araştırıldığı görülmüştür ve bu çalışmada I. basamağa başvuranlar arasında sağlık okuryazarlık düzeyi, üniversiteye başvuranlardan daha düşük saptanmıştır Yetersiz düzeyde sağlık okuryazarlığı olanlarda hipertansiyon kontrolünün daha kötü </w:t>
      </w:r>
      <w:r w:rsidRPr="002F2F11">
        <w:rPr>
          <w:rFonts w:eastAsia="Calibri"/>
          <w:szCs w:val="24"/>
        </w:rPr>
        <w:fldChar w:fldCharType="begin" w:fldLock="1"/>
      </w:r>
      <w:r w:rsidRPr="002F2F11">
        <w:rPr>
          <w:rFonts w:eastAsia="Calibri"/>
          <w:szCs w:val="24"/>
        </w:rPr>
        <w:instrText>ADDIN CSL_CITATION { "citationItems" : [ { "id" : "ITEM-1", "itemData" : { "DOI" : "10.1186/1472-6963-8-219", "ISSN" : "14726963", "PMID" : "18947408", "abstract" : "BACKGROUND Limited literacy is common among patients with chronic conditions and is associated with poor health outcomes. We sought to determine the association between literacy and blood pressure in primary care patients with hypertension and to determine if this relationship was consistent across distinct systems of healthcare delivery. METHODS We conducted a cross-sectional study of 1224 patients with hypertension utilizing baseline data from two separate, but similar randomized controlled trials. Patients were enrolled from primary care clinics in the Veterans Affairs healthcare system (VAHS) and a university healthcare system (UHS) in Durham, North Carolina. We compared the association between literacy and the primary outcome systolic blood pressure (SBP) and secondary outcomes of diastolic blood pressure (DBP) and blood pressure (BP) control across the two different healthcare systems. RESULTS Patients who read below a 9th grade level comprised 38.4% of patients in the VAHS and 27.5% of the patients in the UHS. There was a significant interaction between literacy and healthcare system for SBP. In adjusted analyses, SBP for patients with limited literacy was 1.2 mmHg lower than patients with adequate literacy in the VAHS (95% CI, -4.8 to 2.3), but 6.1 mmHg higher than patients with adequate literacy in the UHS (95% CI, 2.1 to 10.1); (p = 0.003 for test of interaction). This literacy by healthcare system interaction was not statistically significant for DBP or BP control. CONCLUSION The relationship between patient literacy and systolic blood pressure varied significantly across different models of healthcare delivery. The attributes of the healthcare delivery system may influence the relationship between literacy and health outcomes.", "author" : [ { "dropping-particle" : "", "family" : "Powers", "given" : "Benjamin J.", "non-dropping-particle" : "", "parse-names" : false, "suffix" : "" }, { "dropping-particle" : "", "family" : "Olsen", "given" : "Maren K.", "non-dropping-particle" : "", "parse-names" : false, "suffix" : "" }, { "dropping-particle" : "", "family" : "Oddone", "given" : "Eugene Z.", "non-dropping-particle" : "", "parse-names" : false, "suffix" : "" }, { "dropping-particle" : "", "family" : "Thorpe", "given" : "Carolyn T.", "non-dropping-particle" : "", "parse-names" : false, "suffix" : "" }, { "dropping-particle" : "", "family" : "Bosworth", "given" : "Hayden B.", "non-dropping-particle" : "", "parse-names" : false, "suffix" : "" } ], "container-title" : "BMC Health Services Research", "id" : "ITEM-1", "issued" : { "date-parts" : [ [ "2008" ] ] }, "page" : "1-9", "title" : "Literacy and blood pressure - Do healthcare systems influence this relationship? A cross-sectional study", "type" : "article-journal", "volume" : "8" }, "uris" : [ "http://www.mendeley.com/documents/?uuid=9ec35ead-3d7f-4297-8a1f-def06421277e" ] }, { "id" : "ITEM-2", "itemData" : { "DOI" : "10.1007/s11606-013-2466-5", "ISBN" : "0884-8734", "ISSN" : "08848734", "PMID" : "23690237", "abstract" : "BACKGROUND: Low health literacy (HL) is associated with poor healthcare outcomes; mechanisms for these associations remain unclear.\\n\\nOBJECTIVE: To elucidate how HL influences patients' interest in participating in healthcare, medical visit communication, and patient reported visit outcomes.\\n\\nDESIGN, SETTING, AND PATIENTS: Cross-sectional study of enrollment data from a randomized controlled trial of interventions to improve patient adherence to hypertension treatments. Participants were 41 primary care physicians and 275 of their patients. Prior to the enrollment visit, physicians received a minimal intervention or communication skills training and patients received a minimal intervention or a pre-visit coaching session. This resulted in four intervention groups (minimal patient/minimal physician; minimal patient/intensive physician; intensive patient/minimal physician; and intensive patient/intensive physician).\\n\\nMEASUREMENTS: Rapid Estimate of Adult Literacy in Medicine; patients' desire for involvement in decision making; communication behaviors; patient ratings of participatory decision making (PDM), trust, and satisfaction.\\n\\nRESULTS: A lower percentage of patients with low versus adequate literacy had controlled blood pressure. Both groups were similarly interested in participating in medical decision making. Communication behaviors did not differ based on HL except for medical question asking by patients, which was lower among low literacy patients. This was particularly true in the intensive patient /intensive physician group (3.85 vs. 6.42 questions; p = 0.002). Overall, ratings of care didn't differ based on HL; however, in analyses stratified by intervention assignment, patients with low literacy in minimal physician intervention groups reported significantly lower PDM scores than adequate literacy patients.\\n\\nCONCLUSIONS: Patients with low and adequate literacy were similarly interested in participating in medical decision making. However, low literacy patients were less likely to experience PDM in their visits. Low literacy patients in the intensive physician intervention groups asked fewer medical questions. Patients with low literacy may be less able to respond to physicians' use of patient-centered communication approaches than adequate literacy patients.", "author" : [ { "dropping-particle" : "", "family" : "Aboumatar", "given" : "Hanan J.", "non-dropping-particle" : "", "parse-names" : false, "suffix" : "" }, { "dropping-particle" : "", "family" : "Carson", "given" : "Kathryn A.", "non-dropping-particle" : "", "parse-names" : false, "suffix" : "" }, { "dropping-particle" : "", "family" : "Beach", "given" : "Mary Catherine", "non-dropping-particle" : "", "parse-names" : false, "suffix" : "" }, { "dropping-particle" : "", "family" : "Roter", "given" : "Debra L.", "non-dropping-particle" : "", "parse-names" : false, "suffix" : "" }, { "dropping-particle" : "", "family" : "Cooper", "given" : "Lisa A.", "non-dropping-particle" : "", "parse-names" : false, "suffix" : "" } ], "container-title" : "Journal of General Internal Medicine", "id" : "ITEM-2", "issue" : "11", "issued" : { "date-parts" : [ [ "2013" ] ] }, "page" : "1469-1476", "title" : "The impact of health literacy on desire for participation in healthcare, medical visit communication, and patient reported outcomes among patients with hypertension", "type" : "article-journal", "volume" : "28" }, "uris" : [ "http://www.mendeley.com/documents/?uuid=f0804c19-230a-4099-bcc4-e8238d4fac4f" ] } ], "mendeley" : { "formattedCitation" : "(Aboumatar, Carson, Beach, Roter, &amp; Cooper, 2013; Powers et al., 2008)", "plainTextFormattedCitation" : "(Aboumatar, Carson, Beach, Roter, &amp; Cooper, 2013; Powers et al., 2008)", "previouslyFormattedCitation" : "(Aboumatar, Carson, Beach, Roter, &amp; Cooper, 2013; Powers et al., 2008)"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(Aboumatar, Carson, Beach, Roter, &amp; Cooper, 2013; Powers et al., 2008)</w:t>
      </w:r>
      <w:r w:rsidRPr="002F2F11">
        <w:rPr>
          <w:rFonts w:eastAsia="Calibri"/>
          <w:szCs w:val="24"/>
        </w:rPr>
        <w:fldChar w:fldCharType="end"/>
      </w:r>
      <w:r w:rsidRPr="002F2F11">
        <w:rPr>
          <w:rFonts w:eastAsia="Calibri"/>
          <w:szCs w:val="24"/>
        </w:rPr>
        <w:t xml:space="preserve">, yeterli sağlık okuryazarlığa sahip olanlarda daha iyi olduğunu </w:t>
      </w:r>
      <w:r w:rsidRPr="002F2F11">
        <w:rPr>
          <w:rFonts w:eastAsia="Calibri"/>
          <w:szCs w:val="24"/>
        </w:rPr>
        <w:fldChar w:fldCharType="begin" w:fldLock="1"/>
      </w:r>
      <w:r w:rsidRPr="002F2F11">
        <w:rPr>
          <w:rFonts w:eastAsia="Calibri"/>
          <w:szCs w:val="24"/>
        </w:rPr>
        <w:instrText>ADDIN CSL_CITATION { "citationItems" : [ { "id" : "ITEM-1", "itemData" : { "DOI" : "10.1007/s11739-017-1651-7", "ISSN" : "19709366", "PMID" : "28303441", "abstract" : "Low health literacy is associated with poor clinical outcomes. The relationship between literacy and blood pressure (BP) has been inconsistent. We investigated the determinants of health literacy and the potential relationship between health literacy and hypertension management. We conducted a retrospective cohort trial of 360 hypertensive patients. Scale measurements, physical examination, and laboratory tests were performed based on a standard protocol. To determine factors associated with health literacy, multiple logistic regression analysis was performed and the discriminatory power of the scale score for hypertension control was assessed by the area under the receiver operating curve. After adjusting for potential confounders, our findings show that the level of education, home blood pressure measurement, regular medication, and systolic blood pressure are significantly associated with health literacy. Moreover, patients with high health literacy have better hypertension control, a lower risk of ischemic cardiovascular disease (ICVD), lower brachial ankle pulse wave velocity values, and better health-related quality of life. In addition, our study also demonstrates that we can identify the health literacy level of hypertensive patients using the Chinese Health Literacy Scale for Hypertension. At a cut-off value of 13.5, we predict that patients will achieve long-term hypertension control. Adequate health literacy is a contributing factor to better blood pressure (BP) control and better perceived quality of life in hypertensive patients. Low health literacy increases the 10-year risk of ICVD and incidence of artery stiffness in hypertensive patients. Improving health literacy should be considered an important part of the management of hypertension.", "author" : [ { "dropping-particle" : "", "family" : "Shi", "given" : "Di", "non-dropping-particle" : "", "parse-names" : false, "suffix" : "" }, { "dropping-particle" : "", "family" : "Li", "given" : "Jiangbo", "non-dropping-particle" : "", "parse-names" : false, "suffix" : "" }, { "dropping-particle" : "", "family" : "Wang", "given" : "Yong", "non-dropping-particle" : "", "parse-names" : false, "suffix" : "" }, { "dropping-particle" : "", "family" : "Wang", "given" : "Si", "non-dropping-particle" : "", "parse-names" : false, "suffix" : "" }, { "dropping-particle" : "", "family" : "Liu", "given" : "Kai", "non-dropping-particle" : "", "parse-names" : false, "suffix" : "" }, { "dropping-particle" : "", "family" : "Shi", "given" : "Rufeng", "non-dropping-particle" : "", "parse-names" : false, "suffix" : "" }, { "dropping-particle" : "", "family" : "Zhang", "given" : "Qiang", "non-dropping-particle" : "", "parse-names" : false, "suffix" : "" }, { "dropping-particle" : "", "family" : "Chen", "given" : "Xiaoping", "non-dropping-particle" : "", "parse-names" : false, "suffix" : "" } ], "container-title" : "Internal and Emergency Medicine", "id" : "ITEM-1", "issue" : "6", "issued" : { "date-parts" : [ [ "2017" ] ] }, "page" : "765-776", "publisher" : "Springer International Publishing", "title" : "Association between health literacy and hypertension management in a Chinese community: a retrospective cohort study", "type" : "article-journal", "volume" : "12" }, "uris" : [ "http://www.mendeley.com/documents/?uuid=0da948f7-8682-4cc0-a694-0dbdeb604fc3" ] } ], "mendeley" : { "formattedCitation" : "(Shi et al., 2017)", "plainTextFormattedCitation" : "(Shi et al., 2017)", "previouslyFormattedCitation" : "(Shi et al., 2017)"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(Shi et al., 2017)</w:t>
      </w:r>
      <w:r w:rsidRPr="002F2F11">
        <w:rPr>
          <w:rFonts w:eastAsia="Calibri"/>
          <w:szCs w:val="24"/>
        </w:rPr>
        <w:fldChar w:fldCharType="end"/>
      </w:r>
      <w:r w:rsidRPr="002F2F11">
        <w:rPr>
          <w:rFonts w:eastAsia="Calibri"/>
          <w:szCs w:val="24"/>
        </w:rPr>
        <w:t xml:space="preserve"> gösteren çalışmalar </w:t>
      </w:r>
      <w:r w:rsidRPr="002F2F11">
        <w:rPr>
          <w:rFonts w:eastAsia="Calibri"/>
          <w:szCs w:val="24"/>
        </w:rPr>
        <w:fldChar w:fldCharType="begin" w:fldLock="1"/>
      </w:r>
      <w:r w:rsidRPr="002F2F11">
        <w:rPr>
          <w:rFonts w:eastAsia="Calibri"/>
          <w:szCs w:val="24"/>
        </w:rPr>
        <w:instrText>ADDIN CSL_CITATION { "citationItems" : [ { "id" : "ITEM-1", "itemData" : { "DOI" : "10.1016/j.pec.2009.04.006", "ISBN" : "1873-5134 (Electronic)\\r0738-3991 (Linking)", "ISSN" : "07383991", "PMID" : "19442477", "abstract" : "Objective: To determine whether literacy mediates the association between education, hypertension knowledge and control. Methods: In-person interviews with a literacy assessment and chart review were conducted with 330 hypertensive patients from six primary care safety net clinics. Mediational analysis was used to test the role of literacy skills in explaining the relationship between education and hypertension knowledge and control. Results: In multivariate analyses that did not make an adjustment for the other variable, both lower educational attainment and more limited literacy were found to be significant independent predictors of poorer hypertension knowledge and control. When literacy was entered into models that included education only, the association between education and knowledge was fully attenuated and no longer significant (Grades 1-8: \u03b2 = -0.30, 95% CI = -1.44-0.83), while the relationship between education and blood pressure control was only minimally reduced (AOR 2.46, 95% CI 2.10-2.88). More limited literacy skills also was associated with hypertension control in the final model (AOR 2.68, 95% CI 1.54-4.70). Conclusion: Patient literacy mediated the relationship between education and hypertension knowledge. Literacy was a significant independent predictor of blood pressure control, but only minimally explained the relationship between education and blood pressure. Practice implications: Health literacy is critical to the design of educational tools to improve knowledge acquisition. However, in order to impact health outcome, future health literacy studies should also address other psychosocial factors that impact motivation and capability to manage disease. \u00a9 2009 Elsevier Ireland Ltd. All rights reserved.", "author" : [ { "dropping-particle" : "", "family" : "Pandit", "given" : "Anjali U.", "non-dropping-particle" : "", "parse-names" : false, "suffix" : "" }, { "dropping-particle" : "", "family" : "Tang", "given" : "Joyce W.", "non-dropping-particle" : "", "parse-names" : false, "suffix" : "" }, { "dropping-particle" : "", "family" : "Bailey", "given" : "Stacy Cooper", "non-dropping-particle" : "", "parse-names" : false, "suffix" : "" }, { "dropping-particle" : "", "family" : "Davis", "given" : "Terry C.", "non-dropping-particle" : "", "parse-names" : false, "suffix" : "" }, { "dropping-particle" : "V.", "family" : "Bocchini", "given" : "Mary", "non-dropping-particle" : "", "parse-names" : false, "suffix" : "" }, { "dropping-particle" : "", "family" : "Persell", "given" : "Stephen D.", "non-dropping-particle" : "", "parse-names" : false, "suffix" : "" }, { "dropping-particle" : "", "family" : "Federman", "given" : "Alex D.", "non-dropping-particle" : "", "parse-names" : false, "suffix" : "" }, { "dropping-particle" : "", "family" : "Wolf", "given" : "Michael S.", "non-dropping-particle" : "", "parse-names" : false, "suffix" : "" } ], "container-title" : "Patient Education and Counseling", "id" : "ITEM-1", "issue" : "3", "issued" : { "date-parts" : [ [ "2009" ] ] }, "page" : "381-385", "title" : "Education, literacy, and health: Mediating effects on hypertension knowledge and control", "type" : "article-journal", "volume" : "75" }, "uris" : [ "http://www.mendeley.com/documents/?uuid=572a2c38-505b-4aac-bac5-24880c0e8939" ] }, { "id" : "ITEM-2", "itemData" : { "DOI" : "10.1016/j.pec.2014.05.007", "ISBN" : "0738-3991", "ISSN" : "18735134", "PMID" : "24882088", "abstract" : "Objectives: To evaluate the association between low literacy and uncontrolled blood pressure (BP) and their associations with medication adherence. Methods: Cross-sectional study of 423 urban, primary care patients with hypertension and coronary disease. The relationship between low literacy (Rapid Estimate of Adult Literacy in Medicine. \u2264. 44) and uncontrolled BP (\u2265140/90. mmHg, \u2265130/80. mmHg for patients with diabetes) was evaluated by crude and adjusted logistic regression. Relationships with self-reported adherence and refill adherence were explored using adjusted linear and logistic regression. Results: Overall, 192 (45%) subjects had low literacy and 227 (52.9%) had uncontrolled BP. Adjusting for age, gender, race, employment, education, mental status, and self-reported adherence, low literacy was associated with uncontrolled BP (OR 1.75, 95% CI 1.06-2.87). Lower self-reported adherence was associated with uncontrolled BP; the relationship between refill adherence and uncontrolled BP was not statistically significant. Conclusion: Low literacy is independently associated with uncontrolled BP. Practice implications: Awareness of the relationships among patient literacy, BP control, and medication adherence may guide healthcare providers as they communicate with patients. \u00a9 2014 Elsevier Ireland Ltd.", "author" : [ { "dropping-particle" : "", "family" : "McNaughton", "given" : "Candace D.", "non-dropping-particle" : "", "parse-names" : false, "suffix" : "" }, { "dropping-particle" : "", "family" : "Jacobson", "given" : "Terry A.", "non-dropping-particle" : "", "parse-names" : false, "suffix" : "" }, { "dropping-particle" : "", "family" : "Kripalani", "given" : "Sunil", "non-dropping-particle" : "", "parse-names" : false, "suffix" : "" } ], "container-title" : "Patient Education and Counseling", "id" : "ITEM-2", "issue" : "2", "issued" : { "date-parts" : [ [ "2014" ] ] }, "page" : "165-170", "title" : "Low literacy is associated with uncontrolled blood pressure in primary care patients with hypertension and heart disease", "type" : "article-journal", "volume" : "96" }, "uris" : [ "http://www.mendeley.com/documents/?uuid=3aaac058-b805-4e7e-b2fd-769f7e20915d" ] } ], "mendeley" : { "formattedCitation" : "(McNaughton, Jacobson, &amp; Kripalani, 2014; Pandit et al., 2009)", "plainTextFormattedCitation" : "(McNaughton, Jacobson, &amp; Kripalani, 2014; Pandit et al., 2009)", "previouslyFormattedCitation" : "(McNaughton, Jacobson, &amp; Kripalani, 2014; Pandit et al., 2009)"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(McNaughton, Jacobson, &amp; Kripalani, 2014; Pandit et al., 2009)</w:t>
      </w:r>
      <w:r w:rsidRPr="002F2F11">
        <w:rPr>
          <w:rFonts w:eastAsia="Calibri"/>
          <w:szCs w:val="24"/>
        </w:rPr>
        <w:fldChar w:fldCharType="end"/>
      </w:r>
      <w:r w:rsidRPr="002F2F11">
        <w:rPr>
          <w:rFonts w:eastAsia="Calibri"/>
          <w:szCs w:val="24"/>
        </w:rPr>
        <w:t xml:space="preserve"> yanında sağlık okuryazarlık düzeyinin hipertansiyon kontrolünü etkilemediğini gösteren çalışmalar </w:t>
      </w:r>
      <w:r w:rsidRPr="002F2F11">
        <w:rPr>
          <w:rFonts w:eastAsia="Calibri"/>
          <w:szCs w:val="24"/>
        </w:rPr>
        <w:fldChar w:fldCharType="begin" w:fldLock="1"/>
      </w:r>
      <w:r w:rsidRPr="002F2F11">
        <w:rPr>
          <w:rFonts w:eastAsia="Calibri"/>
          <w:szCs w:val="24"/>
        </w:rPr>
        <w:instrText>ADDIN CSL_CITATION { "citationItems" : [ { "id" : "ITEM-1", "itemData" : { "DOI" : "10.3934/publichealth.2017.4.314", "ISBN" : "2327-8994 (Print)\r2327-8994 (Linking)", "ISSN" : "2327-8994", "PMID" : "29546220", "abstract" : "Objective: Health literacy plays a critical role in chronic disease self-management. This study aimed to determine the relation between health literacy levels, hypertension awareness and control among primary-secondary school teachers in Turkey. Materials and Methods: This descriptive and cross-sectional research was conducted among school teachers with the participation of 500 volunteer teachers of both genders. The response rate was 86.2%. To determine health literacy levels, the Newest Vital Sign Scale and Blood Pressure Concept Test were used. Results: The mean scores of all individuals were 2.12 +/- 1.82 over six points although this showed \"limited\" levels of health literacy. The mean scores obtained from the scale were 2.13 +/- 1.83 in non-hypertensives, while it was 2.06 +/- 1.77 in hypertensives. Nonetheless, disease knowledge and awareness were low in teachers. Adequate health literacy levels were low according to disease awareness and control. The measured health literacy levels of teachers didn't overlap with their own assessments about health literacy skills. Recommendations: Limited health literacy levels in educators gave an impression that our education system was poor in terms of health education programs.", "author" : [ { "dropping-particle" : "", "family" : "Yilmazel", "given" : "G\u00fclay", "non-dropping-particle" : "", "parse-names" : false, "suffix" : "" }, { "dropping-particle" : "", "family" : "\u00c7etinkaya", "given" : "Fevziye", "non-dropping-particle" : "", "parse-names" : false, "suffix" : "" } ], "container-title" : "AIMS Public Health", "id" : "ITEM-1", "issue" : "4", "issued" : { "date-parts" : [ [ "2017" ] ] }, "page" : "314-325", "title" : "Relation between Health Literacy Levels, Hypertension Awareness and Control among Primary-secondary School Teachers in Turkey", "type" : "article-journal", "volume" : "4" }, "uris" : [ "http://www.mendeley.com/documents/?uuid=1cbf097a-aa84-4790-b0a4-03d1354b95f8" ] }, { "id" : "ITEM-2", "itemData" : { "DOI" : "10.1016/j.ijcard.2013.08.041", "ISBN" : "1874-1754 (Electronic)\\r0167-5273 (Linking)", "ISSN" : "01675273", "PMID" : "23992931", "abstract" : "Individuals with adequate health literacy (HL) can understand their healthcare providers' explanations of health conditions and treatment options while those with low HL have been associated with adverse outcomes such as lack of disease knowledge, poor health status, and greater risk for hospitalization. Despite its importance in public health and healthcare, HL has not been sufficiently researched in patients with a specific disease, such as hypertension. The causes of poor management of hypertension are multi-faceted, and one of the factors is patients' lack of knowledge regarding hyperten-sion [1]. Patients with hypertension need to have adequate knowledge of their disease to manage their condition. They need to understand how to properly take prescribed medications and modify their lifestyle in order to achieve the target blood pressure (BP). The lack of understanding on hypertension can lead to poor adherence to medication regimens and, consequently, poor BP control [2]. This study aimed to identify the deficits and factors associated with hypertension knowledge and also to evaluate the association between HL and the knowledge and control of hypertension. A cross-sectional, interviewer-administered survey was performed at a government-funded primary care clinic. Before the survey was administered, the respondents' BP was measured in a sitting position. The survey consisted of a demographic questionnaire, a hypertension knowledge test, and a validated HL instrument, the Short Test of Functional Health Literacy in Adults, Singapore version (STOFHLA Singapore) [3]. The hypertension knowledge test was developed by adapting questions from previous studies [4\u20136]. For analysis purpose, patients were categorized into adequate and inadequate HL groups using a cut-off of 75% correct responses [3]. In addition, patients were categorized into two BP control groups: \" met the target BP \" (i.e., b140/90 mm Hg for hypertensive patients and b130/80 mm Hg for hypertensive patients with diabetes and chronic kidney disease) and \" did not meet the target BP \" . Independent t-test was used to examine the differences in hyperten-sion knowledge scores between the two HL groups and between the two BP control groups. Chi-squared test was performed to examine the association between HL and BP control. The factors that were significantly associated with the total knowledge scores in bivariate analysis were further analyzed using multiple linear regression analysis. All analy\u2026", "author" : [ { "dropping-particle" : "", "family" : "Ko", "given" : "Yu", "non-dropping-particle" : "", "parse-names" : false, "suffix" : "" }, { "dropping-particle" : "", "family" : "Balasubramanian", "given" : "Thurga Devi", "non-dropping-particle" : "", "parse-names" : false, "suffix" : "" }, { "dropping-particle" : "", "family" : "Wong", "given" : "Lilian", "non-dropping-particle" : "", "parse-names" : false, "suffix" : "" }, { "dropping-particle" : "", "family" : "Tan", "given" : "Mui Ling", "non-dropping-particle" : "", "parse-names" : false, "suffix" : "" }, { "dropping-particle" : "", "family" : "Lee", "given" : "Evonne", "non-dropping-particle" : "", "parse-names" : false, "suffix" : "" }, { "dropping-particle" : "", "family" : "Tang", "given" : "Wern Ee", "non-dropping-particle" : "", "parse-names" : false, "suffix" : "" }, { "dropping-particle" : "", "family" : "Chan", "given" : "Soo Chung", "non-dropping-particle" : "", "parse-names" : false, "suffix" : "" }, { "dropping-particle" : "", "family" : "Tan", "given" : "Audrey S.L.", "non-dropping-particle" : "", "parse-names" : false, "suffix" : "" }, { "dropping-particle" : "", "family" : "Toh", "given" : "Matthias Paul Han Sim", "non-dropping-particle" : "", "parse-names" : false, "suffix" : "" } ], "container-title" : "International Journal of Cardiology", "id" : "ITEM-2", "issue" : "4", "issued" : { "date-parts" : [ [ "2013" ] ] }, "page" : "167-168", "title" : "Health literacy and its association with disease knowledge and control in patients with hypertension in Singapore", "type" : "article-journal", "volume" : "168" }, "uris" : [ "http://www.mendeley.com/documents/?uuid=1164b423-6ba6-468b-8b22-ac74fd36a828" ] }, { "id" : "ITEM-3", "itemData" : { "DOI" : "10.1186/1472-6963-8-219", "ISSN" : "14726963", "PMID" : "18947408", "abstract" : "BACKGROUND Limited literacy is common among patients with chronic conditions and is associated with poor health outcomes. We sought to determine the association between literacy and blood pressure in primary care patients with hypertension and to determine if this relationship was consistent across distinct systems of healthcare delivery. METHODS We conducted a cross-sectional study of 1224 patients with hypertension utilizing baseline data from two separate, but similar randomized controlled trials. Patients were enrolled from primary care clinics in the Veterans Affairs healthcare system (VAHS) and a university healthcare system (UHS) in Durham, North Carolina. We compared the association between literacy and the primary outcome systolic blood pressure (SBP) and secondary outcomes of diastolic blood pressure (DBP) and blood pressure (BP) control across the two different healthcare systems. RESULTS Patients who read below a 9th grade level comprised 38.4% of patients in the VAHS and 27.5% of the patients in the UHS. There was a significant interaction between literacy and healthcare system for SBP. In adjusted analyses, SBP for patients with limited literacy was 1.2 mmHg lower than patients with adequate literacy in the VAHS (95% CI, -4.8 to 2.3), but 6.1 mmHg higher than patients with adequate literacy in the UHS (95% CI, 2.1 to 10.1); (p = 0.003 for test of interaction). This literacy by healthcare system interaction was not statistically significant for DBP or BP control. CONCLUSION The relationship between patient literacy and systolic blood pressure varied significantly across different models of healthcare delivery. The attributes of the healthcare delivery system may influence the relationship between literacy and health outcomes.", "author" : [ { "dropping-particle" : "", "family" : "Powers", "given" : "Benjamin J.", "non-dropping-particle" : "", "parse-names" : false, "suffix" : "" }, { "dropping-particle" : "", "family" : "Olsen", "given" : "Maren K.", "non-dropping-particle" : "", "parse-names" : false, "suffix" : "" }, { "dropping-particle" : "", "family" : "Oddone", "given" : "Eugene Z.", "non-dropping-particle" : "", "parse-names" : false, "suffix" : "" }, { "dropping-particle" : "", "family" : "Thorpe", "given" : "Carolyn T.", "non-dropping-particle" : "", "parse-names" : false, "suffix" : "" }, { "dropping-particle" : "", "family" : "Bosworth", "given" : "Hayden B.", "non-dropping-particle" : "", "parse-names" : false, "suffix" : "" } ], "container-title" : "BMC Health Services Research", "id" : "ITEM-3", "issued" : { "date-parts" : [ [ "2008" ] ] }, "page" : "1-9", "title" : "Literacy and blood pressure - Do healthcare systems influence this relationship? A cross-sectional study", "type" : "article-journal", "volume" : "8" }, "uris" : [ "http://www.mendeley.com/documents/?uuid=9ec35ead-3d7f-4297-8a1f-def06421277e" ] } ], "mendeley" : { "formattedCitation" : "(Ko et al., 2013; Powers et al., 2008; Yilmazel &amp; \u00c7etinkaya, 2017)", "plainTextFormattedCitation" : "(Ko et al., 2013; Powers et al., 2008; Yilmazel &amp; \u00c7etinkaya, 2017)", "previouslyFormattedCitation" : "(Ko et al., 2013; Powers et al., 2008; Yilmazel &amp; \u00c7etinkaya, 2017)"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(Ko et al., 2013; Powers et al., 2008; Yilmazel &amp; Çetinkaya, 2017)</w:t>
      </w:r>
      <w:r w:rsidRPr="002F2F11">
        <w:rPr>
          <w:rFonts w:eastAsia="Calibri"/>
          <w:szCs w:val="24"/>
        </w:rPr>
        <w:fldChar w:fldCharType="end"/>
      </w:r>
      <w:r w:rsidRPr="002F2F11">
        <w:rPr>
          <w:rFonts w:eastAsia="Calibri"/>
          <w:szCs w:val="24"/>
        </w:rPr>
        <w:t xml:space="preserve"> ve -beklenilenin aksine- yüksek sağlık okuryazarlığı olanlarda kan basıncının daha yüksek olduğunu gösteren bulgular da mevcuttur  </w:t>
      </w:r>
      <w:r w:rsidRPr="002F2F11">
        <w:rPr>
          <w:rFonts w:eastAsia="Calibri"/>
          <w:szCs w:val="24"/>
        </w:rPr>
        <w:fldChar w:fldCharType="begin" w:fldLock="1"/>
      </w:r>
      <w:r w:rsidRPr="002F2F11">
        <w:rPr>
          <w:rFonts w:eastAsia="Calibri"/>
          <w:szCs w:val="24"/>
        </w:rPr>
        <w:instrText>ADDIN CSL_CITATION { "citationItems" : [ { "id" : "ITEM-1", "itemData" : { "DOI" : "10.1080/10810730.2013.825663", "ISBN" : "1087-0415 (Electronic)\\r1081-0730 (Linking)", "ISSN" : "10810730", "PMID" : "24093351", "abstract" : "Health literacy impacts health outcomes. However, the relationship to blood pressure is inconsistent. This study aimed to determine whether health literacy, assessed by clinic staff, is associated with blood pressure among patients with hypertension. The design was a cross-sectional study of a large sample of primary care patient encounters in 3 academic medical center clinics in Nashville, Tennessee. Health literacy was assessed using the Brief Health Literacy Screen, with higher scores indicating higher health literacy. Blood pressure was extracted from the electronic health record. Using 23,483 encounters in 10,644 patients, the authors examined the association of health literacy with blood pressure in multivariable analyses, adjusting for age, gender, race, education, and clinic location. Independent of educational attainment, 3-point increases in health literacy scores were associated with 0.74 mmHg higher systolic blood pressure (95% CI [0.38, 1.09]) and 0.30 mmHg higher diastolic blood pressure (95% CI [0.08, 0.51]). No interaction between education and health literacy was observed (p = .91). In this large primary care population of patients with hypertension, higher health literacy, as screened in clinical practice, was associated with a small increase in blood pressures. Future research is needed to explore this unexpected finding.", "author" : [ { "dropping-particle" : "", "family" : "Willens", "given" : "David E.", "non-dropping-particle" : "", "parse-names" : false, "suffix" : "" }, { "dropping-particle" : "", "family" : "Kripalani", "given" : "Sunil", "non-dropping-particle" : "", "parse-names" : false, "suffix" : "" }, { "dropping-particle" : "", "family" : "Schildcrout", "given" : "Jonathan S.", "non-dropping-particle" : "", "parse-names" : false, "suffix" : "" }, { "dropping-particle" : "", "family" : "Cawthon", "given" : "Courtney", "non-dropping-particle" : "", "parse-names" : false, "suffix" : "" }, { "dropping-particle" : "", "family" : "Wallston", "given" : "Ken", "non-dropping-particle" : "", "parse-names" : false, "suffix" : "" }, { "dropping-particle" : "", "family" : "Mion", "given" : "Lorraine C.", "non-dropping-particle" : "", "parse-names" : false, "suffix" : "" }, { "dropping-particle" : "", "family" : "Davis", "given" : "Corinne", "non-dropping-particle" : "", "parse-names" : false, "suffix" : "" }, { "dropping-particle" : "", "family" : "Danciu", "given" : "Iona", "non-dropping-particle" : "", "parse-names" : false, "suffix" : "" }, { "dropping-particle" : "", "family" : "Rothman", "given" : "Russell L.", "non-dropping-particle" : "", "parse-names" : false, "suffix" : "" }, { "dropping-particle" : "", "family" : "Roumie", "given" : "Christianne L.", "non-dropping-particle" : "", "parse-names" : false, "suffix" : "" } ], "container-title" : "Journal of Health Communication", "id" : "ITEM-1", "issue" : "SUPPL. 1", "issued" : { "date-parts" : [ [ "2013" ] ] }, "page" : "129-142", "title" : "Association of brief health literacy screening and blood pressure in primary care", "type" : "article-journal", "volume" : "18" }, "uris" : [ "http://www.mendeley.com/documents/?uuid=02cc7eb3-9971-423d-a6db-cbfef94a5591" ] } ], "mendeley" : { "formattedCitation" : "(Willens et al., 2013)", "plainTextFormattedCitation" : "(Willens et al., 2013)", "previouslyFormattedCitation" : "(Willens et al., 2013)" }, "properties" : {  }, "schema" : "https://github.com/citation-style-language/schema/raw/master/csl-citation.json" }</w:instrText>
      </w:r>
      <w:r w:rsidRPr="002F2F11">
        <w:rPr>
          <w:rFonts w:eastAsia="Calibri"/>
          <w:szCs w:val="24"/>
        </w:rPr>
        <w:fldChar w:fldCharType="separate"/>
      </w:r>
      <w:r w:rsidRPr="002F2F11">
        <w:rPr>
          <w:rFonts w:eastAsia="Calibri"/>
          <w:noProof/>
          <w:szCs w:val="24"/>
        </w:rPr>
        <w:t>(Willens et al., 2013)</w:t>
      </w:r>
      <w:r w:rsidRPr="002F2F11">
        <w:rPr>
          <w:rFonts w:eastAsia="Calibri"/>
          <w:szCs w:val="24"/>
        </w:rPr>
        <w:fldChar w:fldCharType="end"/>
      </w:r>
      <w:r>
        <w:rPr>
          <w:rFonts w:eastAsia="Calibri"/>
          <w:szCs w:val="24"/>
        </w:rPr>
        <w:t>.</w:t>
      </w:r>
    </w:p>
    <w:p w:rsidR="000D48B3" w:rsidRPr="005029AA" w:rsidRDefault="000D48B3" w:rsidP="000D48B3">
      <w:pPr>
        <w:spacing w:before="120" w:after="120"/>
        <w:jc w:val="both"/>
        <w:rPr>
          <w:rFonts w:eastAsia="Calibri"/>
          <w:szCs w:val="24"/>
        </w:rPr>
      </w:pPr>
      <w:r>
        <w:rPr>
          <w:rFonts w:eastAsia="Calibri"/>
          <w:b/>
          <w:szCs w:val="24"/>
        </w:rPr>
        <w:tab/>
      </w:r>
      <w:r w:rsidRPr="005029AA">
        <w:rPr>
          <w:rFonts w:eastAsia="Calibri"/>
          <w:b/>
          <w:szCs w:val="24"/>
        </w:rPr>
        <w:t>Sonuç ve Öneriler:</w:t>
      </w:r>
      <w:r w:rsidRPr="005029AA">
        <w:rPr>
          <w:rFonts w:eastAsia="Calibri"/>
          <w:szCs w:val="24"/>
        </w:rPr>
        <w:t xml:space="preserve"> Hipertansiyon kontrolünde sağlık okuryazarlık düzeyini değerlendirmeye dönük araştırmalara ihtiyaç vardır. </w:t>
      </w:r>
      <w:r w:rsidRPr="002F2F11">
        <w:rPr>
          <w:rFonts w:eastAsia="Calibri"/>
          <w:szCs w:val="24"/>
        </w:rPr>
        <w:t xml:space="preserve">Yetersiz/sınırlı sağlık okuryazarlık düzeyi hastalık yönetiminde sınırlılığa neden olabilirken; bilgi, her zaman hipertansiyon kontrolünün </w:t>
      </w:r>
      <w:r w:rsidRPr="002F2F11">
        <w:rPr>
          <w:rFonts w:eastAsia="Calibri"/>
          <w:szCs w:val="24"/>
        </w:rPr>
        <w:lastRenderedPageBreak/>
        <w:t>gereklerini yerine getirmede yeterli olmayabilmektedir. Eğitim, okuryazarlık, sağlık hizmetlerinin niteliği ve sağlık sonuçları arasındaki ilişkinin daha iyi anlaşılmasına dönük m</w:t>
      </w:r>
      <w:r w:rsidRPr="005029AA">
        <w:rPr>
          <w:rFonts w:eastAsia="Calibri"/>
          <w:szCs w:val="24"/>
        </w:rPr>
        <w:t>otivasyonel faktörler, sağlık okuryazarlık düzeyi ve sağlık hizmetleri kullanımını birlikte değerlendirecek araştırmaların yapılması önerilir.</w:t>
      </w:r>
    </w:p>
    <w:p w:rsidR="000D48B3" w:rsidRDefault="000D48B3" w:rsidP="000D48B3">
      <w:pPr>
        <w:spacing w:before="120" w:after="120"/>
        <w:jc w:val="both"/>
        <w:rPr>
          <w:rFonts w:eastAsia="Calibri"/>
          <w:szCs w:val="24"/>
        </w:rPr>
      </w:pPr>
    </w:p>
    <w:p w:rsidR="000D48B3" w:rsidRPr="002F2F11" w:rsidRDefault="000D48B3" w:rsidP="000D48B3">
      <w:pPr>
        <w:spacing w:before="120" w:after="120"/>
        <w:jc w:val="both"/>
        <w:rPr>
          <w:rFonts w:eastAsia="Calibri"/>
          <w:b/>
          <w:szCs w:val="24"/>
          <w:lang w:val="en-US"/>
        </w:rPr>
      </w:pPr>
      <w:r>
        <w:rPr>
          <w:rFonts w:eastAsia="Calibri"/>
          <w:b/>
          <w:szCs w:val="24"/>
          <w:lang w:val="en-US"/>
        </w:rPr>
        <w:t>Tablo</w:t>
      </w:r>
      <w:r w:rsidRPr="002F2F11">
        <w:rPr>
          <w:rFonts w:eastAsia="Calibri"/>
          <w:b/>
          <w:szCs w:val="24"/>
          <w:lang w:val="en-US"/>
        </w:rPr>
        <w:t>1. Sistematik derlemeye dahil edilen araştırmalar ve sonuçlarına ilişkin özellikler</w:t>
      </w:r>
    </w:p>
    <w:tbl>
      <w:tblPr>
        <w:tblpPr w:leftFromText="180" w:rightFromText="180" w:vertAnchor="text" w:tblpY="165"/>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630"/>
        <w:gridCol w:w="1499"/>
        <w:gridCol w:w="2798"/>
        <w:gridCol w:w="2933"/>
      </w:tblGrid>
      <w:tr w:rsidR="000D48B3" w:rsidRPr="00854A59" w:rsidTr="00701C90">
        <w:trPr>
          <w:cantSplit/>
          <w:trHeight w:val="1134"/>
        </w:trPr>
        <w:tc>
          <w:tcPr>
            <w:tcW w:w="200" w:type="pct"/>
            <w:shd w:val="clear" w:color="auto" w:fill="auto"/>
            <w:textDirection w:val="btLr"/>
          </w:tcPr>
          <w:p w:rsidR="000D48B3" w:rsidRPr="00854A59" w:rsidRDefault="000D48B3" w:rsidP="00701C90">
            <w:pPr>
              <w:spacing w:line="240" w:lineRule="auto"/>
              <w:ind w:left="113" w:right="113"/>
              <w:rPr>
                <w:rFonts w:eastAsia="Calibri"/>
                <w:szCs w:val="18"/>
              </w:rPr>
            </w:pPr>
          </w:p>
        </w:tc>
        <w:tc>
          <w:tcPr>
            <w:tcW w:w="883" w:type="pct"/>
            <w:shd w:val="clear" w:color="auto" w:fill="DAEEF3"/>
            <w:textDirection w:val="btLr"/>
            <w:vAlign w:val="center"/>
          </w:tcPr>
          <w:p w:rsidR="000D48B3" w:rsidRPr="00854A59" w:rsidRDefault="000D48B3" w:rsidP="00701C90">
            <w:pPr>
              <w:spacing w:line="240" w:lineRule="auto"/>
              <w:ind w:left="113" w:right="113"/>
              <w:jc w:val="center"/>
              <w:rPr>
                <w:rFonts w:eastAsia="Calibri"/>
                <w:b/>
                <w:szCs w:val="18"/>
              </w:rPr>
            </w:pPr>
            <w:r w:rsidRPr="00854A59">
              <w:rPr>
                <w:rFonts w:eastAsia="Calibri"/>
                <w:b/>
                <w:szCs w:val="18"/>
              </w:rPr>
              <w:t>Yazar adı Yayın adı Yayın yılı</w:t>
            </w:r>
          </w:p>
          <w:p w:rsidR="000D48B3" w:rsidRPr="00854A59" w:rsidRDefault="000D48B3" w:rsidP="00701C90">
            <w:pPr>
              <w:spacing w:line="240" w:lineRule="auto"/>
              <w:ind w:left="113" w:right="113"/>
              <w:jc w:val="center"/>
              <w:rPr>
                <w:rFonts w:eastAsia="Calibri"/>
                <w:b/>
                <w:szCs w:val="18"/>
              </w:rPr>
            </w:pPr>
          </w:p>
        </w:tc>
        <w:tc>
          <w:tcPr>
            <w:tcW w:w="812" w:type="pct"/>
            <w:shd w:val="clear" w:color="auto" w:fill="DAEEF3"/>
            <w:vAlign w:val="center"/>
          </w:tcPr>
          <w:p w:rsidR="000D48B3" w:rsidRPr="00854A59" w:rsidRDefault="000D48B3" w:rsidP="00701C90">
            <w:pPr>
              <w:spacing w:line="240" w:lineRule="auto"/>
              <w:jc w:val="center"/>
              <w:rPr>
                <w:rFonts w:eastAsia="Calibri"/>
                <w:b/>
                <w:szCs w:val="18"/>
              </w:rPr>
            </w:pPr>
            <w:r w:rsidRPr="00854A59">
              <w:rPr>
                <w:rFonts w:eastAsia="Calibri"/>
                <w:b/>
                <w:szCs w:val="18"/>
              </w:rPr>
              <w:t>Araştırma tasarımı ve yeri</w:t>
            </w:r>
          </w:p>
          <w:p w:rsidR="000D48B3" w:rsidRPr="00854A59" w:rsidRDefault="000D48B3" w:rsidP="00701C90">
            <w:pPr>
              <w:spacing w:line="240" w:lineRule="auto"/>
              <w:jc w:val="center"/>
              <w:rPr>
                <w:rFonts w:eastAsia="Calibri"/>
                <w:b/>
                <w:szCs w:val="18"/>
              </w:rPr>
            </w:pPr>
            <w:r w:rsidRPr="00854A59">
              <w:rPr>
                <w:rFonts w:eastAsia="Calibri"/>
                <w:b/>
                <w:szCs w:val="18"/>
              </w:rPr>
              <w:t>Örneklem grubunun özellikleri</w:t>
            </w:r>
          </w:p>
        </w:tc>
        <w:tc>
          <w:tcPr>
            <w:tcW w:w="1516" w:type="pct"/>
            <w:shd w:val="clear" w:color="auto" w:fill="DAEEF3"/>
            <w:vAlign w:val="center"/>
          </w:tcPr>
          <w:p w:rsidR="000D48B3" w:rsidRPr="00854A59" w:rsidRDefault="000D48B3" w:rsidP="00701C90">
            <w:pPr>
              <w:tabs>
                <w:tab w:val="left" w:pos="2434"/>
              </w:tabs>
              <w:spacing w:line="240" w:lineRule="auto"/>
              <w:jc w:val="center"/>
              <w:rPr>
                <w:rFonts w:eastAsia="Calibri"/>
                <w:b/>
                <w:szCs w:val="18"/>
              </w:rPr>
            </w:pPr>
            <w:r w:rsidRPr="00854A59">
              <w:rPr>
                <w:rFonts w:eastAsia="Calibri"/>
                <w:b/>
                <w:szCs w:val="18"/>
              </w:rPr>
              <w:t>Bulgular</w:t>
            </w:r>
          </w:p>
        </w:tc>
        <w:tc>
          <w:tcPr>
            <w:tcW w:w="1589" w:type="pct"/>
            <w:shd w:val="clear" w:color="auto" w:fill="DAEEF3"/>
            <w:vAlign w:val="center"/>
          </w:tcPr>
          <w:p w:rsidR="000D48B3" w:rsidRPr="00854A59" w:rsidRDefault="000D48B3" w:rsidP="00701C90">
            <w:pPr>
              <w:spacing w:line="240" w:lineRule="auto"/>
              <w:jc w:val="center"/>
              <w:rPr>
                <w:rFonts w:eastAsia="Calibri"/>
                <w:b/>
                <w:szCs w:val="18"/>
              </w:rPr>
            </w:pPr>
            <w:r w:rsidRPr="00854A59">
              <w:rPr>
                <w:rFonts w:eastAsia="Calibri"/>
                <w:b/>
                <w:szCs w:val="18"/>
              </w:rPr>
              <w:t>Sonuçlar</w:t>
            </w:r>
          </w:p>
        </w:tc>
      </w:tr>
      <w:tr w:rsidR="000D48B3" w:rsidRPr="00854A59" w:rsidTr="00701C90">
        <w:trPr>
          <w:trHeight w:val="2388"/>
        </w:trPr>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1</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Chajaee F, Pirzadeh A, Hasanzadeh A, Mostafavi F.</w:t>
            </w:r>
          </w:p>
          <w:p w:rsidR="000D48B3" w:rsidRPr="00854A59" w:rsidRDefault="000D48B3" w:rsidP="00701C90">
            <w:pPr>
              <w:shd w:val="clear" w:color="auto" w:fill="FFFFFF"/>
              <w:spacing w:line="240" w:lineRule="auto"/>
              <w:ind w:left="-72"/>
              <w:outlineLvl w:val="1"/>
              <w:rPr>
                <w:sz w:val="10"/>
                <w:szCs w:val="18"/>
                <w:lang w:eastAsia="tr-TR"/>
              </w:rPr>
            </w:pPr>
          </w:p>
          <w:p w:rsidR="000D48B3" w:rsidRPr="00854A59" w:rsidRDefault="000D48B3" w:rsidP="00701C90">
            <w:pPr>
              <w:shd w:val="clear" w:color="auto" w:fill="FFFFFF"/>
              <w:spacing w:line="240" w:lineRule="auto"/>
              <w:ind w:left="-72"/>
              <w:outlineLvl w:val="1"/>
              <w:rPr>
                <w:rFonts w:eastAsia="Calibri"/>
                <w:szCs w:val="18"/>
                <w:lang w:eastAsia="tr-TR"/>
              </w:rPr>
            </w:pPr>
            <w:r w:rsidRPr="00854A59">
              <w:rPr>
                <w:szCs w:val="18"/>
                <w:lang w:eastAsia="tr-TR"/>
              </w:rPr>
              <w:t>Relationship between health literacy and knowledge among patients with hypertension in Isfahan province, Iran, 2018.</w:t>
            </w:r>
          </w:p>
        </w:tc>
        <w:tc>
          <w:tcPr>
            <w:tcW w:w="812" w:type="pct"/>
            <w:shd w:val="clear" w:color="auto" w:fill="auto"/>
            <w:vAlign w:val="center"/>
          </w:tcPr>
          <w:p w:rsidR="000D48B3" w:rsidRPr="00854A59" w:rsidRDefault="000D48B3" w:rsidP="00701C90">
            <w:pPr>
              <w:autoSpaceDE w:val="0"/>
              <w:autoSpaceDN w:val="0"/>
              <w:adjustRightInd w:val="0"/>
              <w:spacing w:line="240" w:lineRule="auto"/>
              <w:rPr>
                <w:rFonts w:eastAsia="Calibri"/>
                <w:szCs w:val="18"/>
              </w:rPr>
            </w:pPr>
          </w:p>
          <w:p w:rsidR="000D48B3" w:rsidRPr="00854A59" w:rsidRDefault="000D48B3" w:rsidP="00701C90">
            <w:pPr>
              <w:autoSpaceDE w:val="0"/>
              <w:autoSpaceDN w:val="0"/>
              <w:adjustRightInd w:val="0"/>
              <w:spacing w:line="240" w:lineRule="auto"/>
              <w:rPr>
                <w:rFonts w:eastAsia="Calibri"/>
                <w:szCs w:val="18"/>
              </w:rPr>
            </w:pPr>
            <w:r w:rsidRPr="00854A59">
              <w:rPr>
                <w:rFonts w:eastAsia="Calibri"/>
                <w:szCs w:val="18"/>
              </w:rPr>
              <w:t>Sağlık kurumlarına gelen</w:t>
            </w:r>
            <w:r w:rsidRPr="00854A59">
              <w:rPr>
                <w:rFonts w:eastAsia="Calibri"/>
                <w:szCs w:val="18"/>
                <w:lang w:eastAsia="tr-TR"/>
              </w:rPr>
              <w:t xml:space="preserve"> hipertansiyonu olan 700 hasta</w:t>
            </w:r>
            <w:r w:rsidRPr="00854A59">
              <w:rPr>
                <w:rFonts w:eastAsia="Calibri"/>
                <w:szCs w:val="18"/>
              </w:rPr>
              <w:t>/</w:t>
            </w:r>
          </w:p>
          <w:p w:rsidR="000D48B3" w:rsidRPr="00854A59" w:rsidRDefault="000D48B3" w:rsidP="00701C90">
            <w:pPr>
              <w:autoSpaceDE w:val="0"/>
              <w:autoSpaceDN w:val="0"/>
              <w:adjustRightInd w:val="0"/>
              <w:spacing w:line="240" w:lineRule="auto"/>
              <w:rPr>
                <w:rFonts w:eastAsia="Calibri"/>
                <w:szCs w:val="18"/>
              </w:rPr>
            </w:pPr>
            <w:r w:rsidRPr="00854A59">
              <w:rPr>
                <w:rFonts w:eastAsia="Calibri"/>
                <w:szCs w:val="18"/>
              </w:rPr>
              <w:t>İran /</w:t>
            </w:r>
          </w:p>
          <w:p w:rsidR="000D48B3" w:rsidRPr="00854A59" w:rsidRDefault="000D48B3" w:rsidP="00701C90">
            <w:pPr>
              <w:autoSpaceDE w:val="0"/>
              <w:autoSpaceDN w:val="0"/>
              <w:adjustRightInd w:val="0"/>
              <w:spacing w:line="240" w:lineRule="auto"/>
              <w:rPr>
                <w:rFonts w:eastAsia="Calibri"/>
                <w:szCs w:val="18"/>
              </w:rPr>
            </w:pPr>
          </w:p>
          <w:p w:rsidR="000D48B3" w:rsidRPr="00854A59" w:rsidRDefault="000D48B3" w:rsidP="00701C90">
            <w:pPr>
              <w:autoSpaceDE w:val="0"/>
              <w:autoSpaceDN w:val="0"/>
              <w:adjustRightInd w:val="0"/>
              <w:spacing w:line="240" w:lineRule="auto"/>
              <w:rPr>
                <w:rFonts w:eastAsia="Calibri"/>
                <w:szCs w:val="18"/>
              </w:rPr>
            </w:pPr>
            <w:r w:rsidRPr="00854A59">
              <w:rPr>
                <w:rFonts w:eastAsia="Calibri"/>
                <w:szCs w:val="18"/>
              </w:rPr>
              <w:t>Kesitsel çalışma</w:t>
            </w:r>
          </w:p>
          <w:p w:rsidR="000D48B3" w:rsidRPr="00854A59" w:rsidRDefault="000D48B3" w:rsidP="00701C90">
            <w:pPr>
              <w:spacing w:line="240" w:lineRule="auto"/>
              <w:rPr>
                <w:rFonts w:eastAsia="Calibri"/>
                <w:szCs w:val="18"/>
                <w:lang w:eastAsia="tr-TR"/>
              </w:rPr>
            </w:pPr>
          </w:p>
        </w:tc>
        <w:tc>
          <w:tcPr>
            <w:tcW w:w="1516" w:type="pct"/>
            <w:shd w:val="clear" w:color="auto" w:fill="auto"/>
            <w:vAlign w:val="center"/>
          </w:tcPr>
          <w:p w:rsidR="000D48B3" w:rsidRPr="00854A59" w:rsidRDefault="000D48B3" w:rsidP="00701C90">
            <w:pPr>
              <w:spacing w:line="240" w:lineRule="auto"/>
              <w:rPr>
                <w:rFonts w:eastAsia="Calibri"/>
                <w:szCs w:val="18"/>
                <w:lang w:eastAsia="tr-TR"/>
              </w:rPr>
            </w:pPr>
            <w:r w:rsidRPr="00854A59">
              <w:rPr>
                <w:rFonts w:eastAsia="Calibri"/>
                <w:szCs w:val="18"/>
                <w:lang w:eastAsia="tr-TR"/>
              </w:rPr>
              <w:t>Katılımcıların yaş ortalaması 60.58±11.14</w:t>
            </w:r>
          </w:p>
          <w:p w:rsidR="000D48B3" w:rsidRPr="00854A59" w:rsidRDefault="000D48B3" w:rsidP="00701C90">
            <w:pPr>
              <w:spacing w:line="240" w:lineRule="auto"/>
              <w:rPr>
                <w:rFonts w:eastAsia="Calibri"/>
                <w:szCs w:val="18"/>
                <w:lang w:eastAsia="tr-TR"/>
              </w:rPr>
            </w:pPr>
            <w:r w:rsidRPr="00854A59">
              <w:rPr>
                <w:rFonts w:eastAsia="Calibri"/>
                <w:szCs w:val="18"/>
                <w:lang w:eastAsia="tr-TR"/>
              </w:rPr>
              <w:t xml:space="preserve">% 75.5’inin sağlık okuryazarlığı yetersiz/ kısmen yeterlidir. </w:t>
            </w:r>
          </w:p>
          <w:p w:rsidR="000D48B3" w:rsidRPr="00854A59" w:rsidRDefault="000D48B3" w:rsidP="00701C90">
            <w:pPr>
              <w:spacing w:line="240" w:lineRule="auto"/>
              <w:rPr>
                <w:rFonts w:eastAsia="Calibri"/>
                <w:szCs w:val="18"/>
                <w:u w:val="single"/>
                <w:lang w:eastAsia="tr-TR"/>
              </w:rPr>
            </w:pPr>
            <w:r w:rsidRPr="00854A59">
              <w:rPr>
                <w:rFonts w:eastAsia="Calibri"/>
                <w:szCs w:val="18"/>
                <w:lang w:eastAsia="tr-TR"/>
              </w:rPr>
              <w:t>Yaş ve sağlık okuryazarlığı (r = -0.354, p &lt;0.001) ile bilgi (r = -0.129, p &lt;0.001) arasında ilişki vardır. Sağlık okuryazarlığı ile kan basıncı bilgisi arasında anlamlı ilişki bulunmuştur.</w:t>
            </w:r>
          </w:p>
        </w:tc>
        <w:tc>
          <w:tcPr>
            <w:tcW w:w="1589"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Hipertansiyonu olan hastaların çoğunun sağlık okuryazarlığının yetersiz olduğunu ve kan basıncı bilgisi ile sağlık okuryazarlığının ortalama puanı arasında anlamlı bir ilişki olduğunu saptanmıştır.</w:t>
            </w:r>
          </w:p>
          <w:p w:rsidR="000D48B3" w:rsidRPr="00854A59" w:rsidRDefault="000D48B3" w:rsidP="00701C90">
            <w:pPr>
              <w:shd w:val="clear" w:color="auto" w:fill="FFFFFF"/>
              <w:spacing w:line="240" w:lineRule="auto"/>
              <w:outlineLvl w:val="1"/>
              <w:rPr>
                <w:rFonts w:eastAsia="Calibri"/>
                <w:szCs w:val="18"/>
                <w:lang w:eastAsia="tr-TR"/>
              </w:rPr>
            </w:pPr>
          </w:p>
          <w:p w:rsidR="000D48B3" w:rsidRPr="00854A59" w:rsidRDefault="000D48B3" w:rsidP="00701C90">
            <w:pPr>
              <w:shd w:val="clear" w:color="auto" w:fill="FFFFFF"/>
              <w:spacing w:line="240" w:lineRule="auto"/>
              <w:outlineLvl w:val="1"/>
              <w:rPr>
                <w:rFonts w:eastAsia="Calibri"/>
                <w:szCs w:val="18"/>
                <w:u w:val="single"/>
                <w:lang w:eastAsia="tr-TR"/>
              </w:rPr>
            </w:pP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2</w:t>
            </w:r>
          </w:p>
        </w:tc>
        <w:tc>
          <w:tcPr>
            <w:tcW w:w="883" w:type="pct"/>
            <w:shd w:val="clear" w:color="auto" w:fill="auto"/>
            <w:vAlign w:val="center"/>
          </w:tcPr>
          <w:p w:rsidR="000D48B3"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Alves E, Costa AR, Moura-Ferreira P, Azevedo A, Lunet N.</w:t>
            </w:r>
          </w:p>
          <w:p w:rsidR="000D48B3" w:rsidRPr="00854A59" w:rsidRDefault="000D48B3" w:rsidP="00701C90">
            <w:pPr>
              <w:shd w:val="clear" w:color="auto" w:fill="FFFFFF"/>
              <w:spacing w:line="240" w:lineRule="auto"/>
              <w:outlineLvl w:val="1"/>
              <w:rPr>
                <w:rFonts w:eastAsia="Calibri"/>
                <w:sz w:val="10"/>
                <w:szCs w:val="18"/>
                <w:lang w:eastAsia="tr-TR"/>
              </w:rPr>
            </w:pP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Health-related knowledge on hypertension among the Portuguese population: results from a </w:t>
            </w:r>
            <w:r w:rsidRPr="00854A59">
              <w:rPr>
                <w:rFonts w:eastAsia="Calibri"/>
                <w:szCs w:val="18"/>
                <w:lang w:eastAsia="tr-TR"/>
              </w:rPr>
              <w:lastRenderedPageBreak/>
              <w:t>population-based survey, 2018</w:t>
            </w:r>
          </w:p>
        </w:tc>
        <w:tc>
          <w:tcPr>
            <w:tcW w:w="812" w:type="pct"/>
            <w:shd w:val="clear" w:color="auto" w:fill="auto"/>
            <w:vAlign w:val="center"/>
          </w:tcPr>
          <w:p w:rsidR="000D48B3" w:rsidRPr="00854A59" w:rsidRDefault="000D48B3" w:rsidP="00701C90">
            <w:pPr>
              <w:spacing w:line="240" w:lineRule="auto"/>
              <w:rPr>
                <w:rFonts w:eastAsia="Calibri"/>
                <w:szCs w:val="18"/>
                <w:lang w:val="en-US"/>
              </w:rPr>
            </w:pPr>
            <w:r w:rsidRPr="00854A59">
              <w:rPr>
                <w:rFonts w:eastAsia="Calibri"/>
                <w:szCs w:val="18"/>
                <w:lang w:val="en-US"/>
              </w:rPr>
              <w:lastRenderedPageBreak/>
              <w:t>16-79 yaş 1624 birey/</w:t>
            </w:r>
          </w:p>
          <w:p w:rsidR="000D48B3" w:rsidRPr="00854A59" w:rsidRDefault="000D48B3" w:rsidP="00701C90">
            <w:pPr>
              <w:spacing w:line="240" w:lineRule="auto"/>
              <w:rPr>
                <w:rFonts w:eastAsia="Calibri"/>
                <w:szCs w:val="18"/>
                <w:lang w:val="en-US"/>
              </w:rPr>
            </w:pPr>
          </w:p>
          <w:p w:rsidR="000D48B3" w:rsidRPr="00854A59" w:rsidRDefault="000D48B3" w:rsidP="00701C90">
            <w:pPr>
              <w:spacing w:line="240" w:lineRule="auto"/>
              <w:rPr>
                <w:rFonts w:eastAsia="Calibri"/>
                <w:b/>
                <w:szCs w:val="18"/>
                <w:u w:val="single"/>
                <w:lang w:eastAsia="tr-TR"/>
              </w:rPr>
            </w:pPr>
            <w:r w:rsidRPr="00854A59">
              <w:rPr>
                <w:rFonts w:eastAsia="Calibri"/>
                <w:szCs w:val="18"/>
                <w:lang w:val="en-US"/>
              </w:rPr>
              <w:t>Portekiz</w:t>
            </w:r>
          </w:p>
        </w:tc>
        <w:tc>
          <w:tcPr>
            <w:tcW w:w="1516" w:type="pct"/>
            <w:shd w:val="clear" w:color="auto" w:fill="auto"/>
            <w:vAlign w:val="center"/>
          </w:tcPr>
          <w:p w:rsidR="000D48B3" w:rsidRPr="00854A59" w:rsidRDefault="000D48B3" w:rsidP="00701C90">
            <w:pPr>
              <w:spacing w:line="240" w:lineRule="auto"/>
              <w:rPr>
                <w:rFonts w:eastAsia="Calibri"/>
                <w:szCs w:val="18"/>
                <w:lang w:val="en-US"/>
              </w:rPr>
            </w:pPr>
            <w:r w:rsidRPr="00854A59">
              <w:rPr>
                <w:rFonts w:eastAsia="Calibri"/>
                <w:szCs w:val="18"/>
                <w:lang w:val="en-US"/>
              </w:rPr>
              <w:t>Portekiz popülasyonunda katılımcıların %45.4’ünde hipertansiyon mevcuttur.</w:t>
            </w:r>
            <w:r w:rsidRPr="00854A59">
              <w:rPr>
                <w:rFonts w:eastAsia="Calibri"/>
                <w:b/>
                <w:szCs w:val="18"/>
                <w:lang w:val="en-US"/>
              </w:rPr>
              <w:t xml:space="preserve"> </w:t>
            </w:r>
            <w:r w:rsidRPr="00854A59">
              <w:rPr>
                <w:rFonts w:eastAsia="Calibri"/>
                <w:szCs w:val="18"/>
                <w:lang w:val="en-US"/>
              </w:rPr>
              <w:t>% 27.5 ve% 21.5 ile tuz alımı ve kötü beslenme hipertansiyonun başlıca nedenlerindendir.</w:t>
            </w:r>
          </w:p>
          <w:p w:rsidR="000D48B3" w:rsidRPr="00854A59" w:rsidRDefault="000D48B3" w:rsidP="00701C90">
            <w:pPr>
              <w:spacing w:line="240" w:lineRule="auto"/>
              <w:rPr>
                <w:rFonts w:eastAsia="Calibri"/>
                <w:b/>
                <w:szCs w:val="18"/>
                <w:u w:val="single"/>
                <w:lang w:eastAsia="tr-TR"/>
              </w:rPr>
            </w:pPr>
            <w:r w:rsidRPr="00854A59">
              <w:rPr>
                <w:rFonts w:eastAsia="Calibri"/>
                <w:szCs w:val="18"/>
                <w:lang w:eastAsia="tr-TR"/>
              </w:rPr>
              <w:t xml:space="preserve">Daha yüksek eğitim düzeyine sahip olan kadınlar ve daha önce hipertansiyon tanısı alan hastalar, kan basıncı değerlerini daha doğru </w:t>
            </w:r>
            <w:r w:rsidRPr="00854A59">
              <w:rPr>
                <w:rFonts w:eastAsia="Calibri"/>
                <w:szCs w:val="18"/>
                <w:lang w:eastAsia="tr-TR"/>
              </w:rPr>
              <w:lastRenderedPageBreak/>
              <w:t>yorumlama eğilimindedirler.</w:t>
            </w:r>
          </w:p>
        </w:tc>
        <w:tc>
          <w:tcPr>
            <w:tcW w:w="1589"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 xml:space="preserve">Hipertansiyon hakkında yeterli bilginin, hastalık farkındalığı, tedaviye uyumu ve kontrolünü arttırdığı gösterilmiştir. </w:t>
            </w:r>
          </w:p>
          <w:p w:rsidR="000D48B3" w:rsidRPr="00854A59" w:rsidRDefault="000D48B3" w:rsidP="00701C90">
            <w:pPr>
              <w:shd w:val="clear" w:color="auto" w:fill="FFFFFF"/>
              <w:spacing w:line="240" w:lineRule="auto"/>
              <w:outlineLvl w:val="1"/>
              <w:rPr>
                <w:rFonts w:eastAsia="Calibri"/>
                <w:szCs w:val="18"/>
                <w:lang w:eastAsia="tr-TR"/>
              </w:rPr>
            </w:pP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3</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 w:val="2"/>
                <w:szCs w:val="18"/>
                <w:lang w:eastAsia="tr-TR"/>
              </w:rPr>
            </w:pPr>
            <w:r w:rsidRPr="00854A59">
              <w:rPr>
                <w:rFonts w:eastAsia="Calibri"/>
                <w:szCs w:val="18"/>
                <w:lang w:eastAsia="tr-TR"/>
              </w:rPr>
              <w:t>Park NH, Song MS, Shin SY, Jeong JH, Lee HY.</w:t>
            </w:r>
            <w:r>
              <w:rPr>
                <w:rFonts w:eastAsia="Calibri"/>
                <w:szCs w:val="18"/>
                <w:lang w:eastAsia="tr-TR"/>
              </w:rPr>
              <w:t xml:space="preserve"> </w:t>
            </w:r>
          </w:p>
          <w:p w:rsidR="000D48B3" w:rsidRPr="00854A59" w:rsidRDefault="000D48B3" w:rsidP="00701C90">
            <w:pPr>
              <w:shd w:val="clear" w:color="auto" w:fill="FFFFFF"/>
              <w:spacing w:line="240" w:lineRule="auto"/>
              <w:ind w:right="-174"/>
              <w:outlineLvl w:val="1"/>
              <w:rPr>
                <w:rFonts w:eastAsia="Calibri"/>
                <w:szCs w:val="18"/>
                <w:lang w:eastAsia="tr-TR"/>
              </w:rPr>
            </w:pPr>
            <w:r w:rsidRPr="00854A59">
              <w:rPr>
                <w:rFonts w:eastAsia="Calibri"/>
                <w:szCs w:val="18"/>
                <w:lang w:eastAsia="tr-TR"/>
              </w:rPr>
              <w:t>The effects of medication adherence and health literacy on health-related quality of life in older people with hypertension.</w:t>
            </w:r>
            <w:r>
              <w:rPr>
                <w:rFonts w:eastAsia="Calibri"/>
                <w:szCs w:val="18"/>
                <w:lang w:eastAsia="tr-TR"/>
              </w:rPr>
              <w:t xml:space="preserve"> </w:t>
            </w:r>
            <w:r w:rsidRPr="00854A59">
              <w:rPr>
                <w:rFonts w:eastAsia="Calibri"/>
                <w:szCs w:val="18"/>
                <w:lang w:eastAsia="tr-TR"/>
              </w:rPr>
              <w:t>2018</w:t>
            </w:r>
          </w:p>
        </w:tc>
        <w:tc>
          <w:tcPr>
            <w:tcW w:w="812" w:type="pct"/>
            <w:shd w:val="clear" w:color="auto" w:fill="auto"/>
            <w:vAlign w:val="center"/>
          </w:tcPr>
          <w:p w:rsidR="000D48B3" w:rsidRPr="00854A59" w:rsidRDefault="000D48B3" w:rsidP="00701C90">
            <w:pPr>
              <w:spacing w:line="240" w:lineRule="auto"/>
              <w:rPr>
                <w:szCs w:val="18"/>
                <w:lang w:eastAsia="tr-TR"/>
              </w:rPr>
            </w:pPr>
            <w:r w:rsidRPr="00854A59">
              <w:rPr>
                <w:szCs w:val="18"/>
                <w:lang w:eastAsia="tr-TR"/>
              </w:rPr>
              <w:t xml:space="preserve">16 halk sağlığı merkezine kayıtlı hipertansiyonlu 160 düşük gelirli yaşlı birey/ </w:t>
            </w:r>
          </w:p>
          <w:p w:rsidR="000D48B3" w:rsidRPr="00854A59" w:rsidRDefault="000D48B3" w:rsidP="00701C90">
            <w:pPr>
              <w:spacing w:line="240" w:lineRule="auto"/>
              <w:rPr>
                <w:szCs w:val="18"/>
                <w:lang w:eastAsia="tr-TR"/>
              </w:rPr>
            </w:pPr>
          </w:p>
          <w:p w:rsidR="000D48B3" w:rsidRPr="00854A59" w:rsidRDefault="000D48B3" w:rsidP="00701C90">
            <w:pPr>
              <w:spacing w:line="240" w:lineRule="auto"/>
              <w:rPr>
                <w:szCs w:val="18"/>
                <w:lang w:eastAsia="tr-TR"/>
              </w:rPr>
            </w:pPr>
            <w:r w:rsidRPr="00854A59">
              <w:rPr>
                <w:szCs w:val="18"/>
                <w:lang w:eastAsia="tr-TR"/>
              </w:rPr>
              <w:t>Busan, Güney Kore</w:t>
            </w:r>
          </w:p>
          <w:p w:rsidR="000D48B3" w:rsidRPr="00854A59" w:rsidRDefault="000D48B3" w:rsidP="00701C90">
            <w:pPr>
              <w:spacing w:line="240" w:lineRule="auto"/>
              <w:rPr>
                <w:rFonts w:eastAsia="Calibri"/>
                <w:b/>
                <w:szCs w:val="18"/>
                <w:u w:val="single"/>
                <w:lang w:eastAsia="tr-TR"/>
              </w:rPr>
            </w:pPr>
            <w:r w:rsidRPr="00854A59">
              <w:rPr>
                <w:szCs w:val="18"/>
                <w:lang w:eastAsia="tr-TR"/>
              </w:rPr>
              <w:t>Tanımlayıcı, kesitsel çalışma</w:t>
            </w:r>
          </w:p>
        </w:tc>
        <w:tc>
          <w:tcPr>
            <w:tcW w:w="1516" w:type="pct"/>
            <w:shd w:val="clear" w:color="auto" w:fill="auto"/>
            <w:vAlign w:val="center"/>
          </w:tcPr>
          <w:p w:rsidR="000D48B3" w:rsidRPr="00854A59" w:rsidRDefault="000D48B3" w:rsidP="00701C90">
            <w:pPr>
              <w:spacing w:line="240" w:lineRule="auto"/>
              <w:rPr>
                <w:szCs w:val="18"/>
                <w:u w:val="single"/>
                <w:lang w:eastAsia="tr-TR"/>
              </w:rPr>
            </w:pPr>
            <w:r w:rsidRPr="00854A59">
              <w:rPr>
                <w:szCs w:val="18"/>
                <w:lang w:eastAsia="tr-TR"/>
              </w:rPr>
              <w:t xml:space="preserve">Hipertansiyonlu yaşlı bireylerde ilaç bağımlılığı ve sağlık okuryazarlığı, sağlıkla ilişkili yaşam kalitesi ile ilişkilidir. Egzersiz ve öznel sağlık, yaşam kalitesini tedaviye uyum ve sağlık okuryazarlığından daha fazla etkilemektedir. </w:t>
            </w:r>
          </w:p>
        </w:tc>
        <w:tc>
          <w:tcPr>
            <w:tcW w:w="1589" w:type="pct"/>
            <w:shd w:val="clear" w:color="auto" w:fill="auto"/>
            <w:vAlign w:val="center"/>
          </w:tcPr>
          <w:p w:rsidR="000D48B3" w:rsidRPr="00854A59" w:rsidRDefault="000D48B3" w:rsidP="00701C90">
            <w:pPr>
              <w:shd w:val="clear" w:color="auto" w:fill="FFFFFF"/>
              <w:spacing w:line="240" w:lineRule="auto"/>
              <w:outlineLvl w:val="1"/>
              <w:rPr>
                <w:szCs w:val="18"/>
                <w:lang w:eastAsia="tr-TR"/>
              </w:rPr>
            </w:pPr>
            <w:r w:rsidRPr="00854A59">
              <w:rPr>
                <w:szCs w:val="18"/>
                <w:lang w:eastAsia="tr-TR"/>
              </w:rPr>
              <w:t xml:space="preserve">Sağlıkla ilişkili grişimler planlanırken egzersiz, öznel sağlık durumu, tedaviye uyumu ve sağlık okuryazarlığı göz önünde bulundurulmalıdır. </w:t>
            </w:r>
          </w:p>
          <w:p w:rsidR="000D48B3" w:rsidRPr="00854A59" w:rsidRDefault="000D48B3" w:rsidP="00701C90">
            <w:pPr>
              <w:shd w:val="clear" w:color="auto" w:fill="FFFFFF"/>
              <w:spacing w:line="240" w:lineRule="auto"/>
              <w:outlineLvl w:val="1"/>
              <w:rPr>
                <w:szCs w:val="18"/>
                <w:u w:val="single"/>
                <w:lang w:eastAsia="tr-TR"/>
              </w:rPr>
            </w:pPr>
            <w:r w:rsidRPr="00854A59">
              <w:rPr>
                <w:szCs w:val="18"/>
              </w:rPr>
              <w:t>Yaşlılarda sağlıkla ilişkili yaşam kalitesini etkin bir şekilde geliştirmek için hastaların ilaç uyumu ve sağlık okuryazarlığı değerlendirilmeli ve bireysel farklılıklarını dikkate alan hasta merkezli müdahale stratejileri geliştirilmelidir</w:t>
            </w:r>
            <w:r>
              <w:rPr>
                <w:szCs w:val="18"/>
              </w:rPr>
              <w:t>.</w:t>
            </w:r>
          </w:p>
        </w:tc>
      </w:tr>
      <w:tr w:rsidR="000D48B3" w:rsidRPr="00854A59" w:rsidTr="00701C90">
        <w:trPr>
          <w:trHeight w:val="6085"/>
        </w:trPr>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4</w:t>
            </w:r>
          </w:p>
        </w:tc>
        <w:tc>
          <w:tcPr>
            <w:tcW w:w="883" w:type="pct"/>
            <w:shd w:val="clear" w:color="auto" w:fill="auto"/>
            <w:vAlign w:val="center"/>
          </w:tcPr>
          <w:p w:rsidR="000D48B3" w:rsidRPr="00854A59" w:rsidRDefault="000D48B3" w:rsidP="00701C90">
            <w:pPr>
              <w:autoSpaceDE w:val="0"/>
              <w:autoSpaceDN w:val="0"/>
              <w:adjustRightInd w:val="0"/>
              <w:spacing w:line="240" w:lineRule="auto"/>
              <w:rPr>
                <w:szCs w:val="18"/>
              </w:rPr>
            </w:pPr>
            <w:r w:rsidRPr="00854A59">
              <w:rPr>
                <w:szCs w:val="18"/>
              </w:rPr>
              <w:t>RajiYR, Abiona T, Gurejehalladay O.</w:t>
            </w:r>
          </w:p>
          <w:p w:rsidR="000D48B3" w:rsidRPr="00854A59" w:rsidRDefault="000D48B3" w:rsidP="00701C90">
            <w:pPr>
              <w:autoSpaceDE w:val="0"/>
              <w:autoSpaceDN w:val="0"/>
              <w:adjustRightInd w:val="0"/>
              <w:spacing w:line="240" w:lineRule="auto"/>
              <w:rPr>
                <w:szCs w:val="18"/>
              </w:rPr>
            </w:pPr>
            <w:r w:rsidRPr="00854A59">
              <w:rPr>
                <w:szCs w:val="18"/>
              </w:rPr>
              <w:t>Awareness of hypertension and its impact on blood pressure control</w:t>
            </w:r>
          </w:p>
          <w:p w:rsidR="000D48B3" w:rsidRPr="00854A59" w:rsidRDefault="000D48B3" w:rsidP="00701C90">
            <w:pPr>
              <w:autoSpaceDE w:val="0"/>
              <w:autoSpaceDN w:val="0"/>
              <w:adjustRightInd w:val="0"/>
              <w:spacing w:line="240" w:lineRule="auto"/>
              <w:rPr>
                <w:szCs w:val="18"/>
              </w:rPr>
            </w:pPr>
            <w:r w:rsidRPr="00854A59">
              <w:rPr>
                <w:szCs w:val="18"/>
              </w:rPr>
              <w:t>among elderly Nigerians: report from the Ibadan study of aging,</w:t>
            </w:r>
          </w:p>
          <w:p w:rsidR="000D48B3" w:rsidRPr="00854A59" w:rsidRDefault="000D48B3" w:rsidP="00701C90">
            <w:pPr>
              <w:autoSpaceDE w:val="0"/>
              <w:autoSpaceDN w:val="0"/>
              <w:adjustRightInd w:val="0"/>
              <w:spacing w:line="240" w:lineRule="auto"/>
              <w:rPr>
                <w:szCs w:val="18"/>
              </w:rPr>
            </w:pPr>
            <w:r w:rsidRPr="00854A59">
              <w:rPr>
                <w:szCs w:val="18"/>
                <w:shd w:val="clear" w:color="auto" w:fill="FFFFFF"/>
              </w:rPr>
              <w:t xml:space="preserve"> 2017 </w:t>
            </w:r>
          </w:p>
        </w:tc>
        <w:tc>
          <w:tcPr>
            <w:tcW w:w="812" w:type="pct"/>
            <w:shd w:val="clear" w:color="auto" w:fill="auto"/>
            <w:vAlign w:val="center"/>
          </w:tcPr>
          <w:p w:rsidR="000D48B3" w:rsidRPr="00854A59" w:rsidRDefault="000D48B3" w:rsidP="00701C90">
            <w:pPr>
              <w:spacing w:line="240" w:lineRule="auto"/>
              <w:rPr>
                <w:szCs w:val="18"/>
              </w:rPr>
            </w:pPr>
            <w:r w:rsidRPr="00854A59">
              <w:rPr>
                <w:szCs w:val="18"/>
              </w:rPr>
              <w:t xml:space="preserve">60 yaş üstü bireyler / </w:t>
            </w:r>
          </w:p>
          <w:p w:rsidR="000D48B3" w:rsidRPr="00854A59" w:rsidRDefault="000D48B3" w:rsidP="00701C90">
            <w:pPr>
              <w:spacing w:line="240" w:lineRule="auto"/>
              <w:rPr>
                <w:szCs w:val="18"/>
              </w:rPr>
            </w:pPr>
          </w:p>
          <w:p w:rsidR="000D48B3" w:rsidRPr="00854A59" w:rsidRDefault="000D48B3" w:rsidP="00701C90">
            <w:pPr>
              <w:spacing w:line="240" w:lineRule="auto"/>
              <w:rPr>
                <w:szCs w:val="18"/>
              </w:rPr>
            </w:pPr>
            <w:r w:rsidRPr="00854A59">
              <w:rPr>
                <w:szCs w:val="18"/>
              </w:rPr>
              <w:t xml:space="preserve">Sahra altı  Afrika bölgesi- Nijerja </w:t>
            </w:r>
          </w:p>
          <w:p w:rsidR="000D48B3" w:rsidRPr="00854A59" w:rsidRDefault="000D48B3" w:rsidP="00701C90">
            <w:pPr>
              <w:spacing w:line="240" w:lineRule="auto"/>
              <w:rPr>
                <w:szCs w:val="18"/>
              </w:rPr>
            </w:pPr>
          </w:p>
          <w:p w:rsidR="000D48B3" w:rsidRPr="00854A59" w:rsidRDefault="000D48B3" w:rsidP="00701C90">
            <w:pPr>
              <w:spacing w:line="240" w:lineRule="auto"/>
              <w:rPr>
                <w:szCs w:val="18"/>
              </w:rPr>
            </w:pPr>
            <w:r w:rsidRPr="00854A59">
              <w:rPr>
                <w:szCs w:val="18"/>
              </w:rPr>
              <w:t>prospektif kohort çalışma</w:t>
            </w:r>
          </w:p>
          <w:p w:rsidR="000D48B3" w:rsidRPr="00854A59" w:rsidRDefault="000D48B3" w:rsidP="00701C90">
            <w:pPr>
              <w:spacing w:line="240" w:lineRule="auto"/>
              <w:rPr>
                <w:szCs w:val="18"/>
              </w:rPr>
            </w:pPr>
          </w:p>
        </w:tc>
        <w:tc>
          <w:tcPr>
            <w:tcW w:w="1516" w:type="pct"/>
            <w:shd w:val="clear" w:color="auto" w:fill="auto"/>
            <w:vAlign w:val="center"/>
          </w:tcPr>
          <w:p w:rsidR="000D48B3" w:rsidRPr="00854A59" w:rsidRDefault="000D48B3" w:rsidP="00701C90">
            <w:pPr>
              <w:autoSpaceDE w:val="0"/>
              <w:autoSpaceDN w:val="0"/>
              <w:adjustRightInd w:val="0"/>
              <w:spacing w:line="240" w:lineRule="auto"/>
              <w:rPr>
                <w:szCs w:val="18"/>
              </w:rPr>
            </w:pPr>
            <w:r w:rsidRPr="00854A59">
              <w:rPr>
                <w:szCs w:val="18"/>
              </w:rPr>
              <w:t>Yaş ortalaması 76.9 ± 8.4</w:t>
            </w:r>
          </w:p>
          <w:p w:rsidR="000D48B3" w:rsidRPr="00854A59" w:rsidRDefault="000D48B3" w:rsidP="00701C90">
            <w:pPr>
              <w:autoSpaceDE w:val="0"/>
              <w:autoSpaceDN w:val="0"/>
              <w:adjustRightInd w:val="0"/>
              <w:spacing w:line="240" w:lineRule="auto"/>
              <w:rPr>
                <w:szCs w:val="18"/>
              </w:rPr>
            </w:pPr>
            <w:r w:rsidRPr="00854A59">
              <w:rPr>
                <w:szCs w:val="18"/>
              </w:rPr>
              <w:t xml:space="preserve">Hipertansiyon prevalansı %62.2 (kadınlarda% 61.4 ve erkeklerde% 70.1). Hipertansiyonu olduğunu bilenlerin %77.1’inin tansiyonu  kontrol altında değildir. Kadınlarda HT prevalansı erkeklerden yüksektir, eğitim düzeyi daha düşük olanlarda HT farkındalığı daha düşüktür.Sosyoekonomik düzeyi düşük olanlarda hipertansiyon farkındalığı daha azdır. </w:t>
            </w:r>
          </w:p>
          <w:p w:rsidR="000D48B3" w:rsidRPr="00854A59" w:rsidRDefault="000D48B3" w:rsidP="00701C90">
            <w:pPr>
              <w:spacing w:line="240" w:lineRule="auto"/>
              <w:rPr>
                <w:szCs w:val="18"/>
              </w:rPr>
            </w:pPr>
            <w:r w:rsidRPr="00854A59">
              <w:rPr>
                <w:szCs w:val="18"/>
              </w:rPr>
              <w:t xml:space="preserve">Kadın olmak, kentsel / yarı kentsel alanlarda yaşamak ve fazla kilolu ya da obezite olmak hipertansiyonla ilişkili bulunmuştur. Hipertansiyona sahip olduğu değerlendirilenlerin% 78'i daha önce hipertansiyonun farkında değildir.Hİpertansiyon </w:t>
            </w:r>
            <w:r w:rsidRPr="00854A59">
              <w:rPr>
                <w:szCs w:val="18"/>
              </w:rPr>
              <w:lastRenderedPageBreak/>
              <w:t xml:space="preserve">farkındalığını etkileuen faktörler arasında  arasında düşük sosyoekonomik sınıf (OR 8.21) ve VKİ&gt; 25 kg / m2 (OR 3.11) bulunmaktadır. </w:t>
            </w:r>
          </w:p>
          <w:p w:rsidR="000D48B3" w:rsidRPr="00854A59" w:rsidRDefault="000D48B3" w:rsidP="00701C90">
            <w:pPr>
              <w:spacing w:line="240" w:lineRule="auto"/>
              <w:rPr>
                <w:szCs w:val="18"/>
                <w:u w:val="single"/>
                <w:lang w:eastAsia="tr-TR"/>
              </w:rPr>
            </w:pPr>
            <w:r w:rsidRPr="00854A59">
              <w:rPr>
                <w:szCs w:val="18"/>
              </w:rPr>
              <w:t xml:space="preserve"> Hipertansiyonun varlığından haberdar olan ve tedavi görenlerin% 77.3'ü kontrolsüz hipertansiyona sahiptir. Sadece obezite veya aşırı kilo (OR 5.56,% 95 CI 1.35 - 22.83, P &lt;0.016) yetersiz  kan basıncı kontrolüyle ilişkilendirilmiştir.</w:t>
            </w:r>
            <w:r w:rsidRPr="00854A59">
              <w:rPr>
                <w:szCs w:val="18"/>
                <w:u w:val="single"/>
                <w:lang w:eastAsia="tr-TR"/>
              </w:rPr>
              <w:t xml:space="preserve"> </w:t>
            </w:r>
          </w:p>
        </w:tc>
        <w:tc>
          <w:tcPr>
            <w:tcW w:w="1589" w:type="pct"/>
            <w:shd w:val="clear" w:color="auto" w:fill="auto"/>
            <w:vAlign w:val="center"/>
          </w:tcPr>
          <w:p w:rsidR="000D48B3" w:rsidRPr="00854A59" w:rsidRDefault="000D48B3" w:rsidP="00701C90">
            <w:pPr>
              <w:shd w:val="clear" w:color="auto" w:fill="FFFFFF"/>
              <w:spacing w:line="240" w:lineRule="auto"/>
              <w:outlineLvl w:val="1"/>
              <w:rPr>
                <w:szCs w:val="18"/>
                <w:u w:val="single"/>
                <w:lang w:eastAsia="tr-TR"/>
              </w:rPr>
            </w:pPr>
            <w:r w:rsidRPr="00854A59">
              <w:rPr>
                <w:szCs w:val="18"/>
              </w:rPr>
              <w:lastRenderedPageBreak/>
              <w:t>Yaşlı Nijeryalılar arasında hipertansiyon prevalansı yüksektir ve etkilenenler genellikle bu durumun farkında değildir. Tedavi görenlerin sadece azınlığı yeterli kan basıncı kontrolüne sahiptir</w:t>
            </w:r>
            <w:r>
              <w:rPr>
                <w:szCs w:val="18"/>
              </w:rPr>
              <w:t>.</w:t>
            </w:r>
            <w:r w:rsidRPr="00854A59">
              <w:rPr>
                <w:szCs w:val="18"/>
              </w:rPr>
              <w:t>Bireyselleştirilmiş bakım sunulabilmesi için hastayı tanımak, yeteneklerini belirleyerek hastalık yönetimini düzenlemek gerekirken sağlık çalışanlarının yetersiz olması, kronik hastalık yönetiminde konsültasyon ve danışma için zaman baskısı olması nedeniyle etkili iletişim kurulamamasının olumsuz sonuçlarla ilişkili olabileceği belirtilmiştir.</w:t>
            </w: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5</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Yılmazel G,  Çetinkaya F. Relation between Health Literacy Levels, Hypertension Awareness and Control among Primary-secondary School Teachers in Turkey, 2017.</w:t>
            </w:r>
          </w:p>
        </w:tc>
        <w:tc>
          <w:tcPr>
            <w:tcW w:w="812" w:type="pct"/>
            <w:shd w:val="clear" w:color="auto" w:fill="auto"/>
            <w:vAlign w:val="center"/>
          </w:tcPr>
          <w:p w:rsidR="000D48B3" w:rsidRPr="00854A59" w:rsidRDefault="000D48B3" w:rsidP="00701C90">
            <w:pPr>
              <w:spacing w:line="240" w:lineRule="auto"/>
              <w:rPr>
                <w:rFonts w:eastAsia="Calibri"/>
                <w:szCs w:val="18"/>
                <w:lang w:val="en-US"/>
              </w:rPr>
            </w:pPr>
            <w:r w:rsidRPr="00854A59">
              <w:rPr>
                <w:rFonts w:eastAsia="Calibri"/>
                <w:szCs w:val="18"/>
                <w:lang w:val="en-US"/>
              </w:rPr>
              <w:t>500 öğretmen/</w:t>
            </w:r>
          </w:p>
          <w:p w:rsidR="000D48B3" w:rsidRPr="00854A59" w:rsidRDefault="000D48B3" w:rsidP="00701C90">
            <w:pPr>
              <w:spacing w:line="240" w:lineRule="auto"/>
              <w:rPr>
                <w:rFonts w:eastAsia="Calibri"/>
                <w:b/>
                <w:szCs w:val="18"/>
                <w:u w:val="single"/>
                <w:lang w:eastAsia="tr-TR"/>
              </w:rPr>
            </w:pPr>
            <w:r w:rsidRPr="00854A59">
              <w:rPr>
                <w:rFonts w:eastAsia="Calibri"/>
                <w:szCs w:val="18"/>
                <w:lang w:val="en-US"/>
              </w:rPr>
              <w:t xml:space="preserve">Türkiye </w:t>
            </w:r>
          </w:p>
        </w:tc>
        <w:tc>
          <w:tcPr>
            <w:tcW w:w="1516"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Sağlık okuryazarlık düzeyi katılımcıların % 4.0'ının çok sınırlı,% 29.8'i sınırlı ve% 26.2'si sağlıkta yetersizlik düzeyindedir. </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Yeterli sağlık okuryazarlık düzeyine göre hipertansiyon farkındalığı ve kontrolü farklılık göstermemiştir.  </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Sağlık okuryazarlığı düzeyi ile hastaların hekimleriyle olan ilişkilerine ilişkin görüşlerinde farklılık yoktur. Hastalar arasında sağlık çalışanlarınca kendilerine verilen tıbbi kitapçık ve broşürleri anlayamadıklarını bildirienlerin sayısı yüksek olmasına rağmen, bireylerin sağlık okuryazarlığı becerileri hakkındaki görüşleri hipertansiflerde </w:t>
            </w:r>
            <w:r w:rsidRPr="00854A59">
              <w:rPr>
                <w:rFonts w:eastAsia="Calibri"/>
                <w:szCs w:val="18"/>
                <w:lang w:eastAsia="tr-TR"/>
              </w:rPr>
              <w:lastRenderedPageBreak/>
              <w:t>hipertansif olmayanlara göre daha yüksek bulunmuştur.</w:t>
            </w:r>
          </w:p>
          <w:p w:rsidR="000D48B3" w:rsidRPr="00854A59" w:rsidRDefault="000D48B3" w:rsidP="00701C90">
            <w:pPr>
              <w:shd w:val="clear" w:color="auto" w:fill="FFFFFF"/>
              <w:spacing w:line="240" w:lineRule="auto"/>
              <w:outlineLvl w:val="1"/>
              <w:rPr>
                <w:rFonts w:eastAsia="Calibri"/>
                <w:b/>
                <w:szCs w:val="18"/>
                <w:u w:val="single"/>
                <w:lang w:eastAsia="tr-TR"/>
              </w:rPr>
            </w:pPr>
            <w:r w:rsidRPr="00854A59">
              <w:rPr>
                <w:rFonts w:eastAsia="Calibri"/>
                <w:szCs w:val="18"/>
                <w:lang w:eastAsia="tr-TR"/>
              </w:rPr>
              <w:t xml:space="preserve">Hekimlerle olumlu iletişim kuran ve hekimleri tarafından bilgilendirilenlerde yeterli sağlık okuryazarlığı düzeyi daha yüksek bulunmuştur. Yeterli sağlık okur yazarlığa sahip olmayan hastaların hastalık yönetimleri yetersizdir. </w:t>
            </w:r>
          </w:p>
        </w:tc>
        <w:tc>
          <w:tcPr>
            <w:tcW w:w="1589" w:type="pct"/>
            <w:shd w:val="clear" w:color="auto" w:fill="auto"/>
            <w:vAlign w:val="center"/>
          </w:tcPr>
          <w:p w:rsidR="000D48B3" w:rsidRPr="00854A59" w:rsidRDefault="000D48B3" w:rsidP="00701C90">
            <w:pPr>
              <w:shd w:val="clear" w:color="auto" w:fill="FFFFFF"/>
              <w:spacing w:line="240" w:lineRule="auto"/>
              <w:outlineLvl w:val="1"/>
              <w:rPr>
                <w:szCs w:val="18"/>
              </w:rPr>
            </w:pPr>
            <w:r w:rsidRPr="00854A59">
              <w:rPr>
                <w:szCs w:val="18"/>
              </w:rPr>
              <w:lastRenderedPageBreak/>
              <w:t xml:space="preserve">Bireyler “sınırlı” düzeyde sağlık okuryazarlığına sahiptir. </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öğretmenlerde hastalık bilgisi ve farkındalığı düşüktür. Hastalık bilincine ve kontrolüne göre yeterli sağlık okuryazarlığı düzeyi düşüktür. Öğretmenlerin ölçülen sağlık okuryazarlığı düzeyleri, kendi değerlendirmeleriyle örtüşmemiştir.</w:t>
            </w: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6</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Wijayathunge  Ladnl, Hettiaratchi Upk.</w:t>
            </w:r>
          </w:p>
          <w:p w:rsidR="000D48B3" w:rsidRPr="00854A59" w:rsidRDefault="000D48B3" w:rsidP="00701C90">
            <w:pPr>
              <w:shd w:val="clear" w:color="auto" w:fill="FFFFFF"/>
              <w:spacing w:line="240" w:lineRule="auto"/>
              <w:outlineLvl w:val="1"/>
              <w:rPr>
                <w:rFonts w:eastAsia="Calibri"/>
                <w:szCs w:val="18"/>
                <w:lang w:eastAsia="tr-TR"/>
              </w:rPr>
            </w:pP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Assessment of knowledge and risk factors of hypertension among school teachers in a selected district in North Central Province of Sri Lanka, 2017.</w:t>
            </w:r>
          </w:p>
        </w:tc>
        <w:tc>
          <w:tcPr>
            <w:tcW w:w="812" w:type="pct"/>
            <w:shd w:val="clear" w:color="auto" w:fill="auto"/>
            <w:vAlign w:val="center"/>
          </w:tcPr>
          <w:p w:rsidR="000D48B3" w:rsidRPr="00854A59" w:rsidRDefault="000D48B3" w:rsidP="00701C90">
            <w:pPr>
              <w:spacing w:line="240" w:lineRule="auto"/>
              <w:rPr>
                <w:rFonts w:eastAsia="Calibri"/>
                <w:szCs w:val="18"/>
                <w:lang w:eastAsia="tr-TR"/>
              </w:rPr>
            </w:pPr>
            <w:r w:rsidRPr="00854A59">
              <w:rPr>
                <w:szCs w:val="18"/>
              </w:rPr>
              <w:t>397 öğretmen</w:t>
            </w:r>
          </w:p>
        </w:tc>
        <w:tc>
          <w:tcPr>
            <w:tcW w:w="1516" w:type="pct"/>
            <w:shd w:val="clear" w:color="auto" w:fill="auto"/>
            <w:vAlign w:val="center"/>
          </w:tcPr>
          <w:p w:rsidR="000D48B3" w:rsidRPr="00854A59" w:rsidRDefault="000D48B3" w:rsidP="00701C90">
            <w:pPr>
              <w:spacing w:line="240" w:lineRule="auto"/>
              <w:rPr>
                <w:szCs w:val="18"/>
              </w:rPr>
            </w:pPr>
            <w:r w:rsidRPr="00854A59">
              <w:rPr>
                <w:szCs w:val="18"/>
              </w:rPr>
              <w:t>% 79.6'sı kadın</w:t>
            </w:r>
          </w:p>
          <w:p w:rsidR="000D48B3" w:rsidRPr="00854A59" w:rsidRDefault="000D48B3" w:rsidP="00701C90">
            <w:pPr>
              <w:spacing w:line="240" w:lineRule="auto"/>
              <w:rPr>
                <w:szCs w:val="18"/>
              </w:rPr>
            </w:pPr>
            <w:r w:rsidRPr="00854A59">
              <w:rPr>
                <w:szCs w:val="18"/>
              </w:rPr>
              <w:t>Katılımcıların % 21.9’unu hipertansif,</w:t>
            </w:r>
          </w:p>
          <w:p w:rsidR="000D48B3" w:rsidRPr="00854A59" w:rsidRDefault="000D48B3" w:rsidP="00701C90">
            <w:pPr>
              <w:spacing w:line="240" w:lineRule="auto"/>
              <w:rPr>
                <w:szCs w:val="18"/>
              </w:rPr>
            </w:pPr>
            <w:r w:rsidRPr="00854A59">
              <w:rPr>
                <w:szCs w:val="18"/>
              </w:rPr>
              <w:t xml:space="preserve">Bir yıl içinde öğretmenlerin %50.6’sı KB kontrol ettirmemiş ve %15.4’ü hiç tansiyon kontrolü yaptırmamış, % 59.9’unun hipertansiyon açısından bilgisi yetersizken sadece </w:t>
            </w:r>
          </w:p>
          <w:p w:rsidR="000D48B3" w:rsidRPr="00854A59" w:rsidRDefault="000D48B3" w:rsidP="00701C90">
            <w:pPr>
              <w:spacing w:line="240" w:lineRule="auto"/>
              <w:rPr>
                <w:szCs w:val="18"/>
              </w:rPr>
            </w:pPr>
            <w:r w:rsidRPr="00854A59">
              <w:rPr>
                <w:szCs w:val="18"/>
              </w:rPr>
              <w:t>% 1.3'ü hipertansiyon hakkında temel bilgiler hakkında iyi bilgiye sahiptir.</w:t>
            </w:r>
          </w:p>
          <w:p w:rsidR="000D48B3" w:rsidRPr="00854A59" w:rsidRDefault="000D48B3" w:rsidP="00701C90">
            <w:pPr>
              <w:spacing w:line="240" w:lineRule="auto"/>
              <w:rPr>
                <w:rFonts w:eastAsia="Calibri"/>
                <w:szCs w:val="18"/>
                <w:lang w:eastAsia="tr-TR"/>
              </w:rPr>
            </w:pPr>
            <w:r w:rsidRPr="00854A59">
              <w:rPr>
                <w:rFonts w:eastAsia="Calibri"/>
                <w:szCs w:val="18"/>
                <w:lang w:eastAsia="tr-TR"/>
              </w:rPr>
              <w:t>% 57.8'inin aile öyküsünde hipertansiyonun  mevcut olduğu, %51.6'sının  obez % 50,9'u ise düzenli egzersiz yapmadığı, %19.1 NSAİ kullandığı, %47.4’ü tuzu önerilenden fazla kullandığı belirtilmiştir.</w:t>
            </w:r>
          </w:p>
        </w:tc>
        <w:tc>
          <w:tcPr>
            <w:tcW w:w="1589"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Popülasyonunda hastalık durumu ve yüksek risk faktörleri hakkındaki bilgi düzeyinin düşük olması nedeniyle, sağlık eğitim oturumlarına ve taramalara ihtiyaç vardır.</w:t>
            </w: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7</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val="en-US"/>
              </w:rPr>
            </w:pPr>
            <w:r w:rsidRPr="00854A59">
              <w:rPr>
                <w:rFonts w:eastAsia="Calibri"/>
                <w:szCs w:val="18"/>
                <w:lang w:val="en-US"/>
              </w:rPr>
              <w:t>Shi D, Li J, Wang Y, Wang S, Liu K, Shi R, Zhang Q, Chen X.</w:t>
            </w:r>
          </w:p>
          <w:p w:rsidR="000D48B3" w:rsidRPr="00854A59" w:rsidRDefault="000D48B3" w:rsidP="00701C90">
            <w:pPr>
              <w:shd w:val="clear" w:color="auto" w:fill="FFFFFF"/>
              <w:spacing w:line="240" w:lineRule="auto"/>
              <w:outlineLvl w:val="1"/>
              <w:rPr>
                <w:rFonts w:eastAsia="Calibri"/>
                <w:szCs w:val="18"/>
                <w:lang w:val="en-US"/>
              </w:rPr>
            </w:pP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Association between health literacy and hypertension management in a Chinese community: a retrospective cohort study, 2017.</w:t>
            </w:r>
          </w:p>
          <w:p w:rsidR="000D48B3" w:rsidRPr="00854A59" w:rsidRDefault="000D48B3" w:rsidP="00701C90">
            <w:pPr>
              <w:shd w:val="clear" w:color="auto" w:fill="FFFFFF"/>
              <w:spacing w:line="240" w:lineRule="auto"/>
              <w:outlineLvl w:val="1"/>
              <w:rPr>
                <w:rFonts w:eastAsia="Calibri"/>
                <w:szCs w:val="18"/>
                <w:lang w:eastAsia="tr-TR"/>
              </w:rPr>
            </w:pPr>
          </w:p>
        </w:tc>
        <w:tc>
          <w:tcPr>
            <w:tcW w:w="812" w:type="pct"/>
            <w:shd w:val="clear" w:color="auto" w:fill="auto"/>
            <w:vAlign w:val="center"/>
          </w:tcPr>
          <w:p w:rsidR="000D48B3" w:rsidRPr="00854A59" w:rsidRDefault="000D48B3" w:rsidP="00701C90">
            <w:pPr>
              <w:spacing w:line="240" w:lineRule="auto"/>
              <w:rPr>
                <w:szCs w:val="18"/>
                <w:lang w:eastAsia="tr-TR"/>
              </w:rPr>
            </w:pPr>
            <w:r w:rsidRPr="00854A59">
              <w:rPr>
                <w:szCs w:val="18"/>
                <w:lang w:eastAsia="tr-TR"/>
              </w:rPr>
              <w:lastRenderedPageBreak/>
              <w:t>360 hipertansiyon hastası/</w:t>
            </w:r>
          </w:p>
          <w:p w:rsidR="000D48B3" w:rsidRPr="00854A59" w:rsidRDefault="000D48B3" w:rsidP="00701C90">
            <w:pPr>
              <w:spacing w:line="240" w:lineRule="auto"/>
              <w:rPr>
                <w:szCs w:val="18"/>
                <w:lang w:eastAsia="tr-TR"/>
              </w:rPr>
            </w:pPr>
          </w:p>
          <w:p w:rsidR="000D48B3" w:rsidRPr="00854A59" w:rsidRDefault="000D48B3" w:rsidP="00701C90">
            <w:pPr>
              <w:spacing w:line="240" w:lineRule="auto"/>
              <w:rPr>
                <w:szCs w:val="18"/>
                <w:lang w:eastAsia="tr-TR"/>
              </w:rPr>
            </w:pPr>
            <w:r w:rsidRPr="00854A59">
              <w:rPr>
                <w:szCs w:val="18"/>
                <w:lang w:eastAsia="tr-TR"/>
              </w:rPr>
              <w:t>Çin</w:t>
            </w:r>
          </w:p>
          <w:p w:rsidR="000D48B3" w:rsidRPr="00854A59" w:rsidRDefault="000D48B3" w:rsidP="00701C90">
            <w:pPr>
              <w:spacing w:line="240" w:lineRule="auto"/>
              <w:rPr>
                <w:szCs w:val="18"/>
                <w:lang w:eastAsia="tr-TR"/>
              </w:rPr>
            </w:pPr>
          </w:p>
          <w:p w:rsidR="000D48B3" w:rsidRPr="00854A59" w:rsidRDefault="000D48B3" w:rsidP="00701C90">
            <w:pPr>
              <w:spacing w:line="240" w:lineRule="auto"/>
              <w:rPr>
                <w:rFonts w:eastAsia="Calibri"/>
                <w:b/>
                <w:szCs w:val="18"/>
                <w:u w:val="single"/>
                <w:lang w:eastAsia="tr-TR"/>
              </w:rPr>
            </w:pPr>
            <w:r w:rsidRPr="00854A59">
              <w:rPr>
                <w:szCs w:val="18"/>
                <w:lang w:eastAsia="tr-TR"/>
              </w:rPr>
              <w:t>Retrospektif kohort çalışma</w:t>
            </w:r>
          </w:p>
        </w:tc>
        <w:tc>
          <w:tcPr>
            <w:tcW w:w="1516" w:type="pct"/>
            <w:shd w:val="clear" w:color="auto" w:fill="auto"/>
            <w:vAlign w:val="center"/>
          </w:tcPr>
          <w:p w:rsidR="000D48B3" w:rsidRPr="00854A59" w:rsidRDefault="000D48B3" w:rsidP="00701C90">
            <w:pPr>
              <w:spacing w:line="240" w:lineRule="auto"/>
              <w:rPr>
                <w:rFonts w:eastAsia="Calibri"/>
                <w:szCs w:val="18"/>
                <w:lang w:val="en-US" w:eastAsia="tr-TR"/>
              </w:rPr>
            </w:pPr>
            <w:r w:rsidRPr="00854A59">
              <w:rPr>
                <w:rFonts w:eastAsia="Calibri"/>
                <w:szCs w:val="18"/>
                <w:lang w:val="en-US" w:eastAsia="tr-TR"/>
              </w:rPr>
              <w:lastRenderedPageBreak/>
              <w:t>Eğitim seviyesi, evde tansiyon ölçümü, düzenli ilaç kullanmı ve sistolik kan basıncı sağlık okuryazarlığı ile önemli ölçüde ilişkilidir.</w:t>
            </w:r>
          </w:p>
          <w:p w:rsidR="000D48B3" w:rsidRPr="00854A59" w:rsidRDefault="000D48B3" w:rsidP="00701C90">
            <w:pPr>
              <w:spacing w:line="240" w:lineRule="auto"/>
              <w:rPr>
                <w:rFonts w:eastAsia="Calibri"/>
                <w:szCs w:val="18"/>
                <w:lang w:val="en-US" w:eastAsia="tr-TR"/>
              </w:rPr>
            </w:pPr>
            <w:r w:rsidRPr="00854A59">
              <w:rPr>
                <w:rFonts w:eastAsia="Calibri"/>
                <w:szCs w:val="18"/>
                <w:lang w:val="en-US" w:eastAsia="tr-TR"/>
              </w:rPr>
              <w:lastRenderedPageBreak/>
              <w:t>Sağlık okuryazarlığı yüksek olan hastalarda daha iyi hipertansiyon kontrolü, daha düşük iskemik kardiyovasküler hastalık riski, ve daha iyi sağlıkla ilişkili yaşam kalitesi vardır.</w:t>
            </w:r>
          </w:p>
          <w:p w:rsidR="000D48B3" w:rsidRPr="00854A59" w:rsidRDefault="000D48B3" w:rsidP="00701C90">
            <w:pPr>
              <w:spacing w:line="240" w:lineRule="auto"/>
              <w:rPr>
                <w:rFonts w:eastAsia="Calibri"/>
                <w:b/>
                <w:szCs w:val="18"/>
                <w:u w:val="single"/>
                <w:lang w:eastAsia="tr-TR"/>
              </w:rPr>
            </w:pPr>
            <w:r w:rsidRPr="00854A59">
              <w:rPr>
                <w:rFonts w:eastAsia="Calibri"/>
                <w:szCs w:val="18"/>
                <w:lang w:val="en-US" w:eastAsia="tr-TR"/>
              </w:rPr>
              <w:t xml:space="preserve"> Yüksek sağlık okuryazarlığa sahip bireyler düşük sağlık okuryazarlığa sahip bireylerle karşılaştırıldığında, erkek, daha yüksek eğitimli, yüksek gelire sahip, işsizliğin daha az olduğu grup olduğu saptanmıştır. Bu kişilerin sistolik kan basınçları daha düşük, ilaç ve egzersiz uyumları daha iyidir. </w:t>
            </w:r>
          </w:p>
        </w:tc>
        <w:tc>
          <w:tcPr>
            <w:tcW w:w="1589"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 xml:space="preserve">Yeterli sağlık okuryazarlığı, hipertansif hastalarda daha iyi kan basıncı (BP) kontrolü ve daha iyi algılanan yaşam kalitesi </w:t>
            </w:r>
            <w:r w:rsidRPr="00854A59">
              <w:rPr>
                <w:rFonts w:eastAsia="Calibri"/>
                <w:szCs w:val="18"/>
                <w:lang w:eastAsia="tr-TR"/>
              </w:rPr>
              <w:lastRenderedPageBreak/>
              <w:t>için katkıda bulunan bir faktördür.</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Düşük sağlık okuryazarlığı hipertansif hastalarda 10 yıllık ICVD riskini ve arter sertliğini artırır. </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Sağlık okuryazarlığının iyileştirilmesi, hipertansiyon yönetiminin önemli bir parçası olarak düşünülmelidir.</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Düşük sağlık okuryazarlığı kötü klinik sonuçlarla ilişkilidir. Okuryazarlık ve tansiyon arasındaki ilişki tutarsızdır.</w:t>
            </w:r>
          </w:p>
        </w:tc>
      </w:tr>
      <w:tr w:rsidR="000D48B3" w:rsidRPr="00854A59" w:rsidTr="00701C90">
        <w:trPr>
          <w:trHeight w:val="2813"/>
        </w:trPr>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8</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Naimi AJ, Naderiravesh N, Bayat ZS, Shakeri N, Matbouei M.</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Correlation between health literacy and health-related quality of life in patients with hypertension, in Tehran, Iran, 2015-2016.</w:t>
            </w:r>
          </w:p>
        </w:tc>
        <w:tc>
          <w:tcPr>
            <w:tcW w:w="812" w:type="pct"/>
            <w:shd w:val="clear" w:color="auto" w:fill="auto"/>
            <w:vAlign w:val="center"/>
          </w:tcPr>
          <w:p w:rsidR="000D48B3" w:rsidRPr="00854A59" w:rsidRDefault="000D48B3" w:rsidP="00701C90">
            <w:pPr>
              <w:spacing w:line="240" w:lineRule="auto"/>
              <w:rPr>
                <w:szCs w:val="18"/>
              </w:rPr>
            </w:pPr>
            <w:r w:rsidRPr="00854A59">
              <w:rPr>
                <w:szCs w:val="18"/>
              </w:rPr>
              <w:t>hipertansiyonlu 400 hasta</w:t>
            </w:r>
          </w:p>
          <w:p w:rsidR="000D48B3" w:rsidRPr="00854A59" w:rsidRDefault="000D48B3" w:rsidP="00701C90">
            <w:pPr>
              <w:spacing w:line="240" w:lineRule="auto"/>
              <w:rPr>
                <w:szCs w:val="18"/>
              </w:rPr>
            </w:pPr>
            <w:r w:rsidRPr="00854A59">
              <w:rPr>
                <w:szCs w:val="18"/>
              </w:rPr>
              <w:t>İran</w:t>
            </w:r>
          </w:p>
          <w:p w:rsidR="000D48B3" w:rsidRPr="00854A59" w:rsidRDefault="000D48B3" w:rsidP="00701C90">
            <w:pPr>
              <w:spacing w:line="240" w:lineRule="auto"/>
              <w:rPr>
                <w:rFonts w:eastAsia="Calibri"/>
                <w:b/>
                <w:szCs w:val="18"/>
                <w:u w:val="single"/>
                <w:lang w:eastAsia="tr-TR"/>
              </w:rPr>
            </w:pPr>
            <w:r w:rsidRPr="00854A59">
              <w:rPr>
                <w:szCs w:val="18"/>
              </w:rPr>
              <w:t>Kesitsel çalışma</w:t>
            </w:r>
          </w:p>
        </w:tc>
        <w:tc>
          <w:tcPr>
            <w:tcW w:w="1516" w:type="pct"/>
            <w:shd w:val="clear" w:color="auto" w:fill="auto"/>
            <w:vAlign w:val="center"/>
          </w:tcPr>
          <w:p w:rsidR="000D48B3" w:rsidRPr="00854A59" w:rsidRDefault="000D48B3" w:rsidP="00701C90">
            <w:pPr>
              <w:spacing w:line="240" w:lineRule="auto"/>
              <w:rPr>
                <w:bCs/>
                <w:szCs w:val="18"/>
              </w:rPr>
            </w:pPr>
            <w:r w:rsidRPr="00854A59">
              <w:rPr>
                <w:bCs/>
                <w:szCs w:val="18"/>
              </w:rPr>
              <w:t>Sağlik okuryazarlığı ile sağlıkla ilişkili yaşam kalitesi arasinda pozitif ve anlamli bir ilişki vardır ( r = 0.30).</w:t>
            </w:r>
          </w:p>
          <w:p w:rsidR="000D48B3" w:rsidRPr="00854A59" w:rsidRDefault="000D48B3" w:rsidP="00701C90">
            <w:pPr>
              <w:spacing w:line="240" w:lineRule="auto"/>
              <w:rPr>
                <w:rFonts w:eastAsia="Calibri"/>
                <w:szCs w:val="18"/>
                <w:lang w:val="en-US"/>
              </w:rPr>
            </w:pPr>
            <w:r w:rsidRPr="00854A59">
              <w:rPr>
                <w:bCs/>
                <w:szCs w:val="18"/>
              </w:rPr>
              <w:t xml:space="preserve">Hipertansiyonu olan  hastaların %7.8’inin sağlık okuryazarlığı yetersiz %55’inin sınırda ve %37.2’sinin yeterli düzeydedir. </w:t>
            </w:r>
          </w:p>
          <w:p w:rsidR="000D48B3" w:rsidRPr="00854A59" w:rsidRDefault="000D48B3" w:rsidP="00701C90">
            <w:pPr>
              <w:spacing w:line="240" w:lineRule="auto"/>
              <w:rPr>
                <w:rFonts w:eastAsia="Calibri"/>
                <w:b/>
                <w:szCs w:val="18"/>
                <w:u w:val="single"/>
                <w:lang w:eastAsia="tr-TR"/>
              </w:rPr>
            </w:pPr>
          </w:p>
        </w:tc>
        <w:tc>
          <w:tcPr>
            <w:tcW w:w="1589" w:type="pct"/>
            <w:shd w:val="clear" w:color="auto" w:fill="auto"/>
            <w:vAlign w:val="center"/>
          </w:tcPr>
          <w:p w:rsidR="000D48B3" w:rsidRPr="00854A59" w:rsidRDefault="000D48B3" w:rsidP="00701C90">
            <w:pPr>
              <w:spacing w:line="240" w:lineRule="auto"/>
              <w:ind w:left="284"/>
              <w:rPr>
                <w:rFonts w:eastAsia="Calibri"/>
                <w:szCs w:val="18"/>
                <w:lang w:eastAsia="tr-TR"/>
              </w:rPr>
            </w:pPr>
            <w:r w:rsidRPr="00854A59">
              <w:rPr>
                <w:rFonts w:eastAsia="Calibri"/>
                <w:szCs w:val="18"/>
                <w:lang w:val="en-US"/>
              </w:rPr>
              <w:t>Araştırma bulgularına göre sağlık okuryazarlığı ile sağlıkla ilişkili yaşam kalitesi arasında anlamlı pozitif bir ilişki bulunmuştur. Sağlık okuryazarlığının hipertansiyonlu hastalarda yaşam kalitesindeki önemi göz önünde bulundurulduğunda, hemşirelilerin ve politika belirleyicilerinin, hastaların sağlığına ve yaşam kalitesine katkıda bulunmaları ve hastaların sağlığına uygun eğitim programları kullanılarak adım atmaları gerektiği görülmektedir.</w:t>
            </w:r>
            <w:r w:rsidRPr="00854A59">
              <w:rPr>
                <w:rFonts w:eastAsia="Calibri"/>
                <w:szCs w:val="18"/>
                <w:lang w:eastAsia="tr-TR"/>
              </w:rPr>
              <w:t xml:space="preserve"> </w:t>
            </w: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9</w:t>
            </w:r>
          </w:p>
        </w:tc>
        <w:tc>
          <w:tcPr>
            <w:tcW w:w="883" w:type="pct"/>
            <w:shd w:val="clear" w:color="auto" w:fill="auto"/>
          </w:tcPr>
          <w:p w:rsidR="000D48B3" w:rsidRPr="00854A59" w:rsidRDefault="000D48B3" w:rsidP="00701C90">
            <w:pPr>
              <w:shd w:val="clear" w:color="auto" w:fill="FFFFFF"/>
              <w:spacing w:line="240" w:lineRule="auto"/>
              <w:outlineLvl w:val="1"/>
              <w:rPr>
                <w:rFonts w:eastAsia="Calibri"/>
                <w:szCs w:val="18"/>
              </w:rPr>
            </w:pPr>
            <w:r w:rsidRPr="00854A59">
              <w:rPr>
                <w:rFonts w:eastAsia="Calibri"/>
                <w:szCs w:val="18"/>
              </w:rPr>
              <w:t xml:space="preserve">Darvishpour J, Omidi S, Farmanbar R. </w:t>
            </w:r>
          </w:p>
          <w:p w:rsidR="000D48B3" w:rsidRPr="00854A59" w:rsidRDefault="000D48B3" w:rsidP="00701C90">
            <w:pPr>
              <w:shd w:val="clear" w:color="auto" w:fill="FFFFFF"/>
              <w:spacing w:line="240" w:lineRule="auto"/>
              <w:outlineLvl w:val="1"/>
              <w:rPr>
                <w:rFonts w:eastAsia="Calibri"/>
                <w:sz w:val="10"/>
                <w:szCs w:val="18"/>
              </w:rPr>
            </w:pP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rPr>
              <w:lastRenderedPageBreak/>
              <w:t>The relationship between</w:t>
            </w:r>
            <w:r w:rsidRPr="00854A59">
              <w:rPr>
                <w:rFonts w:eastAsia="Calibri"/>
                <w:szCs w:val="18"/>
              </w:rPr>
              <w:br/>
              <w:t>health literacy and hypertension treatment control and follow-up. 2016.</w:t>
            </w:r>
          </w:p>
        </w:tc>
        <w:tc>
          <w:tcPr>
            <w:tcW w:w="812" w:type="pct"/>
            <w:shd w:val="clear" w:color="auto" w:fill="auto"/>
          </w:tcPr>
          <w:p w:rsidR="000D48B3" w:rsidRPr="00854A59" w:rsidRDefault="000D48B3" w:rsidP="00701C90">
            <w:pPr>
              <w:spacing w:line="240" w:lineRule="auto"/>
              <w:rPr>
                <w:rFonts w:eastAsia="Calibri"/>
                <w:b/>
                <w:szCs w:val="18"/>
                <w:u w:val="single"/>
                <w:lang w:eastAsia="tr-TR"/>
              </w:rPr>
            </w:pPr>
          </w:p>
        </w:tc>
        <w:tc>
          <w:tcPr>
            <w:tcW w:w="1516" w:type="pct"/>
            <w:shd w:val="clear" w:color="auto" w:fill="auto"/>
            <w:vAlign w:val="center"/>
          </w:tcPr>
          <w:p w:rsidR="000D48B3" w:rsidRPr="00854A59" w:rsidRDefault="000D48B3" w:rsidP="00701C90">
            <w:pPr>
              <w:spacing w:line="240" w:lineRule="auto"/>
              <w:rPr>
                <w:rFonts w:eastAsia="Calibri"/>
                <w:szCs w:val="18"/>
                <w:lang w:val="en-US" w:eastAsia="tr-TR"/>
              </w:rPr>
            </w:pPr>
            <w:r w:rsidRPr="00854A59">
              <w:rPr>
                <w:rFonts w:eastAsia="Calibri"/>
                <w:szCs w:val="18"/>
                <w:lang w:val="en-US" w:eastAsia="tr-TR"/>
              </w:rPr>
              <w:t xml:space="preserve">Hipertansiyon hastalarının sadece %44’ü yeterli sağlık okuryazarlığı düzeyie sahiptir. </w:t>
            </w:r>
          </w:p>
          <w:p w:rsidR="000D48B3" w:rsidRPr="00854A59" w:rsidRDefault="000D48B3" w:rsidP="00701C90">
            <w:pPr>
              <w:spacing w:line="240" w:lineRule="auto"/>
              <w:rPr>
                <w:rFonts w:eastAsia="Calibri"/>
                <w:b/>
                <w:szCs w:val="18"/>
                <w:u w:val="single"/>
                <w:lang w:eastAsia="tr-TR"/>
              </w:rPr>
            </w:pPr>
            <w:r w:rsidRPr="00854A59">
              <w:rPr>
                <w:rFonts w:eastAsia="Calibri"/>
                <w:szCs w:val="18"/>
                <w:lang w:val="en-US" w:eastAsia="tr-TR"/>
              </w:rPr>
              <w:lastRenderedPageBreak/>
              <w:t xml:space="preserve">Sağlık okur yazarlığı ile kan basıncı bilgisi arasında pozitif yönde ilişki vardır. </w:t>
            </w:r>
          </w:p>
        </w:tc>
        <w:tc>
          <w:tcPr>
            <w:tcW w:w="1589"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10</w:t>
            </w:r>
          </w:p>
        </w:tc>
        <w:tc>
          <w:tcPr>
            <w:tcW w:w="883" w:type="pct"/>
            <w:shd w:val="clear" w:color="auto" w:fill="auto"/>
            <w:vAlign w:val="center"/>
          </w:tcPr>
          <w:p w:rsidR="000D48B3" w:rsidRPr="00854A59" w:rsidRDefault="000D48B3" w:rsidP="00701C90">
            <w:pPr>
              <w:shd w:val="clear" w:color="auto" w:fill="FFFFFF"/>
              <w:spacing w:line="240" w:lineRule="auto"/>
              <w:rPr>
                <w:szCs w:val="18"/>
                <w:lang w:val="en-US"/>
              </w:rPr>
            </w:pPr>
            <w:hyperlink r:id="rId7" w:history="1">
              <w:r w:rsidRPr="00854A59">
                <w:rPr>
                  <w:szCs w:val="18"/>
                  <w:lang w:val="en-US"/>
                </w:rPr>
                <w:t>Banerjee S</w:t>
              </w:r>
            </w:hyperlink>
            <w:r w:rsidRPr="00854A59">
              <w:rPr>
                <w:szCs w:val="18"/>
                <w:lang w:val="en-US"/>
              </w:rPr>
              <w:t>, </w:t>
            </w:r>
            <w:hyperlink r:id="rId8" w:history="1">
              <w:r w:rsidRPr="00854A59">
                <w:rPr>
                  <w:szCs w:val="18"/>
                  <w:lang w:val="en-US"/>
                </w:rPr>
                <w:t>Mukherjee TK</w:t>
              </w:r>
            </w:hyperlink>
            <w:r w:rsidRPr="00854A59">
              <w:rPr>
                <w:szCs w:val="18"/>
                <w:lang w:val="en-US"/>
              </w:rPr>
              <w:t>, </w:t>
            </w:r>
            <w:hyperlink r:id="rId9" w:history="1">
              <w:r w:rsidRPr="00854A59">
                <w:rPr>
                  <w:szCs w:val="18"/>
                  <w:lang w:val="en-US"/>
                </w:rPr>
                <w:t>Basu S</w:t>
              </w:r>
            </w:hyperlink>
            <w:r w:rsidRPr="00854A59">
              <w:rPr>
                <w:szCs w:val="18"/>
                <w:lang w:val="en-US"/>
              </w:rPr>
              <w:t>.</w:t>
            </w:r>
          </w:p>
          <w:p w:rsidR="000D48B3" w:rsidRPr="00854A59" w:rsidRDefault="000D48B3" w:rsidP="00701C90">
            <w:pPr>
              <w:shd w:val="clear" w:color="auto" w:fill="FFFFFF"/>
              <w:spacing w:line="240" w:lineRule="auto"/>
              <w:outlineLvl w:val="1"/>
              <w:rPr>
                <w:rFonts w:eastAsia="Calibri"/>
                <w:szCs w:val="18"/>
              </w:rPr>
            </w:pPr>
          </w:p>
          <w:p w:rsidR="000D48B3" w:rsidRPr="00854A59" w:rsidRDefault="000D48B3" w:rsidP="00701C90">
            <w:pPr>
              <w:shd w:val="clear" w:color="auto" w:fill="FFFFFF"/>
              <w:spacing w:line="240" w:lineRule="auto"/>
              <w:outlineLvl w:val="1"/>
              <w:rPr>
                <w:rFonts w:eastAsia="Calibri"/>
                <w:szCs w:val="18"/>
              </w:rPr>
            </w:pPr>
            <w:r w:rsidRPr="00854A59">
              <w:rPr>
                <w:rFonts w:eastAsia="Calibri"/>
                <w:szCs w:val="18"/>
              </w:rPr>
              <w:t>Prevalence, awareness, and control of hypertension in the slums of Kolkata, 2016</w:t>
            </w:r>
            <w:r>
              <w:rPr>
                <w:rFonts w:eastAsia="Calibri"/>
                <w:szCs w:val="18"/>
              </w:rPr>
              <w:t>.</w:t>
            </w:r>
          </w:p>
          <w:p w:rsidR="000D48B3" w:rsidRPr="00854A59" w:rsidRDefault="000D48B3" w:rsidP="00701C90">
            <w:pPr>
              <w:shd w:val="clear" w:color="auto" w:fill="FFFFFF"/>
              <w:spacing w:line="240" w:lineRule="auto"/>
              <w:outlineLvl w:val="1"/>
              <w:rPr>
                <w:rFonts w:eastAsia="Calibri"/>
                <w:szCs w:val="18"/>
              </w:rPr>
            </w:pPr>
          </w:p>
          <w:p w:rsidR="000D48B3" w:rsidRPr="00854A59" w:rsidRDefault="000D48B3" w:rsidP="00701C90">
            <w:pPr>
              <w:shd w:val="clear" w:color="auto" w:fill="FFFFFF"/>
              <w:spacing w:line="240" w:lineRule="auto"/>
              <w:outlineLvl w:val="1"/>
              <w:rPr>
                <w:rFonts w:eastAsia="Calibri"/>
                <w:szCs w:val="18"/>
              </w:rPr>
            </w:pPr>
          </w:p>
          <w:p w:rsidR="000D48B3" w:rsidRPr="00854A59" w:rsidRDefault="000D48B3" w:rsidP="00701C90">
            <w:pPr>
              <w:shd w:val="clear" w:color="auto" w:fill="FFFFFF"/>
              <w:spacing w:line="240" w:lineRule="auto"/>
              <w:outlineLvl w:val="1"/>
              <w:rPr>
                <w:rFonts w:eastAsia="Calibri"/>
                <w:szCs w:val="18"/>
              </w:rPr>
            </w:pPr>
          </w:p>
          <w:p w:rsidR="000D48B3" w:rsidRPr="00854A59" w:rsidRDefault="000D48B3" w:rsidP="00701C90">
            <w:pPr>
              <w:shd w:val="clear" w:color="auto" w:fill="FFFFFF"/>
              <w:spacing w:line="240" w:lineRule="auto"/>
              <w:outlineLvl w:val="1"/>
              <w:rPr>
                <w:rFonts w:eastAsia="Calibri"/>
                <w:szCs w:val="18"/>
              </w:rPr>
            </w:pPr>
          </w:p>
        </w:tc>
        <w:tc>
          <w:tcPr>
            <w:tcW w:w="812" w:type="pct"/>
            <w:shd w:val="clear" w:color="auto" w:fill="auto"/>
            <w:vAlign w:val="center"/>
          </w:tcPr>
          <w:p w:rsidR="000D48B3" w:rsidRPr="00854A59" w:rsidRDefault="000D48B3" w:rsidP="00701C90">
            <w:pPr>
              <w:spacing w:line="240" w:lineRule="auto"/>
              <w:rPr>
                <w:szCs w:val="18"/>
              </w:rPr>
            </w:pPr>
            <w:r w:rsidRPr="00854A59">
              <w:rPr>
                <w:szCs w:val="18"/>
              </w:rPr>
              <w:t>20 yaş üstü 10.175 yetişkin</w:t>
            </w:r>
          </w:p>
          <w:p w:rsidR="000D48B3" w:rsidRPr="00854A59" w:rsidRDefault="000D48B3" w:rsidP="00701C90">
            <w:pPr>
              <w:spacing w:line="240" w:lineRule="auto"/>
              <w:rPr>
                <w:szCs w:val="18"/>
              </w:rPr>
            </w:pPr>
            <w:r w:rsidRPr="00854A59">
              <w:rPr>
                <w:szCs w:val="18"/>
              </w:rPr>
              <w:t>İran,</w:t>
            </w:r>
          </w:p>
          <w:p w:rsidR="000D48B3" w:rsidRPr="00854A59" w:rsidRDefault="000D48B3" w:rsidP="00701C90">
            <w:pPr>
              <w:spacing w:line="240" w:lineRule="auto"/>
              <w:rPr>
                <w:szCs w:val="18"/>
              </w:rPr>
            </w:pPr>
            <w:r>
              <w:rPr>
                <w:szCs w:val="18"/>
              </w:rPr>
              <w:t>Kolkata gecekondu mahalleri</w:t>
            </w:r>
          </w:p>
          <w:p w:rsidR="000D48B3" w:rsidRPr="00854A59" w:rsidRDefault="000D48B3" w:rsidP="00701C90">
            <w:pPr>
              <w:shd w:val="clear" w:color="auto" w:fill="FFFFFF"/>
              <w:spacing w:line="240" w:lineRule="auto"/>
              <w:outlineLvl w:val="1"/>
              <w:rPr>
                <w:rFonts w:eastAsia="Calibri"/>
                <w:szCs w:val="18"/>
              </w:rPr>
            </w:pPr>
            <w:r w:rsidRPr="00854A59">
              <w:rPr>
                <w:szCs w:val="18"/>
              </w:rPr>
              <w:t>nüfus tabanlı bir kesitsel çalışma</w:t>
            </w:r>
          </w:p>
          <w:p w:rsidR="000D48B3" w:rsidRPr="00854A59" w:rsidRDefault="000D48B3" w:rsidP="00701C90">
            <w:pPr>
              <w:shd w:val="clear" w:color="auto" w:fill="FFFFFF"/>
              <w:spacing w:line="240" w:lineRule="auto"/>
              <w:outlineLvl w:val="1"/>
              <w:rPr>
                <w:rFonts w:eastAsia="Calibri"/>
                <w:szCs w:val="18"/>
              </w:rPr>
            </w:pPr>
          </w:p>
          <w:p w:rsidR="000D48B3" w:rsidRPr="00854A59" w:rsidRDefault="000D48B3" w:rsidP="00701C90">
            <w:pPr>
              <w:spacing w:line="240" w:lineRule="auto"/>
              <w:rPr>
                <w:szCs w:val="18"/>
              </w:rPr>
            </w:pPr>
          </w:p>
          <w:p w:rsidR="000D48B3" w:rsidRPr="00854A59" w:rsidRDefault="000D48B3" w:rsidP="00701C90">
            <w:pPr>
              <w:spacing w:line="240" w:lineRule="auto"/>
              <w:rPr>
                <w:rFonts w:eastAsia="Calibri"/>
                <w:szCs w:val="18"/>
                <w:u w:val="single"/>
                <w:lang w:eastAsia="tr-TR"/>
              </w:rPr>
            </w:pPr>
          </w:p>
        </w:tc>
        <w:tc>
          <w:tcPr>
            <w:tcW w:w="1516" w:type="pct"/>
            <w:shd w:val="clear" w:color="auto" w:fill="auto"/>
            <w:vAlign w:val="center"/>
          </w:tcPr>
          <w:p w:rsidR="000D48B3" w:rsidRPr="00854A59" w:rsidRDefault="000D48B3" w:rsidP="00701C90">
            <w:pPr>
              <w:spacing w:line="240" w:lineRule="auto"/>
              <w:rPr>
                <w:rFonts w:eastAsia="Calibri"/>
                <w:szCs w:val="18"/>
                <w:lang w:val="en-US" w:eastAsia="tr-TR"/>
              </w:rPr>
            </w:pPr>
            <w:r w:rsidRPr="00854A59">
              <w:rPr>
                <w:szCs w:val="18"/>
              </w:rPr>
              <w:t xml:space="preserve">Genel hipertansiyon prevalansı% 42 dir. Popülasyonun% 19'unda hipertansiyon yeni tespit edilmiştir. Hipertansif bireylerin% 54'ü hipertansiyon durumunun farkındadır,% 38'i antihipertansif tedavi aldığı ve% 12'sinin kan basıncının control altında olduğu belirlenmiştir. </w:t>
            </w:r>
            <w:r w:rsidRPr="00854A59">
              <w:rPr>
                <w:rFonts w:eastAsia="Calibri"/>
                <w:szCs w:val="18"/>
                <w:lang w:val="en-US"/>
              </w:rPr>
              <w:t>Hipertansiyon prevalansının erkeklerde, 60 yaşın üstünde, azınlıklarda, daha yüksek hane geliri olanlarda ve tütün kullanıcıları arasında daha yüksek olduğu gösterilmiştir.</w:t>
            </w:r>
          </w:p>
        </w:tc>
        <w:tc>
          <w:tcPr>
            <w:tcW w:w="1589" w:type="pct"/>
            <w:shd w:val="clear" w:color="auto" w:fill="auto"/>
            <w:vAlign w:val="center"/>
          </w:tcPr>
          <w:p w:rsidR="000D48B3" w:rsidRPr="00854A59" w:rsidRDefault="000D48B3" w:rsidP="00701C90">
            <w:pPr>
              <w:spacing w:line="240" w:lineRule="auto"/>
              <w:rPr>
                <w:rFonts w:eastAsia="Calibri"/>
                <w:szCs w:val="18"/>
                <w:lang w:val="en-US"/>
              </w:rPr>
            </w:pPr>
            <w:r w:rsidRPr="00854A59">
              <w:rPr>
                <w:rFonts w:eastAsia="Calibri"/>
                <w:szCs w:val="18"/>
                <w:lang w:val="en-US"/>
              </w:rPr>
              <w:t>Kolkata'nın gecekondu mahallelerinde yüksek oranda hipertansiyon görülmektedir.  Duruma ilişkin bilinç  yüksek olmasına rağmen, hipertansiyonun kontrolü zayıftır.</w:t>
            </w:r>
          </w:p>
          <w:p w:rsidR="000D48B3" w:rsidRPr="00854A59" w:rsidRDefault="000D48B3" w:rsidP="00701C90">
            <w:pPr>
              <w:spacing w:line="240" w:lineRule="auto"/>
              <w:ind w:left="284"/>
              <w:rPr>
                <w:rFonts w:eastAsia="Calibri"/>
                <w:szCs w:val="18"/>
                <w:lang w:val="en-US"/>
              </w:rPr>
            </w:pPr>
          </w:p>
          <w:p w:rsidR="000D48B3" w:rsidRPr="00854A59" w:rsidRDefault="000D48B3" w:rsidP="00701C90">
            <w:pPr>
              <w:shd w:val="clear" w:color="auto" w:fill="FFFFFF"/>
              <w:spacing w:line="240" w:lineRule="auto"/>
              <w:outlineLvl w:val="1"/>
              <w:rPr>
                <w:rFonts w:eastAsia="Calibri"/>
                <w:szCs w:val="18"/>
                <w:lang w:eastAsia="tr-TR"/>
              </w:rPr>
            </w:pP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11</w:t>
            </w:r>
          </w:p>
        </w:tc>
        <w:tc>
          <w:tcPr>
            <w:tcW w:w="883" w:type="pct"/>
            <w:shd w:val="clear" w:color="auto" w:fill="auto"/>
            <w:vAlign w:val="center"/>
          </w:tcPr>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Warren-Findlow J, Hutchison J, Patel P, Dulin M, Tapp H, Kuhn L.</w:t>
            </w:r>
          </w:p>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Assessing health literacy of hypertensive patients in a primary care setting using a self-administered questionnaire, 2014</w:t>
            </w:r>
          </w:p>
          <w:p w:rsidR="000D48B3" w:rsidRPr="00854A59" w:rsidRDefault="000D48B3" w:rsidP="00701C90">
            <w:pPr>
              <w:widowControl w:val="0"/>
              <w:autoSpaceDE w:val="0"/>
              <w:autoSpaceDN w:val="0"/>
              <w:adjustRightInd w:val="0"/>
              <w:spacing w:line="240" w:lineRule="auto"/>
              <w:rPr>
                <w:rFonts w:eastAsia="Calibri"/>
                <w:szCs w:val="18"/>
                <w:lang w:eastAsia="tr-TR"/>
              </w:rPr>
            </w:pPr>
          </w:p>
        </w:tc>
        <w:tc>
          <w:tcPr>
            <w:tcW w:w="812" w:type="pct"/>
            <w:shd w:val="clear" w:color="auto" w:fill="auto"/>
            <w:vAlign w:val="center"/>
          </w:tcPr>
          <w:p w:rsidR="000D48B3" w:rsidRPr="00854A59" w:rsidRDefault="000D48B3" w:rsidP="00701C90">
            <w:pPr>
              <w:spacing w:line="240" w:lineRule="auto"/>
              <w:rPr>
                <w:rFonts w:eastAsia="Calibri"/>
                <w:b/>
                <w:szCs w:val="18"/>
                <w:u w:val="single"/>
                <w:lang w:eastAsia="tr-TR"/>
              </w:rPr>
            </w:pPr>
          </w:p>
        </w:tc>
        <w:tc>
          <w:tcPr>
            <w:tcW w:w="1516" w:type="pct"/>
            <w:shd w:val="clear" w:color="auto" w:fill="auto"/>
            <w:vAlign w:val="center"/>
          </w:tcPr>
          <w:p w:rsidR="000D48B3" w:rsidRPr="00854A59" w:rsidRDefault="000D48B3" w:rsidP="00701C90">
            <w:pPr>
              <w:spacing w:line="240" w:lineRule="auto"/>
              <w:rPr>
                <w:rFonts w:eastAsia="Calibri"/>
                <w:b/>
                <w:szCs w:val="18"/>
                <w:u w:val="single"/>
                <w:lang w:eastAsia="tr-TR"/>
              </w:rPr>
            </w:pPr>
            <w:r w:rsidRPr="00854A59">
              <w:rPr>
                <w:szCs w:val="18"/>
              </w:rPr>
              <w:t>Hastalar düşük sağlık okuryazarlığı oranlarına sahiptir (% 28.4). Katılımcıların sadece yarısı sağlık okuryazarlığı ile ilgili ölçeği  (% 54.4) tamamlamıştır. Siyah olmak, kadın olmak ve ek kronik hastalıklara sahip olmak, sağlık okuryazarlığı ile ilgili sorulara cevap verememeyle ilişkilidir.</w:t>
            </w:r>
          </w:p>
        </w:tc>
        <w:tc>
          <w:tcPr>
            <w:tcW w:w="1589"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Sağlık okuryazarlık düzeyi düşüktür ve cins ve ırka göre değişmektedir. </w:t>
            </w: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12</w:t>
            </w:r>
          </w:p>
        </w:tc>
        <w:tc>
          <w:tcPr>
            <w:tcW w:w="883" w:type="pct"/>
            <w:shd w:val="clear" w:color="auto" w:fill="auto"/>
            <w:vAlign w:val="center"/>
          </w:tcPr>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 xml:space="preserve">Hutchison JA, Findlow JW, Dulin M, Tapp H, Kuhn L. </w:t>
            </w:r>
          </w:p>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The Association Between Health Literacy and Diet</w:t>
            </w:r>
          </w:p>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Adherence Among Primary Care Patients with</w:t>
            </w:r>
          </w:p>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Hypertension, 2014</w:t>
            </w:r>
            <w:r>
              <w:rPr>
                <w:rFonts w:eastAsia="Calibri"/>
                <w:szCs w:val="18"/>
                <w:lang w:eastAsia="tr-TR"/>
              </w:rPr>
              <w:t>.</w:t>
            </w:r>
          </w:p>
        </w:tc>
        <w:tc>
          <w:tcPr>
            <w:tcW w:w="812" w:type="pct"/>
            <w:shd w:val="clear" w:color="auto" w:fill="auto"/>
            <w:vAlign w:val="center"/>
          </w:tcPr>
          <w:p w:rsidR="000D48B3" w:rsidRPr="00854A59" w:rsidRDefault="000D48B3" w:rsidP="00701C90">
            <w:pPr>
              <w:spacing w:line="240" w:lineRule="auto"/>
              <w:rPr>
                <w:rFonts w:eastAsia="Calibri"/>
                <w:szCs w:val="18"/>
                <w:lang w:eastAsia="tr-TR"/>
              </w:rPr>
            </w:pPr>
            <w:r w:rsidRPr="00854A59">
              <w:rPr>
                <w:rFonts w:eastAsia="Calibri"/>
                <w:szCs w:val="18"/>
                <w:lang w:eastAsia="tr-TR"/>
              </w:rPr>
              <w:t xml:space="preserve">I. Basamağa başvuran 30- 85 yaşları arasında 238  hipertansiyon hastası, </w:t>
            </w:r>
          </w:p>
          <w:p w:rsidR="000D48B3" w:rsidRPr="00854A59" w:rsidRDefault="000D48B3" w:rsidP="00701C90">
            <w:pPr>
              <w:spacing w:line="240" w:lineRule="auto"/>
              <w:rPr>
                <w:rFonts w:eastAsia="Calibri"/>
                <w:szCs w:val="18"/>
                <w:lang w:eastAsia="tr-TR"/>
              </w:rPr>
            </w:pPr>
            <w:r w:rsidRPr="00854A59">
              <w:rPr>
                <w:rFonts w:eastAsia="Calibri"/>
                <w:szCs w:val="18"/>
                <w:lang w:eastAsia="tr-TR"/>
              </w:rPr>
              <w:t xml:space="preserve">Kesitsel araştırma </w:t>
            </w:r>
          </w:p>
        </w:tc>
        <w:tc>
          <w:tcPr>
            <w:tcW w:w="1516" w:type="pct"/>
            <w:shd w:val="clear" w:color="auto" w:fill="auto"/>
            <w:vAlign w:val="center"/>
          </w:tcPr>
          <w:p w:rsidR="000D48B3" w:rsidRPr="00854A59" w:rsidRDefault="000D48B3" w:rsidP="00701C90">
            <w:pPr>
              <w:spacing w:line="240" w:lineRule="auto"/>
              <w:rPr>
                <w:szCs w:val="18"/>
              </w:rPr>
            </w:pPr>
            <w:r w:rsidRPr="00854A59">
              <w:rPr>
                <w:szCs w:val="18"/>
              </w:rPr>
              <w:t>Yeterli sağlık okuryazarlığa sahip olma düzeyi %30’un altındadır. (2.27, en yksek puan 6)</w:t>
            </w:r>
          </w:p>
          <w:p w:rsidR="000D48B3" w:rsidRPr="00854A59" w:rsidRDefault="000D48B3" w:rsidP="00701C90">
            <w:pPr>
              <w:spacing w:line="240" w:lineRule="auto"/>
              <w:rPr>
                <w:szCs w:val="18"/>
              </w:rPr>
            </w:pPr>
            <w:r w:rsidRPr="00854A59">
              <w:rPr>
                <w:szCs w:val="18"/>
              </w:rPr>
              <w:t>Yeterli sağlık okuryazarlık düzeyine sahip olma Siyahi Amerikalılarda %23, beyaz Amerkalılarda %56.</w:t>
            </w:r>
          </w:p>
          <w:p w:rsidR="000D48B3" w:rsidRPr="00854A59" w:rsidRDefault="000D48B3" w:rsidP="00701C90">
            <w:pPr>
              <w:spacing w:line="240" w:lineRule="auto"/>
              <w:rPr>
                <w:szCs w:val="18"/>
              </w:rPr>
            </w:pPr>
            <w:r w:rsidRPr="00854A59">
              <w:rPr>
                <w:szCs w:val="18"/>
              </w:rPr>
              <w:t xml:space="preserve">Sağlık okuryazarlığı yetersiz olanlarda yeterli olanalara gore tuz kıstlamasına uyum arasında fark yoktur. </w:t>
            </w:r>
          </w:p>
          <w:p w:rsidR="000D48B3" w:rsidRPr="00854A59" w:rsidRDefault="000D48B3" w:rsidP="00701C90">
            <w:pPr>
              <w:spacing w:line="240" w:lineRule="auto"/>
              <w:rPr>
                <w:szCs w:val="18"/>
              </w:rPr>
            </w:pPr>
          </w:p>
        </w:tc>
        <w:tc>
          <w:tcPr>
            <w:tcW w:w="1589" w:type="pct"/>
            <w:shd w:val="clear" w:color="auto" w:fill="auto"/>
            <w:vAlign w:val="center"/>
          </w:tcPr>
          <w:p w:rsidR="000D48B3" w:rsidRPr="00854A59" w:rsidRDefault="000D48B3" w:rsidP="00701C90">
            <w:pPr>
              <w:spacing w:line="240" w:lineRule="auto"/>
              <w:rPr>
                <w:szCs w:val="18"/>
              </w:rPr>
            </w:pPr>
            <w:r w:rsidRPr="00854A59">
              <w:rPr>
                <w:szCs w:val="18"/>
              </w:rPr>
              <w:t xml:space="preserve">Sağlık okuryazarlık düzeyi ile hipertansiyon diyetine uyum arasında ilişki bulunmamıştır. ve kronik hastalık öz bakım davranışları ile sağlık okuryazarlığı arasında zayıf ilişki vardır. </w:t>
            </w:r>
          </w:p>
          <w:p w:rsidR="000D48B3" w:rsidRPr="00854A59" w:rsidRDefault="000D48B3" w:rsidP="00701C90">
            <w:pPr>
              <w:shd w:val="clear" w:color="auto" w:fill="FFFFFF"/>
              <w:spacing w:line="240" w:lineRule="auto"/>
              <w:outlineLvl w:val="1"/>
              <w:rPr>
                <w:rFonts w:eastAsia="Calibri"/>
                <w:szCs w:val="18"/>
                <w:lang w:eastAsia="tr-TR"/>
              </w:rPr>
            </w:pP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13</w:t>
            </w:r>
          </w:p>
        </w:tc>
        <w:tc>
          <w:tcPr>
            <w:tcW w:w="883" w:type="pct"/>
            <w:shd w:val="clear" w:color="auto" w:fill="auto"/>
            <w:vAlign w:val="center"/>
          </w:tcPr>
          <w:p w:rsidR="000D48B3" w:rsidRPr="00854A59" w:rsidRDefault="000D48B3" w:rsidP="00701C90">
            <w:pPr>
              <w:spacing w:line="240" w:lineRule="auto"/>
              <w:rPr>
                <w:rFonts w:eastAsia="Calibri"/>
                <w:szCs w:val="18"/>
                <w:lang w:val="en-US" w:eastAsia="tr-TR"/>
              </w:rPr>
            </w:pPr>
            <w:hyperlink r:id="rId10" w:history="1">
              <w:r w:rsidRPr="00854A59">
                <w:rPr>
                  <w:rFonts w:eastAsia="Calibri"/>
                  <w:szCs w:val="18"/>
                  <w:lang w:val="en-US" w:eastAsia="tr-TR"/>
                </w:rPr>
                <w:t>Aboumatar HJ</w:t>
              </w:r>
            </w:hyperlink>
            <w:r w:rsidRPr="00854A59">
              <w:rPr>
                <w:rFonts w:eastAsia="Calibri"/>
                <w:szCs w:val="18"/>
                <w:lang w:val="en-US" w:eastAsia="tr-TR"/>
              </w:rPr>
              <w:t>, </w:t>
            </w:r>
          </w:p>
          <w:p w:rsidR="000D48B3" w:rsidRPr="00854A59" w:rsidRDefault="000D48B3" w:rsidP="00701C90">
            <w:pPr>
              <w:spacing w:line="240" w:lineRule="auto"/>
              <w:rPr>
                <w:rFonts w:eastAsia="Calibri"/>
                <w:szCs w:val="18"/>
                <w:lang w:val="en-US" w:eastAsia="tr-TR"/>
              </w:rPr>
            </w:pPr>
            <w:hyperlink r:id="rId11" w:history="1">
              <w:r w:rsidRPr="00854A59">
                <w:rPr>
                  <w:rFonts w:eastAsia="Calibri"/>
                  <w:szCs w:val="18"/>
                  <w:lang w:val="en-US" w:eastAsia="tr-TR"/>
                </w:rPr>
                <w:t>Carson KA</w:t>
              </w:r>
            </w:hyperlink>
            <w:r w:rsidRPr="00854A59">
              <w:rPr>
                <w:rFonts w:eastAsia="Calibri"/>
                <w:szCs w:val="18"/>
                <w:lang w:val="en-US" w:eastAsia="tr-TR"/>
              </w:rPr>
              <w:t>,</w:t>
            </w:r>
          </w:p>
          <w:p w:rsidR="000D48B3" w:rsidRPr="00854A59" w:rsidRDefault="000D48B3" w:rsidP="00701C90">
            <w:pPr>
              <w:spacing w:line="240" w:lineRule="auto"/>
              <w:rPr>
                <w:rFonts w:eastAsia="Calibri"/>
                <w:szCs w:val="18"/>
                <w:lang w:val="en-US" w:eastAsia="tr-TR"/>
              </w:rPr>
            </w:pPr>
            <w:hyperlink r:id="rId12" w:history="1">
              <w:r w:rsidRPr="00854A59">
                <w:rPr>
                  <w:rFonts w:eastAsia="Calibri"/>
                  <w:szCs w:val="18"/>
                  <w:lang w:val="en-US" w:eastAsia="tr-TR"/>
                </w:rPr>
                <w:t>Beach MC</w:t>
              </w:r>
            </w:hyperlink>
            <w:r w:rsidRPr="00854A59">
              <w:rPr>
                <w:rFonts w:eastAsia="Calibri"/>
                <w:szCs w:val="18"/>
                <w:lang w:val="en-US" w:eastAsia="tr-TR"/>
              </w:rPr>
              <w:t>, </w:t>
            </w:r>
          </w:p>
          <w:p w:rsidR="000D48B3" w:rsidRPr="00854A59" w:rsidRDefault="000D48B3" w:rsidP="00701C90">
            <w:pPr>
              <w:spacing w:line="240" w:lineRule="auto"/>
              <w:rPr>
                <w:rFonts w:eastAsia="Calibri"/>
                <w:szCs w:val="18"/>
                <w:lang w:val="en-US" w:eastAsia="tr-TR"/>
              </w:rPr>
            </w:pPr>
            <w:hyperlink r:id="rId13" w:history="1">
              <w:r w:rsidRPr="00854A59">
                <w:rPr>
                  <w:rFonts w:eastAsia="Calibri"/>
                  <w:szCs w:val="18"/>
                  <w:lang w:val="en-US" w:eastAsia="tr-TR"/>
                </w:rPr>
                <w:t>Roter DL</w:t>
              </w:r>
            </w:hyperlink>
            <w:r w:rsidRPr="00854A59">
              <w:rPr>
                <w:rFonts w:eastAsia="Calibri"/>
                <w:szCs w:val="18"/>
                <w:lang w:val="en-US" w:eastAsia="tr-TR"/>
              </w:rPr>
              <w:t>, </w:t>
            </w:r>
          </w:p>
          <w:p w:rsidR="000D48B3" w:rsidRPr="00854A59" w:rsidRDefault="000D48B3" w:rsidP="00701C90">
            <w:pPr>
              <w:spacing w:line="240" w:lineRule="auto"/>
              <w:rPr>
                <w:rFonts w:eastAsia="Calibri"/>
                <w:szCs w:val="18"/>
                <w:lang w:val="en-US" w:eastAsia="tr-TR"/>
              </w:rPr>
            </w:pPr>
            <w:hyperlink r:id="rId14" w:history="1">
              <w:r w:rsidRPr="00854A59">
                <w:rPr>
                  <w:rFonts w:eastAsia="Calibri"/>
                  <w:szCs w:val="18"/>
                  <w:lang w:val="en-US" w:eastAsia="tr-TR"/>
                </w:rPr>
                <w:t>Cooper LA</w:t>
              </w:r>
            </w:hyperlink>
            <w:r w:rsidRPr="00854A59">
              <w:rPr>
                <w:rFonts w:eastAsia="Calibri"/>
                <w:szCs w:val="18"/>
                <w:lang w:val="en-US" w:eastAsia="tr-TR"/>
              </w:rPr>
              <w:t>.</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The impact of health literacy on desire for participation in healthcare, medical visit communication, and patient reported outcomes among patients with hypertension.</w:t>
            </w:r>
            <w:r w:rsidRPr="00854A59">
              <w:rPr>
                <w:rFonts w:eastAsia="Calibri"/>
                <w:szCs w:val="18"/>
                <w:lang w:val="en-US"/>
              </w:rPr>
              <w:t xml:space="preserve"> </w:t>
            </w:r>
            <w:r w:rsidRPr="00854A59">
              <w:rPr>
                <w:rFonts w:eastAsia="Calibri"/>
                <w:szCs w:val="18"/>
                <w:lang w:val="en-US" w:eastAsia="tr-TR"/>
              </w:rPr>
              <w:t>2013</w:t>
            </w:r>
          </w:p>
        </w:tc>
        <w:tc>
          <w:tcPr>
            <w:tcW w:w="812" w:type="pct"/>
            <w:shd w:val="clear" w:color="auto" w:fill="auto"/>
            <w:vAlign w:val="center"/>
          </w:tcPr>
          <w:p w:rsidR="000D48B3" w:rsidRPr="00854A59" w:rsidRDefault="000D48B3" w:rsidP="00701C90">
            <w:pPr>
              <w:spacing w:line="240" w:lineRule="auto"/>
              <w:rPr>
                <w:rFonts w:eastAsia="Calibri"/>
                <w:szCs w:val="18"/>
                <w:lang w:val="en-US" w:eastAsia="tr-TR"/>
              </w:rPr>
            </w:pPr>
            <w:r w:rsidRPr="00854A59">
              <w:rPr>
                <w:rFonts w:eastAsia="Calibri"/>
                <w:szCs w:val="18"/>
                <w:lang w:val="en-US" w:eastAsia="tr-TR"/>
              </w:rPr>
              <w:t xml:space="preserve">275 hipertansiyon hastası </w:t>
            </w:r>
          </w:p>
          <w:p w:rsidR="000D48B3" w:rsidRPr="00854A59" w:rsidRDefault="000D48B3" w:rsidP="00701C90">
            <w:pPr>
              <w:spacing w:line="240" w:lineRule="auto"/>
              <w:rPr>
                <w:rFonts w:eastAsia="Calibri"/>
                <w:b/>
                <w:szCs w:val="18"/>
                <w:u w:val="single"/>
                <w:lang w:eastAsia="tr-TR"/>
              </w:rPr>
            </w:pPr>
          </w:p>
        </w:tc>
        <w:tc>
          <w:tcPr>
            <w:tcW w:w="1516" w:type="pct"/>
            <w:shd w:val="clear" w:color="auto" w:fill="auto"/>
            <w:vAlign w:val="center"/>
          </w:tcPr>
          <w:p w:rsidR="000D48B3" w:rsidRPr="00854A59" w:rsidRDefault="000D48B3" w:rsidP="00701C90">
            <w:pPr>
              <w:spacing w:line="240" w:lineRule="auto"/>
              <w:rPr>
                <w:rFonts w:eastAsia="Calibri"/>
                <w:szCs w:val="18"/>
                <w:lang w:val="en-US"/>
              </w:rPr>
            </w:pPr>
            <w:r w:rsidRPr="00854A59">
              <w:rPr>
                <w:rFonts w:eastAsia="Calibri"/>
                <w:szCs w:val="18"/>
                <w:lang w:val="en-US"/>
              </w:rPr>
              <w:t xml:space="preserve">Düşük okuryazarlığa sahip hastaların tansiyon kontrolü daha düşüktür. </w:t>
            </w:r>
          </w:p>
          <w:p w:rsidR="000D48B3" w:rsidRPr="00854A59" w:rsidRDefault="000D48B3" w:rsidP="00701C90">
            <w:pPr>
              <w:spacing w:line="240" w:lineRule="auto"/>
              <w:rPr>
                <w:rFonts w:eastAsia="Calibri"/>
                <w:szCs w:val="18"/>
                <w:lang w:val="en-US"/>
              </w:rPr>
            </w:pPr>
            <w:r w:rsidRPr="00854A59">
              <w:rPr>
                <w:rFonts w:eastAsia="Calibri"/>
                <w:szCs w:val="18"/>
                <w:lang w:val="en-US"/>
              </w:rPr>
              <w:t>Yeterli ve sınırlı sağlık okuryazarlık düzeyine sahip hastalarda tıbbi karar verme sürecine katılım benzerdir. Düşük  sağlık okuryazarlığa sahip hastalar daha az tıbbi sorular sorabilirken diğer iletişim becerileri yönünden gruplar arasında fark yoktur.</w:t>
            </w:r>
          </w:p>
          <w:p w:rsidR="000D48B3" w:rsidRPr="00854A59" w:rsidRDefault="000D48B3" w:rsidP="00701C90">
            <w:pPr>
              <w:spacing w:line="240" w:lineRule="auto"/>
              <w:rPr>
                <w:rFonts w:eastAsia="Calibri"/>
                <w:b/>
                <w:szCs w:val="18"/>
                <w:u w:val="single"/>
                <w:lang w:eastAsia="tr-TR"/>
              </w:rPr>
            </w:pPr>
            <w:r w:rsidRPr="00854A59">
              <w:rPr>
                <w:rFonts w:eastAsia="Calibri"/>
                <w:szCs w:val="18"/>
                <w:lang w:val="en-US"/>
              </w:rPr>
              <w:t xml:space="preserve">Yetersiz hastalık bilgisi yetrsiz sağlık okuryazarlık düzeyi ile ilişkili bulunmuştur. </w:t>
            </w:r>
          </w:p>
        </w:tc>
        <w:tc>
          <w:tcPr>
            <w:tcW w:w="1589"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Düşük sağlık okuryazarlığa sahip  olan hastalar, hekimlerin hasta merkezli iletişim yaklaşımlarından  yeterli okuryazarlığı olanlara göre daha az yararlanabilmektedir. </w:t>
            </w: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14</w:t>
            </w:r>
          </w:p>
        </w:tc>
        <w:tc>
          <w:tcPr>
            <w:tcW w:w="883" w:type="pct"/>
            <w:shd w:val="clear" w:color="auto" w:fill="auto"/>
            <w:vAlign w:val="center"/>
          </w:tcPr>
          <w:p w:rsidR="000D48B3" w:rsidRPr="00854A59" w:rsidRDefault="000D48B3" w:rsidP="00701C90">
            <w:pPr>
              <w:spacing w:line="240" w:lineRule="auto"/>
              <w:rPr>
                <w:rFonts w:eastAsia="Calibri"/>
                <w:szCs w:val="18"/>
                <w:lang w:val="en-US"/>
              </w:rPr>
            </w:pPr>
            <w:r w:rsidRPr="00854A59">
              <w:rPr>
                <w:rFonts w:eastAsia="Calibri"/>
                <w:szCs w:val="18"/>
                <w:lang w:val="en-US"/>
              </w:rPr>
              <w:t xml:space="preserve">Yu Ko, Balasubramanian TD, Wong L, Tan M, Lee E , Tang W, Chan CS, Tan </w:t>
            </w:r>
            <w:r w:rsidRPr="00854A59">
              <w:rPr>
                <w:rFonts w:eastAsia="Calibri"/>
                <w:szCs w:val="18"/>
                <w:lang w:val="en-US"/>
              </w:rPr>
              <w:lastRenderedPageBreak/>
              <w:t>ASL, Paul Han Sim Toh M.</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Health literacy and its association with disease knowledge and control in patients with hypertension in Singapore, 2013.</w:t>
            </w:r>
          </w:p>
        </w:tc>
        <w:tc>
          <w:tcPr>
            <w:tcW w:w="812" w:type="pct"/>
            <w:shd w:val="clear" w:color="auto" w:fill="auto"/>
            <w:vAlign w:val="center"/>
          </w:tcPr>
          <w:p w:rsidR="000D48B3" w:rsidRPr="00854A59" w:rsidRDefault="000D48B3" w:rsidP="00701C90">
            <w:pPr>
              <w:spacing w:line="240" w:lineRule="auto"/>
              <w:rPr>
                <w:rFonts w:eastAsia="Calibri"/>
                <w:szCs w:val="18"/>
                <w:lang w:val="en-US"/>
              </w:rPr>
            </w:pPr>
            <w:r w:rsidRPr="00854A59">
              <w:rPr>
                <w:rFonts w:eastAsia="Calibri"/>
                <w:szCs w:val="18"/>
                <w:lang w:val="en-US"/>
              </w:rPr>
              <w:lastRenderedPageBreak/>
              <w:t xml:space="preserve">Birinci basamak kamu kurumuna başvuran </w:t>
            </w:r>
            <w:r w:rsidRPr="00854A59">
              <w:rPr>
                <w:rFonts w:eastAsia="Calibri"/>
                <w:szCs w:val="18"/>
                <w:lang w:val="en-US"/>
              </w:rPr>
              <w:lastRenderedPageBreak/>
              <w:t xml:space="preserve">456 HT hastası, </w:t>
            </w:r>
          </w:p>
          <w:p w:rsidR="000D48B3" w:rsidRPr="00854A59" w:rsidRDefault="000D48B3" w:rsidP="00701C90">
            <w:pPr>
              <w:spacing w:line="240" w:lineRule="auto"/>
              <w:rPr>
                <w:rFonts w:eastAsia="Calibri"/>
                <w:szCs w:val="18"/>
                <w:lang w:val="en-US"/>
              </w:rPr>
            </w:pPr>
            <w:r w:rsidRPr="00854A59">
              <w:rPr>
                <w:rFonts w:eastAsia="Calibri"/>
                <w:szCs w:val="18"/>
                <w:lang w:val="en-US"/>
              </w:rPr>
              <w:t>Singapore</w:t>
            </w:r>
          </w:p>
          <w:p w:rsidR="000D48B3" w:rsidRPr="00854A59" w:rsidRDefault="000D48B3" w:rsidP="00701C90">
            <w:pPr>
              <w:spacing w:line="240" w:lineRule="auto"/>
              <w:rPr>
                <w:rFonts w:eastAsia="Calibri"/>
                <w:szCs w:val="18"/>
                <w:lang w:val="en-US"/>
              </w:rPr>
            </w:pPr>
            <w:r w:rsidRPr="00854A59">
              <w:rPr>
                <w:rFonts w:eastAsia="Calibri"/>
                <w:szCs w:val="18"/>
                <w:lang w:val="en-US"/>
              </w:rPr>
              <w:t xml:space="preserve">Kesitsel çalışma  </w:t>
            </w:r>
          </w:p>
          <w:p w:rsidR="000D48B3" w:rsidRPr="00854A59" w:rsidRDefault="000D48B3" w:rsidP="00701C90">
            <w:pPr>
              <w:spacing w:line="240" w:lineRule="auto"/>
              <w:rPr>
                <w:rFonts w:eastAsia="Calibri"/>
                <w:b/>
                <w:szCs w:val="18"/>
                <w:u w:val="single"/>
                <w:lang w:eastAsia="tr-TR"/>
              </w:rPr>
            </w:pPr>
          </w:p>
        </w:tc>
        <w:tc>
          <w:tcPr>
            <w:tcW w:w="1516" w:type="pct"/>
            <w:shd w:val="clear" w:color="auto" w:fill="auto"/>
            <w:vAlign w:val="center"/>
          </w:tcPr>
          <w:p w:rsidR="000D48B3" w:rsidRPr="00854A59" w:rsidRDefault="000D48B3" w:rsidP="00701C90">
            <w:pPr>
              <w:spacing w:line="240" w:lineRule="auto"/>
              <w:rPr>
                <w:rFonts w:eastAsia="Calibri"/>
                <w:szCs w:val="18"/>
                <w:lang w:val="en-US"/>
              </w:rPr>
            </w:pPr>
            <w:r w:rsidRPr="00854A59">
              <w:rPr>
                <w:rFonts w:eastAsia="Calibri"/>
                <w:szCs w:val="18"/>
                <w:lang w:val="en-US"/>
              </w:rPr>
              <w:lastRenderedPageBreak/>
              <w:t xml:space="preserve">Yeterli  sağlık okuryazarlık  veya yüksek eğitime sahip olma durumunda hipertansiyon </w:t>
            </w:r>
            <w:r w:rsidRPr="00854A59">
              <w:rPr>
                <w:rFonts w:eastAsia="Calibri"/>
                <w:szCs w:val="18"/>
                <w:lang w:val="en-US"/>
              </w:rPr>
              <w:lastRenderedPageBreak/>
              <w:t xml:space="preserve">bilgi puanları daha yüksektir. </w:t>
            </w:r>
          </w:p>
          <w:p w:rsidR="000D48B3" w:rsidRPr="00854A59" w:rsidRDefault="000D48B3" w:rsidP="00701C90">
            <w:pPr>
              <w:spacing w:line="240" w:lineRule="auto"/>
              <w:rPr>
                <w:rFonts w:eastAsia="Calibri"/>
                <w:szCs w:val="18"/>
                <w:lang w:val="en-US"/>
              </w:rPr>
            </w:pPr>
            <w:r w:rsidRPr="00854A59">
              <w:rPr>
                <w:rFonts w:eastAsia="Calibri"/>
                <w:szCs w:val="18"/>
                <w:lang w:val="en-US"/>
              </w:rPr>
              <w:t xml:space="preserve">Yetersiz hipertansiyon bilgisi yetersiz sağlık okuryazarlık düzeyi ile ilişkilidir. </w:t>
            </w:r>
          </w:p>
          <w:p w:rsidR="000D48B3" w:rsidRPr="00854A59" w:rsidRDefault="000D48B3" w:rsidP="00701C90">
            <w:pPr>
              <w:spacing w:line="240" w:lineRule="auto"/>
              <w:rPr>
                <w:rFonts w:eastAsia="Calibri"/>
                <w:b/>
                <w:szCs w:val="18"/>
                <w:u w:val="single"/>
                <w:lang w:eastAsia="tr-TR"/>
              </w:rPr>
            </w:pPr>
            <w:r w:rsidRPr="00854A59">
              <w:rPr>
                <w:rFonts w:eastAsia="Calibri"/>
                <w:szCs w:val="18"/>
                <w:lang w:val="en-US"/>
              </w:rPr>
              <w:t>Yeterli tansiyon kontrolü yüksek sağlık okuryazarlığı ile ilişkili değildir .Bu sonuç, hastalık bilgisine ek olarak, sağlık inançları ve öz bakım aktivitelerine uyum gibi hastalık yönetimini etkileyebilecek diğer birçok faktörden etkilenebileceğini göstermektedir.</w:t>
            </w:r>
          </w:p>
        </w:tc>
        <w:tc>
          <w:tcPr>
            <w:tcW w:w="1589" w:type="pct"/>
            <w:shd w:val="clear" w:color="auto" w:fill="auto"/>
            <w:vAlign w:val="center"/>
          </w:tcPr>
          <w:p w:rsidR="000D48B3" w:rsidRPr="00854A59" w:rsidRDefault="000D48B3" w:rsidP="00701C90">
            <w:pPr>
              <w:spacing w:line="240" w:lineRule="auto"/>
              <w:rPr>
                <w:rFonts w:eastAsia="Calibri"/>
                <w:szCs w:val="18"/>
                <w:lang w:val="en-US"/>
              </w:rPr>
            </w:pPr>
            <w:r w:rsidRPr="00854A59">
              <w:rPr>
                <w:rFonts w:eastAsia="Calibri"/>
                <w:szCs w:val="18"/>
                <w:lang w:val="en-US"/>
              </w:rPr>
              <w:lastRenderedPageBreak/>
              <w:t xml:space="preserve">Hipertansiyon, ilaç uyumunu gerektiren kronik bir tıbbi durumdur, hastaların hipertansiyonun kalıcı ve asemptomatik yapısını anlamadaki </w:t>
            </w:r>
            <w:r w:rsidRPr="00854A59">
              <w:rPr>
                <w:rFonts w:eastAsia="Calibri"/>
                <w:szCs w:val="18"/>
                <w:lang w:val="en-US"/>
              </w:rPr>
              <w:lastRenderedPageBreak/>
              <w:t>eksikliği, hipertansif ilaçlara uymama ve sonuç olarak, yetersiz kan basıncı kontrolü ile sonuçlanabilir.</w:t>
            </w:r>
          </w:p>
          <w:p w:rsidR="000D48B3" w:rsidRPr="00854A59" w:rsidRDefault="000D48B3" w:rsidP="00701C90">
            <w:pPr>
              <w:shd w:val="clear" w:color="auto" w:fill="FFFFFF"/>
              <w:spacing w:line="240" w:lineRule="auto"/>
              <w:outlineLvl w:val="1"/>
              <w:rPr>
                <w:rFonts w:eastAsia="Calibri"/>
                <w:szCs w:val="18"/>
                <w:lang w:eastAsia="tr-TR"/>
              </w:rPr>
            </w:pP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15</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Li Xia, Ning N, Hao Y, Sun H, Gao L, Jiao M, Wu Q, Qua9n H.</w:t>
            </w:r>
            <w:r w:rsidRPr="00854A59">
              <w:rPr>
                <w:rFonts w:eastAsia="Calibri"/>
                <w:szCs w:val="18"/>
                <w:lang w:val="en-US"/>
              </w:rPr>
              <w:t xml:space="preserve"> </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Health literacy in rural areas of China: hypertension knowledge survey, 2013</w:t>
            </w:r>
          </w:p>
        </w:tc>
        <w:tc>
          <w:tcPr>
            <w:tcW w:w="812" w:type="pct"/>
            <w:shd w:val="clear" w:color="auto" w:fill="auto"/>
            <w:vAlign w:val="center"/>
          </w:tcPr>
          <w:p w:rsidR="000D48B3" w:rsidRPr="00854A59" w:rsidRDefault="000D48B3" w:rsidP="00701C90">
            <w:pPr>
              <w:spacing w:line="240" w:lineRule="auto"/>
              <w:rPr>
                <w:rFonts w:eastAsia="Calibri"/>
                <w:b/>
                <w:szCs w:val="18"/>
                <w:lang w:eastAsia="tr-TR"/>
              </w:rPr>
            </w:pPr>
            <w:r w:rsidRPr="00854A59">
              <w:rPr>
                <w:szCs w:val="18"/>
                <w:lang w:eastAsia="tr-TR"/>
              </w:rPr>
              <w:t>Kırsal bölgelerde 665 hipertansiyon hastası ve 854 hipertansif olmayan katılımcı</w:t>
            </w:r>
          </w:p>
        </w:tc>
        <w:tc>
          <w:tcPr>
            <w:tcW w:w="1516" w:type="pct"/>
            <w:shd w:val="clear" w:color="auto" w:fill="auto"/>
            <w:vAlign w:val="center"/>
          </w:tcPr>
          <w:p w:rsidR="000D48B3" w:rsidRPr="00854A59" w:rsidRDefault="000D48B3" w:rsidP="00701C90">
            <w:pPr>
              <w:spacing w:line="240" w:lineRule="auto"/>
              <w:jc w:val="both"/>
              <w:rPr>
                <w:rFonts w:eastAsia="Calibri"/>
                <w:szCs w:val="18"/>
                <w:lang w:val="en-US"/>
              </w:rPr>
            </w:pPr>
            <w:r w:rsidRPr="00854A59">
              <w:rPr>
                <w:rFonts w:eastAsia="Calibri"/>
                <w:szCs w:val="18"/>
                <w:lang w:val="en-US"/>
              </w:rPr>
              <w:t>Çin kırsalında bilgi düzeyi önemli ölçüde düşük düzeydedir. Sağlık eğitimi ile birlikte eğitim ve okuryazarlık seviyelerine odaklanmak önemlidir.Hipertansifler için yaşam kalitesi puanları hipertansif olmayanlara göre daha kötüdür.</w:t>
            </w:r>
          </w:p>
          <w:p w:rsidR="000D48B3" w:rsidRPr="00854A59" w:rsidRDefault="000D48B3" w:rsidP="00701C90">
            <w:pPr>
              <w:spacing w:line="240" w:lineRule="auto"/>
              <w:jc w:val="both"/>
              <w:rPr>
                <w:rFonts w:eastAsia="Calibri"/>
                <w:szCs w:val="18"/>
                <w:lang w:val="en-US"/>
              </w:rPr>
            </w:pPr>
            <w:r w:rsidRPr="00854A59">
              <w:rPr>
                <w:rFonts w:eastAsia="Calibri"/>
                <w:szCs w:val="18"/>
                <w:lang w:val="en-US"/>
              </w:rPr>
              <w:t xml:space="preserve">Hipertansif olanların % 48.3'ünde sistolik / diyastolik kan basıncı ≥140 / 90 idi. </w:t>
            </w:r>
          </w:p>
          <w:p w:rsidR="000D48B3" w:rsidRPr="00854A59" w:rsidRDefault="000D48B3" w:rsidP="00701C90">
            <w:pPr>
              <w:spacing w:line="240" w:lineRule="auto"/>
              <w:rPr>
                <w:rFonts w:eastAsia="Calibri"/>
                <w:b/>
                <w:szCs w:val="18"/>
                <w:u w:val="single"/>
                <w:lang w:eastAsia="tr-TR"/>
              </w:rPr>
            </w:pPr>
            <w:r w:rsidRPr="00854A59">
              <w:rPr>
                <w:rFonts w:eastAsia="Calibri"/>
                <w:szCs w:val="18"/>
                <w:lang w:val="en-US"/>
              </w:rPr>
              <w:t>Okumaz yazmazlar ilkokul veya daha yüksek eğitim düzeyine sahip olanlardan daha az hipertansiyon bilgisine sahiptir.</w:t>
            </w:r>
          </w:p>
        </w:tc>
        <w:tc>
          <w:tcPr>
            <w:tcW w:w="1589" w:type="pct"/>
            <w:shd w:val="clear" w:color="auto" w:fill="auto"/>
            <w:vAlign w:val="center"/>
          </w:tcPr>
          <w:p w:rsidR="000D48B3" w:rsidRPr="00854A59" w:rsidRDefault="000D48B3" w:rsidP="00701C90">
            <w:pPr>
              <w:spacing w:line="240" w:lineRule="auto"/>
              <w:rPr>
                <w:rFonts w:eastAsia="Calibri"/>
                <w:szCs w:val="18"/>
                <w:lang w:val="en-US"/>
              </w:rPr>
            </w:pPr>
            <w:r w:rsidRPr="00854A59">
              <w:rPr>
                <w:rFonts w:eastAsia="Calibri"/>
                <w:szCs w:val="18"/>
                <w:lang w:val="en-US"/>
              </w:rPr>
              <w:t>Hipertansiyon bilgisi arttıkça kan basıncı değerleri hafifçe azalmıştır.</w:t>
            </w:r>
          </w:p>
          <w:p w:rsidR="000D48B3" w:rsidRPr="00854A59" w:rsidRDefault="000D48B3" w:rsidP="00701C90">
            <w:pPr>
              <w:shd w:val="clear" w:color="auto" w:fill="FFFFFF"/>
              <w:spacing w:line="240" w:lineRule="auto"/>
              <w:outlineLvl w:val="1"/>
              <w:rPr>
                <w:rFonts w:eastAsia="Calibri"/>
                <w:szCs w:val="18"/>
                <w:lang w:eastAsia="tr-TR"/>
              </w:rPr>
            </w:pPr>
          </w:p>
        </w:tc>
      </w:tr>
      <w:tr w:rsidR="000D48B3" w:rsidRPr="00854A59" w:rsidTr="00701C90">
        <w:trPr>
          <w:trHeight w:val="2704"/>
        </w:trPr>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16</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Willens DE1, Kripalani S, Schildcrout JS, Cawthon C, Wallston K, Mion LC, Davis C, Danciu I, Rothman RL, Roumie CL.</w:t>
            </w:r>
          </w:p>
          <w:p w:rsidR="000D48B3" w:rsidRPr="00AD1738" w:rsidRDefault="000D48B3" w:rsidP="00701C90">
            <w:pPr>
              <w:shd w:val="clear" w:color="auto" w:fill="FFFFFF"/>
              <w:spacing w:line="240" w:lineRule="auto"/>
              <w:outlineLvl w:val="1"/>
              <w:rPr>
                <w:rFonts w:eastAsia="Calibri"/>
                <w:sz w:val="2"/>
                <w:szCs w:val="18"/>
                <w:lang w:eastAsia="tr-TR"/>
              </w:rPr>
            </w:pP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Association of brief health literacy screening and blood pressure in primary care.</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J Health Commun. 2013.</w:t>
            </w:r>
          </w:p>
        </w:tc>
        <w:tc>
          <w:tcPr>
            <w:tcW w:w="812" w:type="pct"/>
            <w:shd w:val="clear" w:color="auto" w:fill="auto"/>
            <w:vAlign w:val="center"/>
          </w:tcPr>
          <w:p w:rsidR="000D48B3" w:rsidRPr="00854A59" w:rsidRDefault="000D48B3" w:rsidP="00701C90">
            <w:pPr>
              <w:spacing w:line="240" w:lineRule="auto"/>
              <w:jc w:val="both"/>
              <w:rPr>
                <w:rFonts w:eastAsia="Calibri"/>
                <w:szCs w:val="18"/>
                <w:lang w:eastAsia="tr-TR"/>
              </w:rPr>
            </w:pPr>
            <w:r w:rsidRPr="00854A59">
              <w:rPr>
                <w:rFonts w:eastAsia="Calibri"/>
                <w:szCs w:val="18"/>
                <w:lang w:eastAsia="tr-TR"/>
              </w:rPr>
              <w:t>Üç birinci basamak kayıtları üzerinden 23.483 hastanın verisi değerlendirilmiş</w:t>
            </w:r>
          </w:p>
        </w:tc>
        <w:tc>
          <w:tcPr>
            <w:tcW w:w="1516" w:type="pct"/>
            <w:shd w:val="clear" w:color="auto" w:fill="auto"/>
            <w:vAlign w:val="center"/>
          </w:tcPr>
          <w:p w:rsidR="000D48B3" w:rsidRPr="00854A59" w:rsidRDefault="000D48B3" w:rsidP="00701C90">
            <w:pPr>
              <w:spacing w:line="240" w:lineRule="auto"/>
              <w:jc w:val="both"/>
              <w:rPr>
                <w:rFonts w:eastAsia="Calibri"/>
                <w:szCs w:val="18"/>
                <w:lang w:val="en-US"/>
              </w:rPr>
            </w:pPr>
            <w:r w:rsidRPr="00854A59">
              <w:rPr>
                <w:rFonts w:eastAsia="Calibri"/>
                <w:szCs w:val="18"/>
                <w:lang w:val="en-US"/>
              </w:rPr>
              <w:t xml:space="preserve">Yüksek sağlık okuryazarlığı, kan basıncında küçük bir artışla ilişkili </w:t>
            </w:r>
            <w:r w:rsidRPr="00854A59">
              <w:rPr>
                <w:rFonts w:eastAsia="Calibri"/>
                <w:szCs w:val="18"/>
                <w:lang w:eastAsia="tr-TR"/>
              </w:rPr>
              <w:t xml:space="preserve">bulunmuştur ve sistolik basınçta 0.74 mmHg, diastolik basıçta 0.30 mmhg lık yükseliş saptanmıştır.   </w:t>
            </w:r>
            <w:r w:rsidRPr="00854A59">
              <w:rPr>
                <w:rFonts w:eastAsia="Calibri"/>
                <w:szCs w:val="18"/>
                <w:lang w:val="en-US"/>
              </w:rPr>
              <w:t xml:space="preserve"> Bu beklenmedik duruma ilişkin eğitim alınan yıl kadar eğitimin niteliğinin de önemli olabileceği ifade edilmiştir. </w:t>
            </w:r>
          </w:p>
          <w:p w:rsidR="000D48B3" w:rsidRPr="00854A59" w:rsidRDefault="000D48B3" w:rsidP="00701C90">
            <w:pPr>
              <w:spacing w:line="240" w:lineRule="auto"/>
              <w:rPr>
                <w:rFonts w:eastAsia="Calibri"/>
                <w:b/>
                <w:szCs w:val="18"/>
                <w:lang w:eastAsia="tr-TR"/>
              </w:rPr>
            </w:pPr>
            <w:r w:rsidRPr="00854A59">
              <w:rPr>
                <w:rFonts w:eastAsia="Calibri"/>
                <w:szCs w:val="18"/>
                <w:lang w:eastAsia="tr-TR"/>
              </w:rPr>
              <w:t xml:space="preserve">Eğitim ile sağlık okuryazarlık düzeyi arasında ilişki bulunmamıştır. </w:t>
            </w:r>
          </w:p>
        </w:tc>
        <w:tc>
          <w:tcPr>
            <w:tcW w:w="1589" w:type="pct"/>
            <w:shd w:val="clear" w:color="auto" w:fill="auto"/>
            <w:vAlign w:val="center"/>
          </w:tcPr>
          <w:p w:rsidR="000D48B3" w:rsidRPr="00854A59" w:rsidRDefault="000D48B3" w:rsidP="00701C90">
            <w:pPr>
              <w:spacing w:line="240" w:lineRule="auto"/>
              <w:jc w:val="both"/>
              <w:rPr>
                <w:rFonts w:eastAsia="Calibri"/>
                <w:szCs w:val="18"/>
                <w:lang w:val="en-US"/>
              </w:rPr>
            </w:pPr>
            <w:r w:rsidRPr="00854A59">
              <w:rPr>
                <w:rFonts w:eastAsia="Calibri"/>
                <w:szCs w:val="18"/>
                <w:lang w:val="en-US"/>
              </w:rPr>
              <w:t xml:space="preserve">Sağlık okur yazarlığının artışı ile sistolik/ diastolik basınçların artışına ilişkin beklnemeyen sonuçların olması ile ilgili olarak sağlık okur yazarlığı ve hastalık sonuçları arasındaki ilişkinin tekrar değerlendirilmesi önerilmiştir. </w:t>
            </w:r>
          </w:p>
          <w:p w:rsidR="000D48B3" w:rsidRPr="00854A59" w:rsidRDefault="000D48B3" w:rsidP="00701C90">
            <w:pPr>
              <w:shd w:val="clear" w:color="auto" w:fill="FFFFFF"/>
              <w:spacing w:line="240" w:lineRule="auto"/>
              <w:outlineLvl w:val="1"/>
              <w:rPr>
                <w:rFonts w:eastAsia="Calibri"/>
                <w:szCs w:val="18"/>
                <w:lang w:eastAsia="tr-TR"/>
              </w:rPr>
            </w:pPr>
          </w:p>
        </w:tc>
      </w:tr>
      <w:tr w:rsidR="000D48B3" w:rsidRPr="00854A59" w:rsidTr="00701C90">
        <w:trPr>
          <w:trHeight w:val="2683"/>
        </w:trPr>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17</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Veghari G1, Sedaghat M, Maghsodlo S, Banihashem S, Moharloei P, Angizeh A, Tazik E, Moghaddami A.</w:t>
            </w:r>
          </w:p>
          <w:p w:rsidR="000D48B3" w:rsidRPr="00854A59" w:rsidRDefault="000D48B3" w:rsidP="00701C90">
            <w:pPr>
              <w:shd w:val="clear" w:color="auto" w:fill="FFFFFF"/>
              <w:spacing w:line="240" w:lineRule="auto"/>
              <w:outlineLvl w:val="1"/>
              <w:rPr>
                <w:rFonts w:eastAsia="Calibri"/>
                <w:sz w:val="4"/>
                <w:szCs w:val="18"/>
                <w:lang w:eastAsia="tr-TR"/>
              </w:rPr>
            </w:pP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Impact of literacy on the prevalence, awareness, treatment and control of hypertension in adults in Golestan Province (northern Iran, 2013. </w:t>
            </w:r>
          </w:p>
        </w:tc>
        <w:tc>
          <w:tcPr>
            <w:tcW w:w="812" w:type="pct"/>
            <w:shd w:val="clear" w:color="auto" w:fill="auto"/>
            <w:vAlign w:val="center"/>
          </w:tcPr>
          <w:p w:rsidR="000D48B3" w:rsidRPr="00854A59" w:rsidRDefault="000D48B3" w:rsidP="00701C90">
            <w:pPr>
              <w:spacing w:line="240" w:lineRule="auto"/>
              <w:rPr>
                <w:szCs w:val="18"/>
                <w:lang w:eastAsia="tr-TR"/>
              </w:rPr>
            </w:pPr>
            <w:r w:rsidRPr="00854A59">
              <w:rPr>
                <w:rFonts w:eastAsia="Calibri"/>
                <w:szCs w:val="18"/>
                <w:lang w:eastAsia="tr-TR"/>
              </w:rPr>
              <w:t xml:space="preserve">Yaşları </w:t>
            </w:r>
            <w:r w:rsidRPr="00854A59">
              <w:rPr>
                <w:szCs w:val="18"/>
                <w:lang w:eastAsia="tr-TR"/>
              </w:rPr>
              <w:t>15-65 arasında değişen 3497 birey</w:t>
            </w:r>
          </w:p>
          <w:p w:rsidR="000D48B3" w:rsidRPr="00854A59" w:rsidRDefault="000D48B3" w:rsidP="00701C90">
            <w:pPr>
              <w:spacing w:line="240" w:lineRule="auto"/>
              <w:rPr>
                <w:szCs w:val="18"/>
                <w:lang w:eastAsia="tr-TR"/>
              </w:rPr>
            </w:pPr>
          </w:p>
          <w:p w:rsidR="000D48B3" w:rsidRPr="00854A59" w:rsidRDefault="000D48B3" w:rsidP="00701C90">
            <w:pPr>
              <w:spacing w:line="240" w:lineRule="auto"/>
              <w:rPr>
                <w:szCs w:val="18"/>
                <w:lang w:eastAsia="tr-TR"/>
              </w:rPr>
            </w:pPr>
            <w:r w:rsidRPr="00854A59">
              <w:rPr>
                <w:szCs w:val="18"/>
                <w:lang w:eastAsia="tr-TR"/>
              </w:rPr>
              <w:t xml:space="preserve">İran </w:t>
            </w:r>
          </w:p>
          <w:p w:rsidR="000D48B3" w:rsidRPr="00854A59" w:rsidRDefault="000D48B3" w:rsidP="00701C90">
            <w:pPr>
              <w:spacing w:line="240" w:lineRule="auto"/>
              <w:rPr>
                <w:szCs w:val="18"/>
                <w:lang w:eastAsia="tr-TR"/>
              </w:rPr>
            </w:pPr>
          </w:p>
          <w:p w:rsidR="000D48B3" w:rsidRPr="00854A59" w:rsidRDefault="000D48B3" w:rsidP="00701C90">
            <w:pPr>
              <w:spacing w:line="240" w:lineRule="auto"/>
              <w:rPr>
                <w:rFonts w:eastAsia="Calibri"/>
                <w:szCs w:val="18"/>
                <w:lang w:eastAsia="tr-TR"/>
              </w:rPr>
            </w:pPr>
            <w:r w:rsidRPr="00854A59">
              <w:rPr>
                <w:szCs w:val="18"/>
                <w:lang w:eastAsia="tr-TR"/>
              </w:rPr>
              <w:t xml:space="preserve">Kesitsel çalışma </w:t>
            </w:r>
          </w:p>
        </w:tc>
        <w:tc>
          <w:tcPr>
            <w:tcW w:w="1516" w:type="pct"/>
            <w:shd w:val="clear" w:color="auto" w:fill="auto"/>
            <w:vAlign w:val="center"/>
          </w:tcPr>
          <w:p w:rsidR="000D48B3" w:rsidRPr="00854A59" w:rsidRDefault="000D48B3" w:rsidP="00701C90">
            <w:pPr>
              <w:spacing w:line="240" w:lineRule="auto"/>
              <w:rPr>
                <w:rFonts w:eastAsia="Calibri"/>
                <w:szCs w:val="18"/>
                <w:lang w:eastAsia="tr-TR"/>
              </w:rPr>
            </w:pPr>
            <w:r w:rsidRPr="00854A59">
              <w:rPr>
                <w:rFonts w:eastAsia="Calibri"/>
                <w:szCs w:val="18"/>
                <w:lang w:eastAsia="tr-TR"/>
              </w:rPr>
              <w:t>Toplamda % 21.2 hipertansiyon saptanmıştır. Okuryazar olmayan kişiler hastalıklarının daha fazla farkındadır.</w:t>
            </w:r>
          </w:p>
          <w:p w:rsidR="000D48B3" w:rsidRPr="00854A59" w:rsidRDefault="000D48B3" w:rsidP="00701C90">
            <w:pPr>
              <w:spacing w:line="240" w:lineRule="auto"/>
              <w:rPr>
                <w:rFonts w:eastAsia="Calibri"/>
                <w:b/>
                <w:szCs w:val="18"/>
                <w:lang w:eastAsia="tr-TR"/>
              </w:rPr>
            </w:pPr>
            <w:r w:rsidRPr="00854A59">
              <w:rPr>
                <w:rFonts w:eastAsia="Calibri"/>
                <w:szCs w:val="18"/>
                <w:lang w:eastAsia="tr-TR"/>
              </w:rPr>
              <w:t>Hipertansiyon kontrolü kolej eğitimli grupta okuryazar olmayanlara göre (% 32.4 ve % 68.8) anlamlı olarak daha fazladır. Lojistik regresyon analizi, okuryazarlığın hipertansiyon için bir risk faktörü olduğunu ortaya koymuştur.</w:t>
            </w:r>
          </w:p>
        </w:tc>
        <w:tc>
          <w:tcPr>
            <w:tcW w:w="1589"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Okuma yazma bilmeyenlerin farkındalığı yüksek iken, hipertansiyon kontrol oranı düşüktür.</w:t>
            </w: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18</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Ingram RR, Ivanov LL. </w:t>
            </w:r>
          </w:p>
          <w:p w:rsidR="000D48B3" w:rsidRPr="00854A59" w:rsidRDefault="000D48B3" w:rsidP="00701C90">
            <w:pPr>
              <w:shd w:val="clear" w:color="auto" w:fill="FFFFFF"/>
              <w:spacing w:line="240" w:lineRule="auto"/>
              <w:outlineLvl w:val="1"/>
              <w:rPr>
                <w:rFonts w:eastAsia="Calibri"/>
                <w:sz w:val="10"/>
                <w:szCs w:val="18"/>
                <w:lang w:eastAsia="tr-TR"/>
              </w:rPr>
            </w:pP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 xml:space="preserve">Examining the association of health literacy and health behaviors in African American older adults: does health literacy affect adherence to antihypertensive regimens? J Gerontol Nurs. 2013 </w:t>
            </w:r>
          </w:p>
        </w:tc>
        <w:tc>
          <w:tcPr>
            <w:tcW w:w="812" w:type="pct"/>
            <w:shd w:val="clear" w:color="auto" w:fill="auto"/>
            <w:vAlign w:val="center"/>
          </w:tcPr>
          <w:p w:rsidR="000D48B3" w:rsidRPr="00854A59" w:rsidRDefault="000D48B3" w:rsidP="00701C90">
            <w:pPr>
              <w:spacing w:line="240" w:lineRule="auto"/>
              <w:rPr>
                <w:szCs w:val="18"/>
                <w:lang w:eastAsia="tr-TR"/>
              </w:rPr>
            </w:pPr>
            <w:r w:rsidRPr="00854A59">
              <w:rPr>
                <w:szCs w:val="18"/>
                <w:lang w:eastAsia="tr-TR"/>
              </w:rPr>
              <w:lastRenderedPageBreak/>
              <w:t xml:space="preserve">Afrikalı Amerikalılar 121 </w:t>
            </w:r>
            <w:r w:rsidRPr="00854A59">
              <w:rPr>
                <w:szCs w:val="18"/>
                <w:lang w:eastAsia="tr-TR"/>
              </w:rPr>
              <w:lastRenderedPageBreak/>
              <w:t xml:space="preserve">hipertansiyon hastası </w:t>
            </w:r>
          </w:p>
          <w:p w:rsidR="000D48B3" w:rsidRPr="00854A59" w:rsidRDefault="000D48B3" w:rsidP="00701C90">
            <w:pPr>
              <w:spacing w:line="240" w:lineRule="auto"/>
              <w:rPr>
                <w:szCs w:val="18"/>
                <w:lang w:eastAsia="tr-TR"/>
              </w:rPr>
            </w:pPr>
          </w:p>
          <w:p w:rsidR="000D48B3" w:rsidRPr="00854A59" w:rsidRDefault="000D48B3" w:rsidP="00701C90">
            <w:pPr>
              <w:spacing w:line="240" w:lineRule="auto"/>
              <w:rPr>
                <w:rFonts w:eastAsia="Calibri"/>
                <w:szCs w:val="18"/>
                <w:lang w:eastAsia="tr-TR"/>
              </w:rPr>
            </w:pPr>
            <w:r w:rsidRPr="00854A59">
              <w:rPr>
                <w:szCs w:val="18"/>
                <w:lang w:eastAsia="tr-TR"/>
              </w:rPr>
              <w:t>descriptive correlational design</w:t>
            </w:r>
          </w:p>
        </w:tc>
        <w:tc>
          <w:tcPr>
            <w:tcW w:w="1516" w:type="pct"/>
            <w:shd w:val="clear" w:color="auto" w:fill="auto"/>
            <w:vAlign w:val="center"/>
          </w:tcPr>
          <w:p w:rsidR="000D48B3" w:rsidRPr="00854A59" w:rsidRDefault="000D48B3" w:rsidP="00701C90">
            <w:pPr>
              <w:spacing w:line="240" w:lineRule="auto"/>
              <w:rPr>
                <w:szCs w:val="18"/>
                <w:lang w:eastAsia="tr-TR"/>
              </w:rPr>
            </w:pPr>
          </w:p>
          <w:p w:rsidR="000D48B3" w:rsidRPr="00854A59" w:rsidRDefault="000D48B3" w:rsidP="00701C90">
            <w:pPr>
              <w:spacing w:line="240" w:lineRule="auto"/>
              <w:rPr>
                <w:szCs w:val="18"/>
                <w:lang w:eastAsia="tr-TR"/>
              </w:rPr>
            </w:pPr>
            <w:r w:rsidRPr="00854A59">
              <w:rPr>
                <w:szCs w:val="18"/>
                <w:lang w:eastAsia="tr-TR"/>
              </w:rPr>
              <w:t xml:space="preserve">Katılımcıların büyük kısmının sağlık </w:t>
            </w:r>
            <w:r w:rsidRPr="00854A59">
              <w:rPr>
                <w:szCs w:val="18"/>
                <w:lang w:eastAsia="tr-TR"/>
              </w:rPr>
              <w:lastRenderedPageBreak/>
              <w:t xml:space="preserve">okuryazarlık düzeyi düşüktür. </w:t>
            </w:r>
          </w:p>
          <w:p w:rsidR="000D48B3" w:rsidRPr="00854A59" w:rsidRDefault="000D48B3" w:rsidP="00701C90">
            <w:pPr>
              <w:spacing w:line="240" w:lineRule="auto"/>
              <w:rPr>
                <w:szCs w:val="18"/>
                <w:lang w:eastAsia="tr-TR"/>
              </w:rPr>
            </w:pPr>
          </w:p>
          <w:p w:rsidR="000D48B3" w:rsidRPr="00854A59" w:rsidRDefault="000D48B3" w:rsidP="00701C90">
            <w:pPr>
              <w:spacing w:line="240" w:lineRule="auto"/>
              <w:rPr>
                <w:szCs w:val="18"/>
              </w:rPr>
            </w:pPr>
            <w:r w:rsidRPr="00854A59">
              <w:rPr>
                <w:szCs w:val="18"/>
                <w:lang w:eastAsia="tr-TR"/>
              </w:rPr>
              <w:t xml:space="preserve">Sağlık okuryazarlığı ve uyumluluk arasında istatistiksel olarak anlamlı bir ilişki bulunamamıştır, yaş ve sağlık durumunun uyumu önemli ölçüde yordamaktadır. </w:t>
            </w:r>
          </w:p>
        </w:tc>
        <w:tc>
          <w:tcPr>
            <w:tcW w:w="1589" w:type="pct"/>
            <w:shd w:val="clear" w:color="auto" w:fill="auto"/>
            <w:vAlign w:val="center"/>
          </w:tcPr>
          <w:p w:rsidR="000D48B3" w:rsidRPr="00854A59" w:rsidRDefault="000D48B3" w:rsidP="00701C90">
            <w:pPr>
              <w:spacing w:line="240" w:lineRule="auto"/>
              <w:rPr>
                <w:szCs w:val="18"/>
              </w:rPr>
            </w:pPr>
            <w:r w:rsidRPr="00854A59">
              <w:rPr>
                <w:szCs w:val="18"/>
                <w:lang w:eastAsia="tr-TR"/>
              </w:rPr>
              <w:lastRenderedPageBreak/>
              <w:t>Hastaların sağlık okur yazarlık düzeyi sağlık sonuçlarını etkilemektedir</w:t>
            </w:r>
            <w:r w:rsidRPr="00854A59">
              <w:rPr>
                <w:szCs w:val="18"/>
                <w:u w:val="single"/>
                <w:lang w:eastAsia="tr-TR"/>
              </w:rPr>
              <w:t xml:space="preserve"> </w:t>
            </w: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19</w:t>
            </w:r>
          </w:p>
        </w:tc>
        <w:tc>
          <w:tcPr>
            <w:tcW w:w="883" w:type="pct"/>
            <w:shd w:val="clear" w:color="auto" w:fill="auto"/>
            <w:vAlign w:val="center"/>
          </w:tcPr>
          <w:p w:rsidR="000D48B3" w:rsidRDefault="000D48B3" w:rsidP="00701C90">
            <w:pPr>
              <w:shd w:val="clear" w:color="auto" w:fill="FFFFFF"/>
              <w:spacing w:line="240" w:lineRule="auto"/>
              <w:outlineLvl w:val="1"/>
              <w:rPr>
                <w:szCs w:val="18"/>
                <w:lang w:eastAsia="tr-TR"/>
              </w:rPr>
            </w:pPr>
            <w:r w:rsidRPr="00854A59">
              <w:rPr>
                <w:szCs w:val="18"/>
                <w:lang w:eastAsia="tr-TR"/>
              </w:rPr>
              <w:t xml:space="preserve">Shibuya A, Inoue R, Ohkubo T, Takeda Y, Teshima T, Imai Y, et al. </w:t>
            </w:r>
          </w:p>
          <w:p w:rsidR="000D48B3" w:rsidRPr="00854A59" w:rsidRDefault="000D48B3" w:rsidP="00701C90">
            <w:pPr>
              <w:shd w:val="clear" w:color="auto" w:fill="FFFFFF"/>
              <w:spacing w:line="240" w:lineRule="auto"/>
              <w:outlineLvl w:val="1"/>
              <w:rPr>
                <w:sz w:val="10"/>
                <w:szCs w:val="18"/>
                <w:lang w:eastAsia="tr-TR"/>
              </w:rPr>
            </w:pPr>
          </w:p>
          <w:p w:rsidR="000D48B3" w:rsidRPr="00854A59" w:rsidRDefault="000D48B3" w:rsidP="00701C90">
            <w:pPr>
              <w:shd w:val="clear" w:color="auto" w:fill="FFFFFF"/>
              <w:spacing w:line="240" w:lineRule="auto"/>
              <w:outlineLvl w:val="1"/>
              <w:rPr>
                <w:szCs w:val="18"/>
                <w:lang w:eastAsia="tr-TR"/>
              </w:rPr>
            </w:pPr>
            <w:r w:rsidRPr="00854A59">
              <w:rPr>
                <w:szCs w:val="18"/>
                <w:lang w:eastAsia="tr-TR"/>
              </w:rPr>
              <w:t>The relation between health literacy,</w:t>
            </w:r>
            <w:r w:rsidRPr="00854A59">
              <w:rPr>
                <w:szCs w:val="18"/>
                <w:lang w:eastAsia="tr-TR"/>
              </w:rPr>
              <w:br/>
              <w:t>hypertension knowledge, and blood pressure among middle-aged Japanese adults. Blood press Mont. 2011</w:t>
            </w:r>
          </w:p>
        </w:tc>
        <w:tc>
          <w:tcPr>
            <w:tcW w:w="812" w:type="pct"/>
            <w:shd w:val="clear" w:color="auto" w:fill="auto"/>
            <w:vAlign w:val="center"/>
          </w:tcPr>
          <w:p w:rsidR="000D48B3" w:rsidRPr="00854A59" w:rsidRDefault="000D48B3" w:rsidP="00701C90">
            <w:pPr>
              <w:shd w:val="clear" w:color="auto" w:fill="FFFFFF"/>
              <w:spacing w:line="240" w:lineRule="auto"/>
              <w:outlineLvl w:val="1"/>
              <w:rPr>
                <w:szCs w:val="18"/>
                <w:lang w:eastAsia="tr-TR"/>
              </w:rPr>
            </w:pPr>
            <w:r w:rsidRPr="00854A59">
              <w:rPr>
                <w:szCs w:val="18"/>
                <w:lang w:eastAsia="tr-TR"/>
              </w:rPr>
              <w:t>Yaşlı Japonlar</w:t>
            </w:r>
          </w:p>
          <w:p w:rsidR="000D48B3" w:rsidRPr="00854A59" w:rsidRDefault="000D48B3" w:rsidP="00701C90">
            <w:pPr>
              <w:spacing w:line="240" w:lineRule="auto"/>
              <w:rPr>
                <w:szCs w:val="18"/>
                <w:lang w:eastAsia="tr-TR"/>
              </w:rPr>
            </w:pPr>
          </w:p>
        </w:tc>
        <w:tc>
          <w:tcPr>
            <w:tcW w:w="1516"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val="en-US" w:eastAsia="tr-TR"/>
              </w:rPr>
            </w:pPr>
            <w:r w:rsidRPr="00854A59">
              <w:rPr>
                <w:rFonts w:eastAsia="Calibri"/>
                <w:szCs w:val="18"/>
                <w:lang w:val="en-US" w:eastAsia="tr-TR"/>
              </w:rPr>
              <w:t xml:space="preserve">Yaşlı japon hipertansiyon hastlarında okuma becerileri ile sağlık okuryazarlığı ve kan basıncı arasında ilişki olduğu tespit edilmiştir. </w:t>
            </w:r>
          </w:p>
          <w:p w:rsidR="000D48B3" w:rsidRPr="00854A59" w:rsidRDefault="000D48B3" w:rsidP="00701C90">
            <w:pPr>
              <w:shd w:val="clear" w:color="auto" w:fill="FFFFFF"/>
              <w:spacing w:line="240" w:lineRule="auto"/>
              <w:outlineLvl w:val="1"/>
              <w:rPr>
                <w:rFonts w:eastAsia="Calibri"/>
                <w:szCs w:val="18"/>
                <w:lang w:val="en-US" w:eastAsia="tr-TR"/>
              </w:rPr>
            </w:pPr>
            <w:r w:rsidRPr="00854A59">
              <w:rPr>
                <w:rFonts w:eastAsia="Calibri"/>
                <w:szCs w:val="18"/>
                <w:lang w:val="en-US" w:eastAsia="tr-TR"/>
              </w:rPr>
              <w:t xml:space="preserve">Sistolik kan basıncı, sağlık okuryazarlığı ile ilişkilidir. </w:t>
            </w:r>
          </w:p>
          <w:p w:rsidR="000D48B3" w:rsidRPr="00854A59" w:rsidRDefault="000D48B3" w:rsidP="00701C90">
            <w:pPr>
              <w:shd w:val="clear" w:color="auto" w:fill="FFFFFF"/>
              <w:spacing w:line="240" w:lineRule="auto"/>
              <w:outlineLvl w:val="1"/>
              <w:rPr>
                <w:rFonts w:eastAsia="Calibri"/>
                <w:szCs w:val="18"/>
                <w:lang w:val="en-US" w:eastAsia="tr-TR"/>
              </w:rPr>
            </w:pPr>
            <w:r w:rsidRPr="00854A59">
              <w:rPr>
                <w:rFonts w:eastAsia="Calibri"/>
                <w:szCs w:val="18"/>
                <w:lang w:val="en-US" w:eastAsia="tr-TR"/>
              </w:rPr>
              <w:t xml:space="preserve">Düşük sağlık okuryazarlık düzeyi hipertansiyon prevalansının artışı ile ilişkilidir. </w:t>
            </w:r>
          </w:p>
          <w:p w:rsidR="000D48B3" w:rsidRPr="00854A59" w:rsidRDefault="000D48B3" w:rsidP="00701C90">
            <w:pPr>
              <w:spacing w:line="240" w:lineRule="auto"/>
              <w:rPr>
                <w:rFonts w:eastAsia="Calibri"/>
                <w:b/>
                <w:szCs w:val="18"/>
                <w:u w:val="single"/>
                <w:lang w:eastAsia="tr-TR"/>
              </w:rPr>
            </w:pPr>
          </w:p>
        </w:tc>
        <w:tc>
          <w:tcPr>
            <w:tcW w:w="1589"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Sağlık okuryazarlığı kan basıncı kontrolü ile ilişkilidir.</w:t>
            </w: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20</w:t>
            </w:r>
          </w:p>
        </w:tc>
        <w:tc>
          <w:tcPr>
            <w:tcW w:w="883" w:type="pct"/>
            <w:shd w:val="clear" w:color="auto" w:fill="auto"/>
            <w:vAlign w:val="center"/>
          </w:tcPr>
          <w:p w:rsidR="000D48B3" w:rsidRPr="00854A59" w:rsidRDefault="000D48B3" w:rsidP="00701C90">
            <w:pPr>
              <w:shd w:val="clear" w:color="auto" w:fill="FFFFFF"/>
              <w:spacing w:line="240" w:lineRule="auto"/>
              <w:outlineLvl w:val="1"/>
              <w:rPr>
                <w:szCs w:val="18"/>
                <w:lang w:eastAsia="tr-TR"/>
              </w:rPr>
            </w:pPr>
            <w:r w:rsidRPr="00854A59">
              <w:rPr>
                <w:szCs w:val="18"/>
                <w:lang w:eastAsia="tr-TR"/>
              </w:rPr>
              <w:t xml:space="preserve">Sabouhi F, Babaee S, Naji H, Zadeh AH. </w:t>
            </w:r>
          </w:p>
          <w:p w:rsidR="000D48B3" w:rsidRPr="00854A59" w:rsidRDefault="000D48B3" w:rsidP="00701C90">
            <w:pPr>
              <w:shd w:val="clear" w:color="auto" w:fill="FFFFFF"/>
              <w:spacing w:line="240" w:lineRule="auto"/>
              <w:outlineLvl w:val="1"/>
              <w:rPr>
                <w:sz w:val="10"/>
                <w:szCs w:val="18"/>
                <w:lang w:eastAsia="tr-TR"/>
              </w:rPr>
            </w:pPr>
          </w:p>
          <w:p w:rsidR="000D48B3" w:rsidRPr="00854A59" w:rsidRDefault="000D48B3" w:rsidP="00701C90">
            <w:pPr>
              <w:shd w:val="clear" w:color="auto" w:fill="FFFFFF"/>
              <w:spacing w:line="240" w:lineRule="auto"/>
              <w:outlineLvl w:val="1"/>
              <w:rPr>
                <w:szCs w:val="18"/>
                <w:lang w:eastAsia="tr-TR"/>
              </w:rPr>
            </w:pPr>
            <w:r w:rsidRPr="00854A59">
              <w:rPr>
                <w:szCs w:val="18"/>
                <w:lang w:eastAsia="tr-TR"/>
              </w:rPr>
              <w:t xml:space="preserve">Knowledge, awareness, attitudes and practice about hypertension in hypertensive </w:t>
            </w:r>
            <w:r w:rsidRPr="00854A59">
              <w:rPr>
                <w:szCs w:val="18"/>
                <w:lang w:eastAsia="tr-TR"/>
              </w:rPr>
              <w:lastRenderedPageBreak/>
              <w:t>patients referring to public health care centers in Khoor &amp; Biabanak</w:t>
            </w:r>
          </w:p>
          <w:p w:rsidR="000D48B3" w:rsidRPr="00854A59" w:rsidRDefault="000D48B3" w:rsidP="00701C90">
            <w:pPr>
              <w:shd w:val="clear" w:color="auto" w:fill="FFFFFF"/>
              <w:spacing w:line="240" w:lineRule="auto"/>
              <w:outlineLvl w:val="1"/>
              <w:rPr>
                <w:szCs w:val="18"/>
                <w:lang w:eastAsia="tr-TR"/>
              </w:rPr>
            </w:pPr>
            <w:r w:rsidRPr="00854A59">
              <w:rPr>
                <w:szCs w:val="18"/>
                <w:lang w:eastAsia="tr-TR"/>
              </w:rPr>
              <w:t>Iran, 2011</w:t>
            </w:r>
          </w:p>
        </w:tc>
        <w:tc>
          <w:tcPr>
            <w:tcW w:w="812" w:type="pct"/>
            <w:shd w:val="clear" w:color="auto" w:fill="auto"/>
            <w:vAlign w:val="center"/>
          </w:tcPr>
          <w:p w:rsidR="000D48B3" w:rsidRPr="00854A59" w:rsidRDefault="000D48B3" w:rsidP="00701C90">
            <w:pPr>
              <w:shd w:val="clear" w:color="auto" w:fill="FFFFFF"/>
              <w:spacing w:line="240" w:lineRule="auto"/>
              <w:outlineLvl w:val="1"/>
              <w:rPr>
                <w:szCs w:val="18"/>
                <w:u w:val="single"/>
                <w:lang w:eastAsia="tr-TR"/>
              </w:rPr>
            </w:pPr>
          </w:p>
        </w:tc>
        <w:tc>
          <w:tcPr>
            <w:tcW w:w="1516" w:type="pct"/>
            <w:shd w:val="clear" w:color="auto" w:fill="auto"/>
            <w:vAlign w:val="center"/>
          </w:tcPr>
          <w:p w:rsidR="000D48B3" w:rsidRPr="00854A59" w:rsidRDefault="000D48B3" w:rsidP="00701C90">
            <w:pPr>
              <w:autoSpaceDE w:val="0"/>
              <w:autoSpaceDN w:val="0"/>
              <w:adjustRightInd w:val="0"/>
              <w:spacing w:line="240" w:lineRule="auto"/>
              <w:rPr>
                <w:rFonts w:eastAsia="Calibri"/>
                <w:szCs w:val="18"/>
                <w:lang w:val="en-US"/>
              </w:rPr>
            </w:pPr>
            <w:r w:rsidRPr="00854A59">
              <w:rPr>
                <w:rFonts w:eastAsia="Calibri"/>
                <w:szCs w:val="18"/>
                <w:lang w:val="en-US"/>
              </w:rPr>
              <w:t>Hastaların %63’ünün tansiyonu yüksek,  %50’sinin bilgi skoru ortalama düzeydedir.</w:t>
            </w:r>
          </w:p>
          <w:p w:rsidR="000D48B3" w:rsidRPr="00854A59" w:rsidRDefault="000D48B3" w:rsidP="00701C90">
            <w:pPr>
              <w:autoSpaceDE w:val="0"/>
              <w:autoSpaceDN w:val="0"/>
              <w:adjustRightInd w:val="0"/>
              <w:spacing w:line="240" w:lineRule="auto"/>
              <w:rPr>
                <w:rFonts w:eastAsia="Calibri"/>
                <w:szCs w:val="18"/>
                <w:lang w:val="en-US"/>
              </w:rPr>
            </w:pPr>
          </w:p>
          <w:p w:rsidR="000D48B3" w:rsidRPr="00854A59" w:rsidRDefault="000D48B3" w:rsidP="00701C90">
            <w:pPr>
              <w:autoSpaceDE w:val="0"/>
              <w:autoSpaceDN w:val="0"/>
              <w:adjustRightInd w:val="0"/>
              <w:spacing w:line="240" w:lineRule="auto"/>
              <w:rPr>
                <w:rFonts w:eastAsia="Calibri"/>
                <w:szCs w:val="18"/>
                <w:lang w:val="en-US"/>
              </w:rPr>
            </w:pPr>
            <w:r w:rsidRPr="00854A59">
              <w:rPr>
                <w:rFonts w:eastAsia="Calibri"/>
                <w:szCs w:val="18"/>
                <w:lang w:val="en-US"/>
              </w:rPr>
              <w:t>Farkındalık düzeyi %64.5’unun farkındalık düzeyi yüksektir.</w:t>
            </w:r>
          </w:p>
          <w:p w:rsidR="000D48B3" w:rsidRPr="00854A59" w:rsidRDefault="000D48B3" w:rsidP="00701C90">
            <w:pPr>
              <w:autoSpaceDE w:val="0"/>
              <w:autoSpaceDN w:val="0"/>
              <w:adjustRightInd w:val="0"/>
              <w:spacing w:line="240" w:lineRule="auto"/>
              <w:rPr>
                <w:rFonts w:eastAsia="Calibri"/>
                <w:szCs w:val="18"/>
                <w:lang w:val="en-US"/>
              </w:rPr>
            </w:pPr>
            <w:r w:rsidRPr="00854A59">
              <w:rPr>
                <w:rFonts w:eastAsia="Calibri"/>
                <w:szCs w:val="18"/>
                <w:lang w:val="en-US"/>
              </w:rPr>
              <w:t xml:space="preserve"> Kadınların farkındalığı erkeklerden yüksektir. </w:t>
            </w:r>
          </w:p>
          <w:p w:rsidR="000D48B3" w:rsidRPr="00854A59" w:rsidRDefault="000D48B3" w:rsidP="00701C90">
            <w:pPr>
              <w:autoSpaceDE w:val="0"/>
              <w:autoSpaceDN w:val="0"/>
              <w:adjustRightInd w:val="0"/>
              <w:spacing w:line="240" w:lineRule="auto"/>
              <w:rPr>
                <w:rFonts w:eastAsia="Calibri"/>
                <w:szCs w:val="18"/>
                <w:lang w:val="en-US"/>
              </w:rPr>
            </w:pPr>
            <w:r w:rsidRPr="00854A59">
              <w:rPr>
                <w:rFonts w:eastAsia="Calibri"/>
                <w:szCs w:val="18"/>
                <w:lang w:val="en-US"/>
              </w:rPr>
              <w:lastRenderedPageBreak/>
              <w:t xml:space="preserve">Hipertansiyona ilişkin farkındalık ve bilgi; farkındalık ve tutum ile farkındalık ve uygulama arasında  anlamlı ilişki varken; bilgi ve tutum ile bilgi ve uygulama arasında, tutum ve uygulama arasında ilişki bulunmamıştır. </w:t>
            </w:r>
          </w:p>
          <w:p w:rsidR="000D48B3" w:rsidRPr="00854A59" w:rsidRDefault="000D48B3" w:rsidP="00701C90">
            <w:pPr>
              <w:autoSpaceDE w:val="0"/>
              <w:autoSpaceDN w:val="0"/>
              <w:adjustRightInd w:val="0"/>
              <w:spacing w:line="240" w:lineRule="auto"/>
              <w:rPr>
                <w:rFonts w:eastAsia="Calibri"/>
                <w:szCs w:val="18"/>
                <w:lang w:val="en-US"/>
              </w:rPr>
            </w:pPr>
            <w:r w:rsidRPr="00854A59">
              <w:rPr>
                <w:rFonts w:eastAsia="Calibri"/>
                <w:szCs w:val="18"/>
                <w:lang w:val="en-US"/>
              </w:rPr>
              <w:t xml:space="preserve">Yaş ve bilgi düzeyi ilişkili iken farkındalık, tutum ve uygulama ile ilişkili değildir. </w:t>
            </w:r>
          </w:p>
          <w:p w:rsidR="000D48B3" w:rsidRPr="00854A59" w:rsidRDefault="000D48B3" w:rsidP="00701C90">
            <w:pPr>
              <w:autoSpaceDE w:val="0"/>
              <w:autoSpaceDN w:val="0"/>
              <w:adjustRightInd w:val="0"/>
              <w:spacing w:line="240" w:lineRule="auto"/>
              <w:rPr>
                <w:rFonts w:eastAsia="Calibri"/>
                <w:szCs w:val="18"/>
                <w:lang w:val="en-US"/>
              </w:rPr>
            </w:pPr>
            <w:r w:rsidRPr="00854A59">
              <w:rPr>
                <w:rFonts w:eastAsia="Calibri"/>
                <w:szCs w:val="18"/>
                <w:lang w:val="en-US"/>
              </w:rPr>
              <w:t xml:space="preserve">Eğitimle bilgi, tutum ve uygulamalar ilişkili değildir. </w:t>
            </w:r>
          </w:p>
          <w:p w:rsidR="000D48B3" w:rsidRPr="00854A59" w:rsidRDefault="000D48B3" w:rsidP="00701C90">
            <w:pPr>
              <w:autoSpaceDE w:val="0"/>
              <w:autoSpaceDN w:val="0"/>
              <w:adjustRightInd w:val="0"/>
              <w:spacing w:line="240" w:lineRule="auto"/>
              <w:rPr>
                <w:rFonts w:eastAsia="Calibri"/>
                <w:szCs w:val="18"/>
                <w:lang w:val="en-US" w:eastAsia="tr-TR"/>
              </w:rPr>
            </w:pPr>
            <w:r w:rsidRPr="00854A59">
              <w:rPr>
                <w:rFonts w:eastAsia="Calibri"/>
                <w:szCs w:val="18"/>
                <w:lang w:val="en-US"/>
              </w:rPr>
              <w:t>Bilgi ve eğitim skorları arasında iliki vardır.</w:t>
            </w:r>
          </w:p>
        </w:tc>
        <w:tc>
          <w:tcPr>
            <w:tcW w:w="1589"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val="en-US"/>
              </w:rPr>
              <w:lastRenderedPageBreak/>
              <w:t xml:space="preserve">Hastalar nispeten yüksek bir farkındalık, bilgi, tutuma sahip olsa da  hipertansiyon kontrol altında değildir ve hastalık yönetimleri zayıftır. </w:t>
            </w: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21</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Joyner-Grantham J, Mount DL, McCorkle OD, Simmons DR, Ferrario CM, Cline DM.</w:t>
            </w:r>
          </w:p>
          <w:p w:rsidR="000D48B3" w:rsidRPr="00854A59" w:rsidRDefault="000D48B3" w:rsidP="00701C90">
            <w:pPr>
              <w:shd w:val="clear" w:color="auto" w:fill="FFFFFF"/>
              <w:spacing w:line="240" w:lineRule="auto"/>
              <w:outlineLvl w:val="1"/>
              <w:rPr>
                <w:rFonts w:eastAsia="Calibri"/>
                <w:sz w:val="10"/>
                <w:szCs w:val="18"/>
                <w:lang w:eastAsia="tr-TR"/>
              </w:rPr>
            </w:pP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Self-reported influences of hopelessness, health literacy, lifestyle action, and patient inertia on blood pressure control in a hypertensive emergency department population, 2009.</w:t>
            </w:r>
          </w:p>
        </w:tc>
        <w:tc>
          <w:tcPr>
            <w:tcW w:w="812" w:type="pct"/>
            <w:shd w:val="clear" w:color="auto" w:fill="auto"/>
            <w:vAlign w:val="center"/>
          </w:tcPr>
          <w:p w:rsidR="000D48B3" w:rsidRPr="00854A59" w:rsidRDefault="000D48B3" w:rsidP="00701C90">
            <w:pPr>
              <w:spacing w:line="240" w:lineRule="auto"/>
              <w:rPr>
                <w:rFonts w:eastAsia="Calibri"/>
                <w:szCs w:val="18"/>
                <w:lang w:eastAsia="tr-TR"/>
              </w:rPr>
            </w:pPr>
            <w:r w:rsidRPr="00854A59">
              <w:rPr>
                <w:rFonts w:eastAsia="Calibri"/>
                <w:szCs w:val="18"/>
                <w:lang w:eastAsia="tr-TR"/>
              </w:rPr>
              <w:t>Acile başvuran 85 kişi</w:t>
            </w:r>
          </w:p>
        </w:tc>
        <w:tc>
          <w:tcPr>
            <w:tcW w:w="1516" w:type="pct"/>
            <w:shd w:val="clear" w:color="auto" w:fill="auto"/>
            <w:vAlign w:val="center"/>
          </w:tcPr>
          <w:p w:rsidR="000D48B3" w:rsidRPr="00854A59" w:rsidRDefault="000D48B3" w:rsidP="00701C90">
            <w:pPr>
              <w:spacing w:line="240" w:lineRule="auto"/>
              <w:rPr>
                <w:rFonts w:eastAsia="Calibri"/>
                <w:szCs w:val="18"/>
                <w:lang w:val="en-US" w:eastAsia="tr-TR"/>
              </w:rPr>
            </w:pPr>
            <w:r w:rsidRPr="00854A59">
              <w:rPr>
                <w:rFonts w:eastAsia="Calibri"/>
                <w:szCs w:val="18"/>
                <w:lang w:val="en-US" w:eastAsia="tr-TR"/>
              </w:rPr>
              <w:t xml:space="preserve">Düşük okuma yeterliliğine sahip hastalar  yüksek düzeyde hipertansiyon sağlık okuryazarlığına sahip oldukları nı bildirmiştir. </w:t>
            </w:r>
          </w:p>
          <w:p w:rsidR="000D48B3" w:rsidRPr="00854A59" w:rsidRDefault="000D48B3" w:rsidP="00701C90">
            <w:pPr>
              <w:spacing w:line="240" w:lineRule="auto"/>
              <w:rPr>
                <w:rFonts w:eastAsia="Calibri"/>
                <w:szCs w:val="18"/>
                <w:lang w:val="en-US" w:eastAsia="tr-TR"/>
              </w:rPr>
            </w:pPr>
            <w:r w:rsidRPr="00854A59">
              <w:rPr>
                <w:rFonts w:eastAsia="Calibri"/>
                <w:szCs w:val="18"/>
                <w:lang w:val="en-US" w:eastAsia="tr-TR"/>
              </w:rPr>
              <w:t xml:space="preserve">Hastaların yarısından daha azı diyet, egzersiz ve ilaç uyumunda yaşam tarzı değişimlerine aktarmıştır. </w:t>
            </w:r>
          </w:p>
          <w:p w:rsidR="000D48B3" w:rsidRPr="00854A59" w:rsidRDefault="000D48B3" w:rsidP="00701C90">
            <w:pPr>
              <w:spacing w:line="240" w:lineRule="auto"/>
              <w:rPr>
                <w:rFonts w:eastAsia="Calibri"/>
                <w:b/>
                <w:szCs w:val="18"/>
                <w:u w:val="single"/>
                <w:lang w:eastAsia="tr-TR"/>
              </w:rPr>
            </w:pPr>
            <w:r w:rsidRPr="00854A59">
              <w:rPr>
                <w:rFonts w:eastAsia="Calibri"/>
                <w:szCs w:val="18"/>
                <w:lang w:val="en-US" w:eastAsia="tr-TR"/>
              </w:rPr>
              <w:t>Hastalar kan basınçlarını kontrol edebildiklerini ve sıklıkla daha iyi kan basıncı kontrolü sağladıklarını düşünmelerine ragmen % 55'inde kontrolsüz hipertansiyon saptanmıştır.</w:t>
            </w:r>
          </w:p>
        </w:tc>
        <w:tc>
          <w:tcPr>
            <w:tcW w:w="1589" w:type="pct"/>
            <w:shd w:val="clear" w:color="auto" w:fill="auto"/>
            <w:vAlign w:val="center"/>
          </w:tcPr>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Acile başvuran hastalar kendilerinin yeterli sağlık okuryazarlığına sahip olduklarını belirtseler de hipertansiyondan korunmada sağlığı koruyucu davranışlara dönüştürememişlerdir.</w:t>
            </w:r>
          </w:p>
          <w:p w:rsidR="000D48B3" w:rsidRPr="00854A59" w:rsidRDefault="000D48B3" w:rsidP="00701C90">
            <w:pPr>
              <w:shd w:val="clear" w:color="auto" w:fill="FFFFFF"/>
              <w:spacing w:line="240" w:lineRule="auto"/>
              <w:outlineLvl w:val="1"/>
              <w:rPr>
                <w:rFonts w:eastAsia="Calibri"/>
                <w:szCs w:val="18"/>
                <w:lang w:eastAsia="tr-TR"/>
              </w:rPr>
            </w:pP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22</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Pandit AU1, Tang JW, Bailey SC, </w:t>
            </w:r>
            <w:r w:rsidRPr="00854A59">
              <w:rPr>
                <w:rFonts w:eastAsia="Calibri"/>
                <w:szCs w:val="18"/>
                <w:lang w:eastAsia="tr-TR"/>
              </w:rPr>
              <w:lastRenderedPageBreak/>
              <w:t>Davis TC, Bocchini MV, Persell SD, Federman AD, Wolf MS.</w:t>
            </w:r>
          </w:p>
          <w:p w:rsidR="000D48B3" w:rsidRPr="00854A59" w:rsidRDefault="000D48B3" w:rsidP="00701C90">
            <w:pPr>
              <w:shd w:val="clear" w:color="auto" w:fill="FFFFFF"/>
              <w:spacing w:line="240" w:lineRule="auto"/>
              <w:outlineLvl w:val="1"/>
              <w:rPr>
                <w:rFonts w:eastAsia="Calibri"/>
                <w:sz w:val="10"/>
                <w:szCs w:val="18"/>
                <w:lang w:eastAsia="tr-TR"/>
              </w:rPr>
            </w:pP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Education, literacy, and health: Mediating effects on hypertension knowledge and control</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Patient Educ Couns. 2009</w:t>
            </w:r>
          </w:p>
        </w:tc>
        <w:tc>
          <w:tcPr>
            <w:tcW w:w="812" w:type="pct"/>
            <w:shd w:val="clear" w:color="auto" w:fill="auto"/>
            <w:vAlign w:val="center"/>
          </w:tcPr>
          <w:p w:rsidR="000D48B3" w:rsidRPr="00854A59" w:rsidRDefault="000D48B3" w:rsidP="00701C90">
            <w:pPr>
              <w:spacing w:line="240" w:lineRule="auto"/>
              <w:rPr>
                <w:rFonts w:eastAsia="Calibri"/>
                <w:szCs w:val="18"/>
                <w:lang w:eastAsia="tr-TR"/>
              </w:rPr>
            </w:pPr>
            <w:r w:rsidRPr="00854A59">
              <w:rPr>
                <w:rFonts w:eastAsia="Calibri"/>
                <w:szCs w:val="18"/>
                <w:lang w:eastAsia="tr-TR"/>
              </w:rPr>
              <w:lastRenderedPageBreak/>
              <w:t xml:space="preserve">Altı birinci basamak kliniğinde </w:t>
            </w:r>
            <w:r w:rsidRPr="00854A59">
              <w:rPr>
                <w:rFonts w:eastAsia="Calibri"/>
                <w:szCs w:val="18"/>
                <w:lang w:eastAsia="tr-TR"/>
              </w:rPr>
              <w:lastRenderedPageBreak/>
              <w:t>330 hipertansiyon hastası.</w:t>
            </w:r>
          </w:p>
        </w:tc>
        <w:tc>
          <w:tcPr>
            <w:tcW w:w="1516" w:type="pct"/>
            <w:shd w:val="clear" w:color="auto" w:fill="auto"/>
            <w:vAlign w:val="center"/>
          </w:tcPr>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lastRenderedPageBreak/>
              <w:t xml:space="preserve">Daha sınırlı okuryazarlık becerileri hipertansiyon kontrolü ile ilişkili </w:t>
            </w:r>
            <w:r w:rsidRPr="00854A59">
              <w:rPr>
                <w:rFonts w:eastAsia="Calibri"/>
                <w:szCs w:val="18"/>
                <w:lang w:eastAsia="tr-TR"/>
              </w:rPr>
              <w:lastRenderedPageBreak/>
              <w:t>bulunmuştur (OR 2.68).</w:t>
            </w:r>
          </w:p>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 xml:space="preserve">Daha az eğitime sahip bireylerde hastalık ve tedavi bilgisi daha azdır, bu kişilerde hipertansiyonu kontrol altında tutamama riski daha yüksektir. </w:t>
            </w:r>
          </w:p>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 xml:space="preserve">Eğitim ve sağlık okur yazarlığı birbiri ile ilişiklidir. </w:t>
            </w:r>
          </w:p>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Okur yazarlık yetenekleri yeterli olan kişilerin hastalıkla ilgili bilgiye erişme, bilgi alma ve bilgiyi kavrama düzeyleri daha iyidir.</w:t>
            </w:r>
          </w:p>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 xml:space="preserve">Kontrolsüz hipertansiyona sahip olmayla sınırlı okuryazarlık ve daha az eğitimden geçme ilişkili bulunmuştur. </w:t>
            </w:r>
          </w:p>
        </w:tc>
        <w:tc>
          <w:tcPr>
            <w:tcW w:w="1589" w:type="pct"/>
            <w:shd w:val="clear" w:color="auto" w:fill="auto"/>
            <w:vAlign w:val="center"/>
          </w:tcPr>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lastRenderedPageBreak/>
              <w:t xml:space="preserve">Sağlık okuryazarlığı tansiyon kontrolünde güçlü </w:t>
            </w:r>
            <w:r w:rsidRPr="00854A59">
              <w:rPr>
                <w:rFonts w:eastAsia="Calibri"/>
                <w:szCs w:val="18"/>
                <w:lang w:eastAsia="tr-TR"/>
              </w:rPr>
              <w:lastRenderedPageBreak/>
              <w:t>belirleyicilerdendir.</w:t>
            </w:r>
          </w:p>
          <w:p w:rsidR="000D48B3" w:rsidRPr="00854A59" w:rsidRDefault="000D48B3" w:rsidP="00701C90">
            <w:pPr>
              <w:widowControl w:val="0"/>
              <w:autoSpaceDE w:val="0"/>
              <w:autoSpaceDN w:val="0"/>
              <w:adjustRightInd w:val="0"/>
              <w:spacing w:line="240" w:lineRule="auto"/>
              <w:rPr>
                <w:rFonts w:eastAsia="Calibri"/>
                <w:szCs w:val="18"/>
                <w:lang w:eastAsia="tr-TR"/>
              </w:rPr>
            </w:pPr>
          </w:p>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Hem düşük eğitim kazanımı hem de daha sınırlı okuryazarlık, daha zayıf hipertansiyon bilgisi ve kontrolünün önemli belirleyicileri olarak bulunmuştur.</w:t>
            </w:r>
          </w:p>
          <w:p w:rsidR="000D48B3" w:rsidRPr="00854A59" w:rsidRDefault="000D48B3" w:rsidP="00701C90">
            <w:pPr>
              <w:widowControl w:val="0"/>
              <w:autoSpaceDE w:val="0"/>
              <w:autoSpaceDN w:val="0"/>
              <w:adjustRightInd w:val="0"/>
              <w:spacing w:line="240" w:lineRule="auto"/>
              <w:rPr>
                <w:rFonts w:eastAsia="Calibri"/>
                <w:szCs w:val="18"/>
                <w:lang w:eastAsia="tr-TR"/>
              </w:rPr>
            </w:pPr>
            <w:r w:rsidRPr="00854A59">
              <w:rPr>
                <w:rFonts w:eastAsia="Calibri"/>
                <w:szCs w:val="18"/>
                <w:lang w:eastAsia="tr-TR"/>
              </w:rPr>
              <w:t xml:space="preserve">Okuryazarlık, tansiyon kontrolünün önemli bir bağımsız öngörücüydü, ancak eğitim ve tansiyon arasındaki ilişkiyi sadece minimal düzeyde açıklamaktadır. </w:t>
            </w:r>
          </w:p>
          <w:p w:rsidR="000D48B3" w:rsidRPr="00854A59" w:rsidRDefault="000D48B3" w:rsidP="00701C90">
            <w:pPr>
              <w:shd w:val="clear" w:color="auto" w:fill="FFFFFF"/>
              <w:spacing w:line="240" w:lineRule="auto"/>
              <w:outlineLvl w:val="1"/>
              <w:rPr>
                <w:rFonts w:eastAsia="Calibri"/>
                <w:szCs w:val="18"/>
                <w:lang w:eastAsia="tr-TR"/>
              </w:rPr>
            </w:pPr>
          </w:p>
        </w:tc>
      </w:tr>
      <w:tr w:rsidR="000D48B3" w:rsidRPr="00854A59" w:rsidTr="00701C90">
        <w:trPr>
          <w:trHeight w:val="2706"/>
        </w:trPr>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23</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Powers BJ1, Olsen MK, Oddone EZ, Thorpe CT, Bosworth HB.</w:t>
            </w:r>
          </w:p>
          <w:p w:rsidR="000D48B3" w:rsidRPr="00854A59" w:rsidRDefault="000D48B3" w:rsidP="00701C90">
            <w:pPr>
              <w:shd w:val="clear" w:color="auto" w:fill="FFFFFF"/>
              <w:spacing w:line="240" w:lineRule="auto"/>
              <w:outlineLvl w:val="1"/>
              <w:rPr>
                <w:rFonts w:eastAsia="Calibri"/>
                <w:szCs w:val="18"/>
                <w:lang w:eastAsia="tr-TR"/>
              </w:rPr>
            </w:pP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Literacy and blood pressure--do healthcare systems influence this relationship? A cross-sectional study. BMC Health Serv Res. 2008 </w:t>
            </w:r>
          </w:p>
        </w:tc>
        <w:tc>
          <w:tcPr>
            <w:tcW w:w="812" w:type="pct"/>
            <w:shd w:val="clear" w:color="auto" w:fill="auto"/>
            <w:vAlign w:val="center"/>
          </w:tcPr>
          <w:p w:rsidR="000D48B3" w:rsidRPr="00854A59" w:rsidRDefault="000D48B3" w:rsidP="00701C90">
            <w:pPr>
              <w:spacing w:line="240" w:lineRule="auto"/>
              <w:rPr>
                <w:b/>
                <w:szCs w:val="18"/>
                <w:u w:val="single"/>
                <w:lang w:eastAsia="tr-TR"/>
              </w:rPr>
            </w:pPr>
            <w:r w:rsidRPr="00854A59">
              <w:rPr>
                <w:szCs w:val="18"/>
                <w:lang w:eastAsia="tr-TR"/>
              </w:rPr>
              <w:t xml:space="preserve"> I. basamağa başvuran ve randozmize kontrollü çalışmaya katılan hastaların verileri kullanılarak 1224 hipertansiyon hastası ile yapılan</w:t>
            </w:r>
            <w:r w:rsidRPr="00854A59">
              <w:rPr>
                <w:b/>
                <w:szCs w:val="18"/>
                <w:u w:val="single"/>
                <w:lang w:eastAsia="tr-TR"/>
              </w:rPr>
              <w:t xml:space="preserve"> </w:t>
            </w:r>
          </w:p>
          <w:p w:rsidR="000D48B3" w:rsidRPr="00854A59" w:rsidRDefault="000D48B3" w:rsidP="00701C90">
            <w:pPr>
              <w:spacing w:line="240" w:lineRule="auto"/>
              <w:rPr>
                <w:b/>
                <w:szCs w:val="18"/>
                <w:u w:val="single"/>
                <w:lang w:eastAsia="tr-TR"/>
              </w:rPr>
            </w:pPr>
          </w:p>
          <w:p w:rsidR="000D48B3" w:rsidRPr="00854A59" w:rsidRDefault="000D48B3" w:rsidP="00701C90">
            <w:pPr>
              <w:spacing w:line="240" w:lineRule="auto"/>
              <w:rPr>
                <w:rFonts w:eastAsia="Calibri"/>
                <w:b/>
                <w:szCs w:val="18"/>
                <w:u w:val="single"/>
                <w:lang w:eastAsia="tr-TR"/>
              </w:rPr>
            </w:pPr>
            <w:r w:rsidRPr="00854A59">
              <w:rPr>
                <w:szCs w:val="18"/>
                <w:lang w:eastAsia="tr-TR"/>
              </w:rPr>
              <w:t xml:space="preserve">Kuzey Karolina, </w:t>
            </w:r>
          </w:p>
        </w:tc>
        <w:tc>
          <w:tcPr>
            <w:tcW w:w="1516"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SBP için okuma yazma ve sağlık sistemi arasında anlamlı bir etkileşim vardı. Üniversiteye başvuranlar arasında sınırlı okuryazarlığı olan hastalar için sistolik kan basıncı, yeterli okuryazarlığı olan hastalardan 1.2 mmHg daha düşüktür, </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ancak birinci basamakta  yeterli okuryazarlığı olan hastalarda sistolik basınç 6.1 mmHg daha yüksektir.  Sağlık sistemi ve ağlık okuryazarlık düzeyi etkileşimi, diastolik kan basıncı ve kan basıncı kontrolü ile ilişkili bulunmamıştır. </w:t>
            </w:r>
          </w:p>
          <w:p w:rsidR="000D48B3" w:rsidRPr="00854A59" w:rsidRDefault="000D48B3" w:rsidP="00701C90">
            <w:pPr>
              <w:spacing w:line="240" w:lineRule="auto"/>
              <w:rPr>
                <w:rFonts w:eastAsia="Calibri"/>
                <w:b/>
                <w:szCs w:val="18"/>
                <w:u w:val="single"/>
                <w:lang w:eastAsia="tr-TR"/>
              </w:rPr>
            </w:pPr>
          </w:p>
        </w:tc>
        <w:tc>
          <w:tcPr>
            <w:tcW w:w="1589" w:type="pct"/>
            <w:shd w:val="clear" w:color="auto" w:fill="auto"/>
            <w:vAlign w:val="center"/>
          </w:tcPr>
          <w:p w:rsidR="000D48B3" w:rsidRPr="00854A59" w:rsidRDefault="000D48B3" w:rsidP="00701C90">
            <w:pPr>
              <w:shd w:val="clear" w:color="auto" w:fill="FFFFFF"/>
              <w:spacing w:line="240" w:lineRule="auto"/>
              <w:outlineLvl w:val="1"/>
              <w:rPr>
                <w:szCs w:val="18"/>
                <w:u w:val="single"/>
                <w:lang w:eastAsia="tr-TR"/>
              </w:rPr>
            </w:pPr>
            <w:r w:rsidRPr="00854A59">
              <w:rPr>
                <w:szCs w:val="18"/>
                <w:lang w:eastAsia="tr-TR"/>
              </w:rPr>
              <w:t>Hasta okuryazarlığı ile sistolik kan basıncı arasındaki ilişki, farklı sağlık hizmeti sunum modellerinde önemli ölçüde değişiklik göstermiştir. Sağlık hizmeti sunum sisteminin nitelikleri, okuryazarlık ve sağlık sonuçları arasındaki ilişkiyi etkileyebilir.</w:t>
            </w:r>
          </w:p>
        </w:tc>
      </w:tr>
      <w:tr w:rsidR="000D48B3" w:rsidRPr="00854A59" w:rsidTr="00701C90">
        <w:tc>
          <w:tcPr>
            <w:tcW w:w="200" w:type="pct"/>
            <w:shd w:val="clear" w:color="auto" w:fill="auto"/>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lastRenderedPageBreak/>
              <w:t>24</w:t>
            </w:r>
          </w:p>
        </w:tc>
        <w:tc>
          <w:tcPr>
            <w:tcW w:w="883"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Levinthal BR, Morrow DG, Tu W, Wu J, Murray MD.</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Cognition and health literacy in patients with hypertension,</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2008</w:t>
            </w:r>
          </w:p>
        </w:tc>
        <w:tc>
          <w:tcPr>
            <w:tcW w:w="812" w:type="pct"/>
            <w:shd w:val="clear" w:color="auto" w:fill="auto"/>
            <w:vAlign w:val="center"/>
          </w:tcPr>
          <w:p w:rsidR="000D48B3" w:rsidRPr="00854A59" w:rsidRDefault="000D48B3" w:rsidP="00701C90">
            <w:pPr>
              <w:spacing w:line="240" w:lineRule="auto"/>
              <w:rPr>
                <w:rFonts w:eastAsia="Calibri"/>
                <w:szCs w:val="18"/>
                <w:lang w:eastAsia="tr-TR"/>
              </w:rPr>
            </w:pPr>
            <w:r w:rsidRPr="00854A59">
              <w:rPr>
                <w:rFonts w:eastAsia="Calibri"/>
                <w:szCs w:val="18"/>
                <w:lang w:eastAsia="tr-TR"/>
              </w:rPr>
              <w:t xml:space="preserve">Yaşları 21-92 arasında değişen 492 hipertansiyon hastası, Amerika </w:t>
            </w:r>
          </w:p>
          <w:p w:rsidR="000D48B3" w:rsidRPr="00854A59" w:rsidRDefault="000D48B3" w:rsidP="00701C90">
            <w:pPr>
              <w:spacing w:line="240" w:lineRule="auto"/>
              <w:rPr>
                <w:rFonts w:eastAsia="Calibri"/>
                <w:szCs w:val="18"/>
                <w:lang w:eastAsia="tr-TR"/>
              </w:rPr>
            </w:pPr>
          </w:p>
          <w:p w:rsidR="000D48B3" w:rsidRPr="00854A59" w:rsidRDefault="000D48B3" w:rsidP="00701C90">
            <w:pPr>
              <w:spacing w:line="240" w:lineRule="auto"/>
              <w:rPr>
                <w:rFonts w:eastAsia="Calibri"/>
                <w:szCs w:val="18"/>
                <w:lang w:eastAsia="tr-TR"/>
              </w:rPr>
            </w:pPr>
          </w:p>
          <w:p w:rsidR="000D48B3" w:rsidRPr="00854A59" w:rsidRDefault="000D48B3" w:rsidP="00701C90">
            <w:pPr>
              <w:spacing w:line="240" w:lineRule="auto"/>
              <w:rPr>
                <w:rFonts w:eastAsia="Calibri"/>
                <w:szCs w:val="18"/>
                <w:lang w:eastAsia="tr-TR"/>
              </w:rPr>
            </w:pPr>
            <w:r w:rsidRPr="00854A59">
              <w:rPr>
                <w:rFonts w:eastAsia="Calibri"/>
                <w:szCs w:val="18"/>
                <w:lang w:eastAsia="tr-TR"/>
              </w:rPr>
              <w:t>Kesitsel araştırma</w:t>
            </w:r>
          </w:p>
        </w:tc>
        <w:tc>
          <w:tcPr>
            <w:tcW w:w="1516" w:type="pct"/>
            <w:shd w:val="clear" w:color="auto" w:fill="auto"/>
            <w:vAlign w:val="center"/>
          </w:tcPr>
          <w:p w:rsidR="000D48B3" w:rsidRPr="00854A59" w:rsidRDefault="000D48B3" w:rsidP="00701C90">
            <w:pPr>
              <w:spacing w:line="240" w:lineRule="auto"/>
              <w:rPr>
                <w:rFonts w:eastAsia="Calibri"/>
                <w:szCs w:val="18"/>
                <w:lang w:eastAsia="tr-TR"/>
              </w:rPr>
            </w:pPr>
            <w:r w:rsidRPr="00854A59">
              <w:rPr>
                <w:rFonts w:eastAsia="Calibri"/>
                <w:szCs w:val="18"/>
                <w:lang w:eastAsia="tr-TR"/>
              </w:rPr>
              <w:t>Sağlık okuryazarlığı yaş, eğitim ve ırk ile ilişkiliydi (Sağlık okuryazarlığı  skorlarındaki varyansın% 24.4'ünü oluşturuyordu). Bilişsel yetenek,  okuryazarlığı  skorlarındaki varyansın% 24'ünü oluşturuyordu ve bilişsel yetenek yaş, eğitim ve ırk etkilerini büyük ölçüde azaltmıştır (sırasıyla% 75,% 40 ve% 48).</w:t>
            </w:r>
          </w:p>
        </w:tc>
        <w:tc>
          <w:tcPr>
            <w:tcW w:w="1589" w:type="pct"/>
            <w:shd w:val="clear" w:color="auto" w:fill="auto"/>
            <w:vAlign w:val="center"/>
          </w:tcPr>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 xml:space="preserve">Bilişsel ve duyusal değişkenler kontrol edildiğinde,  yaş ve eğitim ile sağlık okuryazarlığı skorları arasındaki ilişki önemli ölçüde azalmıştır. </w:t>
            </w:r>
          </w:p>
          <w:p w:rsidR="000D48B3" w:rsidRPr="00854A59" w:rsidRDefault="000D48B3" w:rsidP="00701C90">
            <w:pPr>
              <w:shd w:val="clear" w:color="auto" w:fill="FFFFFF"/>
              <w:spacing w:line="240" w:lineRule="auto"/>
              <w:outlineLvl w:val="1"/>
              <w:rPr>
                <w:rFonts w:eastAsia="Calibri"/>
                <w:szCs w:val="18"/>
                <w:lang w:eastAsia="tr-TR"/>
              </w:rPr>
            </w:pPr>
            <w:r w:rsidRPr="00854A59">
              <w:rPr>
                <w:rFonts w:eastAsia="Calibri"/>
                <w:szCs w:val="18"/>
                <w:lang w:eastAsia="tr-TR"/>
              </w:rPr>
              <w:t>Bu nedenle, düşük sağlık okuryazarlığı olan hastalar için öz bakımın iyileştirilmesini amaçlayan müdahaleler, hastaların bilişsel yeteneklerine uygun hazırlanmalıdır.</w:t>
            </w:r>
          </w:p>
        </w:tc>
      </w:tr>
    </w:tbl>
    <w:p w:rsidR="000D48B3" w:rsidRPr="002F2F11" w:rsidRDefault="000D48B3" w:rsidP="000D48B3">
      <w:pPr>
        <w:jc w:val="both"/>
        <w:rPr>
          <w:rFonts w:eastAsia="Calibri"/>
          <w:b/>
          <w:szCs w:val="24"/>
          <w:lang w:val="en-US"/>
        </w:rPr>
      </w:pPr>
    </w:p>
    <w:p w:rsidR="000D48B3" w:rsidRDefault="000D48B3" w:rsidP="000D48B3">
      <w:pPr>
        <w:jc w:val="both"/>
        <w:rPr>
          <w:rFonts w:eastAsia="Calibri"/>
          <w:b/>
          <w:szCs w:val="24"/>
          <w:lang w:val="en-US"/>
        </w:rPr>
      </w:pPr>
      <w:r>
        <w:rPr>
          <w:rFonts w:eastAsia="Calibri"/>
          <w:b/>
          <w:szCs w:val="24"/>
          <w:lang w:val="en-US"/>
        </w:rPr>
        <w:tab/>
      </w:r>
    </w:p>
    <w:p w:rsidR="000D48B3" w:rsidRPr="002F2F11" w:rsidRDefault="000D48B3" w:rsidP="000D48B3">
      <w:pPr>
        <w:jc w:val="both"/>
        <w:rPr>
          <w:rFonts w:eastAsia="Calibri"/>
          <w:b/>
          <w:szCs w:val="24"/>
          <w:lang w:val="en-US"/>
        </w:rPr>
      </w:pPr>
      <w:r w:rsidRPr="002F2F11">
        <w:rPr>
          <w:rFonts w:eastAsia="Calibri"/>
          <w:b/>
          <w:szCs w:val="24"/>
          <w:lang w:val="en-US"/>
        </w:rPr>
        <w:t>Sonuç</w:t>
      </w:r>
    </w:p>
    <w:p w:rsidR="000D48B3" w:rsidRPr="002F2F11" w:rsidRDefault="000D48B3" w:rsidP="000D48B3">
      <w:pPr>
        <w:spacing w:before="120" w:after="120"/>
        <w:jc w:val="both"/>
        <w:rPr>
          <w:rFonts w:eastAsia="Calibri"/>
          <w:szCs w:val="24"/>
        </w:rPr>
      </w:pPr>
      <w:r>
        <w:rPr>
          <w:rFonts w:eastAsia="Calibri"/>
          <w:szCs w:val="24"/>
          <w:lang w:val="en-US"/>
        </w:rPr>
        <w:tab/>
        <w:t>Ağrlıklı olarak çoğunlukla son beş yılda yapılan çalışmalar arasında Türkiye’de yapılmış az sayıda araştırma mevcuttur. Mortalite, morbidite ve ülke ekonomilerine getirdiği yük nedeniyle hipertansiyon kontrolünün sağlanması önemlidir. İlaç, egzersiz, yaşam tarzı değişiklikleri gibi karmaşık görevleri yerine getirebilmek için yeterli sağlık okuryazarlık düzeyine erişmiş olmak gerekir. Yetersiz yada sınırlı sağlık okuryazarlığa sahip olma çoğunlukla başarısız tansiyon kontrolü ile sonuçlanırken, yeterli sağlık okuryazalığa sahip gruplarda tansiyon sonuçları farklılaşmaktadır.</w:t>
      </w:r>
      <w:r w:rsidRPr="00550637">
        <w:rPr>
          <w:rFonts w:eastAsia="Calibri"/>
          <w:szCs w:val="24"/>
        </w:rPr>
        <w:t xml:space="preserve"> </w:t>
      </w:r>
      <w:r w:rsidRPr="002F2F11">
        <w:rPr>
          <w:rFonts w:eastAsia="Calibri"/>
          <w:szCs w:val="24"/>
        </w:rPr>
        <w:t>Düşük sağlık okuryazarlık düzeyine sahip hastalarda hastalık öz yönetimini geliştirmeye dönük motivasyonel faktörler, sağlık okuryazarlık düzeyi ve sağlık hizmetleri kullanımını birlikte değerlendirecek araştırmaların yapılması önerilir.</w:t>
      </w:r>
    </w:p>
    <w:p w:rsidR="000D48B3" w:rsidRDefault="000D48B3" w:rsidP="000D48B3">
      <w:pPr>
        <w:autoSpaceDE w:val="0"/>
        <w:autoSpaceDN w:val="0"/>
        <w:adjustRightInd w:val="0"/>
        <w:jc w:val="both"/>
        <w:rPr>
          <w:b/>
          <w:bCs/>
          <w:szCs w:val="24"/>
          <w:lang w:eastAsia="tr-TR"/>
        </w:rPr>
      </w:pPr>
    </w:p>
    <w:p w:rsidR="000D48B3" w:rsidRPr="002F2F11" w:rsidRDefault="000D48B3" w:rsidP="000D48B3">
      <w:pPr>
        <w:autoSpaceDE w:val="0"/>
        <w:autoSpaceDN w:val="0"/>
        <w:adjustRightInd w:val="0"/>
        <w:jc w:val="both"/>
        <w:rPr>
          <w:b/>
          <w:bCs/>
          <w:szCs w:val="24"/>
          <w:lang w:eastAsia="tr-TR"/>
        </w:rPr>
      </w:pPr>
      <w:r w:rsidRPr="002F2F11">
        <w:rPr>
          <w:b/>
          <w:bCs/>
          <w:szCs w:val="24"/>
          <w:lang w:eastAsia="tr-TR"/>
        </w:rPr>
        <w:t>Sınırlılıklar</w:t>
      </w:r>
    </w:p>
    <w:p w:rsidR="000D48B3" w:rsidRPr="002F2F11" w:rsidRDefault="000D48B3" w:rsidP="000D48B3">
      <w:pPr>
        <w:autoSpaceDE w:val="0"/>
        <w:autoSpaceDN w:val="0"/>
        <w:adjustRightInd w:val="0"/>
        <w:jc w:val="both"/>
        <w:rPr>
          <w:szCs w:val="24"/>
          <w:lang w:val="en-US"/>
        </w:rPr>
      </w:pPr>
      <w:r>
        <w:rPr>
          <w:szCs w:val="24"/>
          <w:lang w:eastAsia="tr-TR"/>
        </w:rPr>
        <w:tab/>
      </w:r>
      <w:r w:rsidRPr="002F2F11">
        <w:rPr>
          <w:szCs w:val="24"/>
          <w:lang w:eastAsia="tr-TR"/>
        </w:rPr>
        <w:t xml:space="preserve">Bu sistematik derleme, 24 araştırma ile sınırlandırılmıştır. Çalışmaya 2000-2018 yılı arasında yapılan ve tam metnine ulaşılabilen araştırmalar dâhil edilmiştir. Taramaya dahil edilen araştırmalarda sağlık okuryazarlık düzeyinin değerlendirilmesinde farklı ölçüm araçları kullanılmıştır. </w:t>
      </w:r>
    </w:p>
    <w:p w:rsidR="000D48B3" w:rsidRDefault="000D48B3" w:rsidP="000D48B3">
      <w:pPr>
        <w:tabs>
          <w:tab w:val="left" w:pos="1141"/>
        </w:tabs>
        <w:spacing w:before="120" w:after="120"/>
        <w:rPr>
          <w:rFonts w:eastAsia="Calibri"/>
          <w:b/>
        </w:rPr>
      </w:pPr>
      <w:r>
        <w:rPr>
          <w:rFonts w:eastAsia="Calibri"/>
          <w:b/>
        </w:rPr>
        <w:tab/>
      </w:r>
    </w:p>
    <w:p w:rsidR="000D48B3" w:rsidRDefault="000D48B3" w:rsidP="000D48B3">
      <w:pPr>
        <w:rPr>
          <w:rFonts w:eastAsia="Calibri"/>
          <w:b/>
        </w:rPr>
      </w:pPr>
      <w:r>
        <w:rPr>
          <w:rFonts w:eastAsia="Calibri"/>
          <w:b/>
        </w:rPr>
        <w:br w:type="page"/>
      </w:r>
    </w:p>
    <w:p w:rsidR="000D48B3" w:rsidRDefault="000D48B3" w:rsidP="000D48B3">
      <w:pPr>
        <w:tabs>
          <w:tab w:val="left" w:pos="5640"/>
        </w:tabs>
        <w:spacing w:before="120" w:after="120"/>
        <w:rPr>
          <w:rFonts w:eastAsia="Calibri"/>
          <w:b/>
        </w:rPr>
      </w:pPr>
      <w:r w:rsidRPr="00ED4B07">
        <w:rPr>
          <w:rFonts w:eastAsia="Calibri"/>
          <w:b/>
        </w:rPr>
        <w:lastRenderedPageBreak/>
        <w:t xml:space="preserve">Kaynaklar </w:t>
      </w:r>
    </w:p>
    <w:p w:rsidR="000D48B3" w:rsidRDefault="000D48B3" w:rsidP="000D48B3">
      <w:pPr>
        <w:widowControl w:val="0"/>
        <w:autoSpaceDE w:val="0"/>
        <w:autoSpaceDN w:val="0"/>
        <w:adjustRightInd w:val="0"/>
        <w:spacing w:before="120" w:after="120"/>
        <w:ind w:left="480" w:hanging="480"/>
        <w:jc w:val="both"/>
        <w:rPr>
          <w:noProof/>
          <w:szCs w:val="24"/>
        </w:rPr>
      </w:pPr>
      <w:r>
        <w:rPr>
          <w:rFonts w:eastAsia="Calibri"/>
          <w:b/>
        </w:rPr>
        <w:fldChar w:fldCharType="begin" w:fldLock="1"/>
      </w:r>
      <w:r>
        <w:rPr>
          <w:rFonts w:eastAsia="Calibri"/>
          <w:b/>
        </w:rPr>
        <w:instrText xml:space="preserve">ADDIN Mendeley Bibliography CSL_BIBLIOGRAPHY </w:instrText>
      </w:r>
      <w:r>
        <w:rPr>
          <w:rFonts w:eastAsia="Calibri"/>
          <w:b/>
        </w:rPr>
        <w:fldChar w:fldCharType="separate"/>
      </w:r>
      <w:r w:rsidRPr="00ED4B07">
        <w:rPr>
          <w:noProof/>
          <w:szCs w:val="24"/>
        </w:rPr>
        <w:t xml:space="preserve">Aboumatar, H. J., Carson, K. A., Beach, M. C., Roter, D. L., &amp; Cooper, L. A. (2013). The impact of health literacy on desire for participation in healthcare, medical visit communication, and patient reported outcomes among patients with hypertension. </w:t>
      </w:r>
      <w:r w:rsidRPr="00ED4B07">
        <w:rPr>
          <w:i/>
          <w:iCs/>
          <w:noProof/>
          <w:szCs w:val="24"/>
        </w:rPr>
        <w:t>Journal of General Internal Medicine</w:t>
      </w:r>
      <w:r w:rsidRPr="00ED4B07">
        <w:rPr>
          <w:noProof/>
          <w:szCs w:val="24"/>
        </w:rPr>
        <w:t xml:space="preserve">, </w:t>
      </w:r>
      <w:r w:rsidRPr="00ED4B07">
        <w:rPr>
          <w:i/>
          <w:iCs/>
          <w:noProof/>
          <w:szCs w:val="24"/>
        </w:rPr>
        <w:t>28</w:t>
      </w:r>
      <w:r w:rsidRPr="00ED4B07">
        <w:rPr>
          <w:noProof/>
          <w:szCs w:val="24"/>
        </w:rPr>
        <w:t xml:space="preserve">(11), 1469–1476. </w:t>
      </w:r>
    </w:p>
    <w:p w:rsidR="000D48B3"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Altin, S. V., &amp; Stock, S. (2015). Impact of health literacy, accessibility and coordination of care on patient’s satisfaction with primary care in Germany. </w:t>
      </w:r>
      <w:r w:rsidRPr="00ED4B07">
        <w:rPr>
          <w:i/>
          <w:iCs/>
          <w:noProof/>
          <w:szCs w:val="24"/>
        </w:rPr>
        <w:t>BMC Family Practice</w:t>
      </w:r>
      <w:r w:rsidRPr="00ED4B07">
        <w:rPr>
          <w:noProof/>
          <w:szCs w:val="24"/>
        </w:rPr>
        <w:t xml:space="preserve">, </w:t>
      </w:r>
      <w:r w:rsidRPr="00ED4B07">
        <w:rPr>
          <w:i/>
          <w:iCs/>
          <w:noProof/>
          <w:szCs w:val="24"/>
        </w:rPr>
        <w:t>16</w:t>
      </w:r>
      <w:r w:rsidRPr="00ED4B07">
        <w:rPr>
          <w:noProof/>
          <w:szCs w:val="24"/>
        </w:rPr>
        <w:t xml:space="preserve">(1), 1–7.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Alves, E., Costa, A., Moura-Ferreira, P., Azevedo, A., &amp; Lunet, N. (2018). Health-related knowledge on hypertension among the Portuguese population: results from a population-based survey. </w:t>
      </w:r>
      <w:r w:rsidRPr="00ED4B07">
        <w:rPr>
          <w:i/>
          <w:iCs/>
          <w:noProof/>
          <w:szCs w:val="24"/>
        </w:rPr>
        <w:t>Blood Press</w:t>
      </w:r>
      <w:r w:rsidRPr="00ED4B07">
        <w:rPr>
          <w:noProof/>
          <w:szCs w:val="24"/>
        </w:rPr>
        <w:t xml:space="preserve">, </w:t>
      </w:r>
      <w:r w:rsidRPr="00ED4B07">
        <w:rPr>
          <w:i/>
          <w:iCs/>
          <w:noProof/>
          <w:szCs w:val="24"/>
        </w:rPr>
        <w:t>27</w:t>
      </w:r>
      <w:r w:rsidRPr="00ED4B07">
        <w:rPr>
          <w:noProof/>
          <w:szCs w:val="24"/>
        </w:rPr>
        <w:t>(4), 194–199.</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Banerjee, S., Mukherjee, T. K., &amp; Basu, S. (2016). Prevalence, awareness, and control of hypertension in the slums of Kolkata. </w:t>
      </w:r>
      <w:r w:rsidRPr="00ED4B07">
        <w:rPr>
          <w:i/>
          <w:iCs/>
          <w:noProof/>
          <w:szCs w:val="24"/>
        </w:rPr>
        <w:t>Indian Heart Journal</w:t>
      </w:r>
      <w:r w:rsidRPr="00ED4B07">
        <w:rPr>
          <w:noProof/>
          <w:szCs w:val="24"/>
        </w:rPr>
        <w:t xml:space="preserve">, </w:t>
      </w:r>
      <w:r w:rsidRPr="00ED4B07">
        <w:rPr>
          <w:i/>
          <w:iCs/>
          <w:noProof/>
          <w:szCs w:val="24"/>
        </w:rPr>
        <w:t>68</w:t>
      </w:r>
      <w:r w:rsidRPr="00ED4B07">
        <w:rPr>
          <w:noProof/>
          <w:szCs w:val="24"/>
        </w:rPr>
        <w:t xml:space="preserve">(3), 286–294.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Baxter, R., Hastings, N., Law, A., &amp; Glass, E. J. . (2008). Systematic reviews. </w:t>
      </w:r>
      <w:r w:rsidRPr="00ED4B07">
        <w:rPr>
          <w:i/>
          <w:iCs/>
          <w:noProof/>
          <w:szCs w:val="24"/>
        </w:rPr>
        <w:t>Animal Genetics</w:t>
      </w:r>
      <w:r w:rsidRPr="00ED4B07">
        <w:rPr>
          <w:noProof/>
          <w:szCs w:val="24"/>
        </w:rPr>
        <w:t xml:space="preserve">, </w:t>
      </w:r>
      <w:r w:rsidRPr="00ED4B07">
        <w:rPr>
          <w:i/>
          <w:iCs/>
          <w:noProof/>
          <w:szCs w:val="24"/>
        </w:rPr>
        <w:t>39</w:t>
      </w:r>
      <w:r w:rsidRPr="00ED4B07">
        <w:rPr>
          <w:noProof/>
          <w:szCs w:val="24"/>
        </w:rPr>
        <w:t>(5), 561–563.</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Bilir, N. (2014). Sağlık Okuryazarığı. </w:t>
      </w:r>
      <w:r w:rsidRPr="00ED4B07">
        <w:rPr>
          <w:i/>
          <w:iCs/>
          <w:noProof/>
          <w:szCs w:val="24"/>
        </w:rPr>
        <w:t>Turk J Public Health</w:t>
      </w:r>
      <w:r w:rsidRPr="00ED4B07">
        <w:rPr>
          <w:noProof/>
          <w:szCs w:val="24"/>
        </w:rPr>
        <w:t xml:space="preserve">, </w:t>
      </w:r>
      <w:r w:rsidRPr="00ED4B07">
        <w:rPr>
          <w:i/>
          <w:iCs/>
          <w:noProof/>
          <w:szCs w:val="24"/>
        </w:rPr>
        <w:t>12</w:t>
      </w:r>
      <w:r w:rsidRPr="00ED4B07">
        <w:rPr>
          <w:noProof/>
          <w:szCs w:val="24"/>
        </w:rPr>
        <w:t>(1), 61–68.</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Chajaee, F., Pirzadeh, A., Hasanzadeh, A., &amp; Mostafavi, F. (2018). Relationship between health literacy and knowledge among patients with hypertension in Isfahan province, Iran. </w:t>
      </w:r>
      <w:r w:rsidRPr="00ED4B07">
        <w:rPr>
          <w:i/>
          <w:iCs/>
          <w:noProof/>
          <w:szCs w:val="24"/>
        </w:rPr>
        <w:t>Electronic Physician</w:t>
      </w:r>
      <w:r w:rsidRPr="00ED4B07">
        <w:rPr>
          <w:noProof/>
          <w:szCs w:val="24"/>
        </w:rPr>
        <w:t xml:space="preserve">, </w:t>
      </w:r>
      <w:r w:rsidRPr="00ED4B07">
        <w:rPr>
          <w:i/>
          <w:iCs/>
          <w:noProof/>
          <w:szCs w:val="24"/>
        </w:rPr>
        <w:t>10</w:t>
      </w:r>
      <w:r w:rsidRPr="00ED4B07">
        <w:rPr>
          <w:noProof/>
          <w:szCs w:val="24"/>
        </w:rPr>
        <w:t>(3), 6470–6477.</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Darvishpour, J., Omidi, S., &amp; Farmanbar, R. (2016). The Relationship between Health Literacy and Hypertension Treatment Control and Follow-up. </w:t>
      </w:r>
      <w:r w:rsidRPr="00ED4B07">
        <w:rPr>
          <w:i/>
          <w:iCs/>
          <w:noProof/>
          <w:szCs w:val="24"/>
        </w:rPr>
        <w:t>Caspian Journal of Health Research</w:t>
      </w:r>
      <w:r w:rsidRPr="00ED4B07">
        <w:rPr>
          <w:noProof/>
          <w:szCs w:val="24"/>
        </w:rPr>
        <w:t xml:space="preserve">, </w:t>
      </w:r>
      <w:r w:rsidRPr="00ED4B07">
        <w:rPr>
          <w:i/>
          <w:iCs/>
          <w:noProof/>
          <w:szCs w:val="24"/>
        </w:rPr>
        <w:t>2</w:t>
      </w:r>
      <w:r w:rsidRPr="00ED4B07">
        <w:rPr>
          <w:noProof/>
          <w:szCs w:val="24"/>
        </w:rPr>
        <w:t>(1), 1–8.</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Doyle, G., Cafferkey, K., &amp; Fullam, J. (2012). </w:t>
      </w:r>
      <w:r w:rsidRPr="00ED4B07">
        <w:rPr>
          <w:i/>
          <w:iCs/>
          <w:noProof/>
          <w:szCs w:val="24"/>
        </w:rPr>
        <w:t>The European Health Literacy Survey: Results from Ireland</w:t>
      </w:r>
      <w:r w:rsidRPr="00ED4B07">
        <w:rPr>
          <w:noProof/>
          <w:szCs w:val="24"/>
        </w:rPr>
        <w:t>. Dublin, Ireland.</w:t>
      </w:r>
    </w:p>
    <w:p w:rsidR="000D48B3"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Hutchison, J., Warren-Findlow, J., Dulin, M., Tapp, H., &amp; Kuhn, L. (2014). The Association Between Health Literacy and Diet Adherence Among Primary Care Patients with Hypertension. </w:t>
      </w:r>
      <w:r w:rsidRPr="00ED4B07">
        <w:rPr>
          <w:i/>
          <w:iCs/>
          <w:noProof/>
          <w:szCs w:val="24"/>
        </w:rPr>
        <w:t>Journal of Health Disparities Research {&amp;} Practice</w:t>
      </w:r>
      <w:r w:rsidRPr="00ED4B07">
        <w:rPr>
          <w:noProof/>
          <w:szCs w:val="24"/>
        </w:rPr>
        <w:t xml:space="preserve">, </w:t>
      </w:r>
      <w:r w:rsidRPr="00ED4B07">
        <w:rPr>
          <w:i/>
          <w:iCs/>
          <w:noProof/>
          <w:szCs w:val="24"/>
        </w:rPr>
        <w:t>7</w:t>
      </w:r>
      <w:r w:rsidRPr="00ED4B07">
        <w:rPr>
          <w:noProof/>
          <w:szCs w:val="24"/>
        </w:rPr>
        <w:t xml:space="preserve">(2), 109–126.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Kahveci, R., Dilmaç, E., Özsarı, H., Aydın, M., Artantaş, A., Ayhan, D., &amp; Koç, M. (2013). </w:t>
      </w:r>
      <w:r w:rsidRPr="00ED4B07">
        <w:rPr>
          <w:i/>
          <w:iCs/>
          <w:noProof/>
          <w:szCs w:val="24"/>
        </w:rPr>
        <w:t>Sağlıklı yaşlanma ve kronik hastalıklar farkındalık projesi</w:t>
      </w:r>
      <w:r w:rsidRPr="00ED4B07">
        <w:rPr>
          <w:noProof/>
          <w:szCs w:val="24"/>
        </w:rPr>
        <w:t xml:space="preserve">. Ankara.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Ko, Y., Balasubramanian, T. D., Wong, L., Tan, M. L., Lee, E., Tang, W. E., … Toh, M. P. H. </w:t>
      </w:r>
      <w:r w:rsidRPr="00ED4B07">
        <w:rPr>
          <w:noProof/>
          <w:szCs w:val="24"/>
        </w:rPr>
        <w:lastRenderedPageBreak/>
        <w:t xml:space="preserve">S. (2013). Health literacy and its association with disease knowledge and control in patients with hypertension in Singapore. </w:t>
      </w:r>
      <w:r w:rsidRPr="00ED4B07">
        <w:rPr>
          <w:i/>
          <w:iCs/>
          <w:noProof/>
          <w:szCs w:val="24"/>
        </w:rPr>
        <w:t>International Journal of Cardiology</w:t>
      </w:r>
      <w:r w:rsidRPr="00ED4B07">
        <w:rPr>
          <w:noProof/>
          <w:szCs w:val="24"/>
        </w:rPr>
        <w:t xml:space="preserve">, </w:t>
      </w:r>
      <w:r w:rsidRPr="00ED4B07">
        <w:rPr>
          <w:i/>
          <w:iCs/>
          <w:noProof/>
          <w:szCs w:val="24"/>
        </w:rPr>
        <w:t>168</w:t>
      </w:r>
      <w:r w:rsidRPr="00ED4B07">
        <w:rPr>
          <w:noProof/>
          <w:szCs w:val="24"/>
        </w:rPr>
        <w:t xml:space="preserve">(4), 167–168.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Levinthal, B. R., Morrow, D. G., Tu, W., Wu, J., &amp; Murray, M. D. (2008). Cognition and health literacy in patients with hypertension. </w:t>
      </w:r>
      <w:r w:rsidRPr="00ED4B07">
        <w:rPr>
          <w:i/>
          <w:iCs/>
          <w:noProof/>
          <w:szCs w:val="24"/>
        </w:rPr>
        <w:t>Journal of General Internal Medicine</w:t>
      </w:r>
      <w:r w:rsidRPr="00ED4B07">
        <w:rPr>
          <w:noProof/>
          <w:szCs w:val="24"/>
        </w:rPr>
        <w:t xml:space="preserve">, </w:t>
      </w:r>
      <w:r w:rsidRPr="00ED4B07">
        <w:rPr>
          <w:i/>
          <w:iCs/>
          <w:noProof/>
          <w:szCs w:val="24"/>
        </w:rPr>
        <w:t>23</w:t>
      </w:r>
      <w:r w:rsidRPr="00ED4B07">
        <w:rPr>
          <w:noProof/>
          <w:szCs w:val="24"/>
        </w:rPr>
        <w:t xml:space="preserve">(8), 1172–1176.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Li, X., Ning, N., Hao, Y., Sun, H., Gao, L., Jiao, M., … Quan, H. (2013). Health literacy in rural areas of China: hypertension knowledge survey. </w:t>
      </w:r>
      <w:r w:rsidRPr="00ED4B07">
        <w:rPr>
          <w:i/>
          <w:iCs/>
          <w:noProof/>
          <w:szCs w:val="24"/>
        </w:rPr>
        <w:t>International Journal of Environmental Research and Public Health</w:t>
      </w:r>
      <w:r w:rsidRPr="00ED4B07">
        <w:rPr>
          <w:noProof/>
          <w:szCs w:val="24"/>
        </w:rPr>
        <w:t xml:space="preserve">, </w:t>
      </w:r>
      <w:r w:rsidRPr="00ED4B07">
        <w:rPr>
          <w:i/>
          <w:iCs/>
          <w:noProof/>
          <w:szCs w:val="24"/>
        </w:rPr>
        <w:t>10</w:t>
      </w:r>
      <w:r w:rsidRPr="00ED4B07">
        <w:rPr>
          <w:noProof/>
          <w:szCs w:val="24"/>
        </w:rPr>
        <w:t>(3), 1125–</w:t>
      </w:r>
      <w:r>
        <w:rPr>
          <w:noProof/>
          <w:szCs w:val="24"/>
        </w:rPr>
        <w:t xml:space="preserve">1138.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McNaughton, C. D., Jacobson, T. A., &amp; Kripalani, S. (2014). Low literacy is associated with uncontrolled blood pressure in primary care patients with hypertension and heart disease. </w:t>
      </w:r>
      <w:r w:rsidRPr="00ED4B07">
        <w:rPr>
          <w:i/>
          <w:iCs/>
          <w:noProof/>
          <w:szCs w:val="24"/>
        </w:rPr>
        <w:t>Patient Education and Counseling</w:t>
      </w:r>
      <w:r w:rsidRPr="00ED4B07">
        <w:rPr>
          <w:noProof/>
          <w:szCs w:val="24"/>
        </w:rPr>
        <w:t xml:space="preserve">, </w:t>
      </w:r>
      <w:r w:rsidRPr="00ED4B07">
        <w:rPr>
          <w:i/>
          <w:iCs/>
          <w:noProof/>
          <w:szCs w:val="24"/>
        </w:rPr>
        <w:t>96</w:t>
      </w:r>
      <w:r w:rsidRPr="00ED4B07">
        <w:rPr>
          <w:noProof/>
          <w:szCs w:val="24"/>
        </w:rPr>
        <w:t xml:space="preserve">(2), 165–170.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Naimi, A. J., Naderiravesh, N., Bayat, Z. S., Shakeri, N., &amp; Matbouei, M. (2017). Correlation between health literacy and health-related quality of life in patients with hypertension, in Tehran, Iran, 2015-2016. </w:t>
      </w:r>
      <w:r w:rsidRPr="00ED4B07">
        <w:rPr>
          <w:i/>
          <w:iCs/>
          <w:noProof/>
          <w:szCs w:val="24"/>
        </w:rPr>
        <w:t>Electronic Physician</w:t>
      </w:r>
      <w:r w:rsidRPr="00ED4B07">
        <w:rPr>
          <w:noProof/>
          <w:szCs w:val="24"/>
        </w:rPr>
        <w:t xml:space="preserve">, </w:t>
      </w:r>
      <w:r w:rsidRPr="00ED4B07">
        <w:rPr>
          <w:i/>
          <w:iCs/>
          <w:noProof/>
          <w:szCs w:val="24"/>
        </w:rPr>
        <w:t>9</w:t>
      </w:r>
      <w:r w:rsidRPr="00ED4B07">
        <w:rPr>
          <w:noProof/>
          <w:szCs w:val="24"/>
        </w:rPr>
        <w:t xml:space="preserve">(11), 5712–5720.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Öncü, E., Vayısoğlu, S. K., Güven, Y., Aktaş, G., Ceyhan, H., &amp; Karakuş, E. (2018). Hipertansiyonu olan bireylerin kronik hastalık yönetimine ilişkin değerlendirmeleri ve sağlık okuryazarlığı ile ilişkisi. </w:t>
      </w:r>
      <w:r w:rsidRPr="00ED4B07">
        <w:rPr>
          <w:i/>
          <w:iCs/>
          <w:noProof/>
          <w:szCs w:val="24"/>
        </w:rPr>
        <w:t>The Anatolian Journal of Family Medicine</w:t>
      </w:r>
      <w:r w:rsidRPr="00ED4B07">
        <w:rPr>
          <w:noProof/>
          <w:szCs w:val="24"/>
        </w:rPr>
        <w:t xml:space="preserve">, </w:t>
      </w:r>
      <w:r w:rsidRPr="00ED4B07">
        <w:rPr>
          <w:i/>
          <w:iCs/>
          <w:noProof/>
          <w:szCs w:val="24"/>
        </w:rPr>
        <w:t>1</w:t>
      </w:r>
      <w:r w:rsidRPr="00ED4B07">
        <w:rPr>
          <w:noProof/>
          <w:szCs w:val="24"/>
        </w:rPr>
        <w:t xml:space="preserve">(1), 31–32.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Pandit, A. U., Tang, J. W., Bailey, S. C., Davis, T. C., Bocchini, M. V., Persell, S. D., … Wolf, M. S. (2009). Education, literacy, and health: Mediating effects on hypertension knowledge and control. </w:t>
      </w:r>
      <w:r w:rsidRPr="00ED4B07">
        <w:rPr>
          <w:i/>
          <w:iCs/>
          <w:noProof/>
          <w:szCs w:val="24"/>
        </w:rPr>
        <w:t>Patient Education and Counseling</w:t>
      </w:r>
      <w:r w:rsidRPr="00ED4B07">
        <w:rPr>
          <w:noProof/>
          <w:szCs w:val="24"/>
        </w:rPr>
        <w:t xml:space="preserve">, </w:t>
      </w:r>
      <w:r w:rsidRPr="00ED4B07">
        <w:rPr>
          <w:i/>
          <w:iCs/>
          <w:noProof/>
          <w:szCs w:val="24"/>
        </w:rPr>
        <w:t>75</w:t>
      </w:r>
      <w:r w:rsidRPr="00ED4B07">
        <w:rPr>
          <w:noProof/>
          <w:szCs w:val="24"/>
        </w:rPr>
        <w:t xml:space="preserve">(3), 381–385.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Park, N. H., Song, M. S., Shin, S. Y., Jeong, J. hye, &amp; Lee, H. Y. (2018). The effects of medication adherence and health literacy on health-related quality of life in older people with hypertension. </w:t>
      </w:r>
      <w:r w:rsidRPr="00ED4B07">
        <w:rPr>
          <w:i/>
          <w:iCs/>
          <w:noProof/>
          <w:szCs w:val="24"/>
        </w:rPr>
        <w:t>International Journal of Older People Nursing</w:t>
      </w:r>
      <w:r w:rsidRPr="00ED4B07">
        <w:rPr>
          <w:noProof/>
          <w:szCs w:val="24"/>
        </w:rPr>
        <w:t xml:space="preserve">, </w:t>
      </w:r>
      <w:r w:rsidRPr="00ED4B07">
        <w:rPr>
          <w:i/>
          <w:iCs/>
          <w:noProof/>
          <w:szCs w:val="24"/>
        </w:rPr>
        <w:t>13</w:t>
      </w:r>
      <w:r w:rsidRPr="00ED4B07">
        <w:rPr>
          <w:noProof/>
          <w:szCs w:val="24"/>
        </w:rPr>
        <w:t xml:space="preserve">(3), 1–10.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Powers, B. J., Olsen, M. K., Oddone, E. Z., Thorpe, C. T., &amp; Bosworth, H. B. (2008). Literacy and blood pressure - Do healthcare systems influence this relationship? A cross-sectional study. </w:t>
      </w:r>
      <w:r w:rsidRPr="00ED4B07">
        <w:rPr>
          <w:i/>
          <w:iCs/>
          <w:noProof/>
          <w:szCs w:val="24"/>
        </w:rPr>
        <w:t>BMC Health Services Research</w:t>
      </w:r>
      <w:r w:rsidRPr="00ED4B07">
        <w:rPr>
          <w:noProof/>
          <w:szCs w:val="24"/>
        </w:rPr>
        <w:t xml:space="preserve">, </w:t>
      </w:r>
      <w:r w:rsidRPr="00ED4B07">
        <w:rPr>
          <w:i/>
          <w:iCs/>
          <w:noProof/>
          <w:szCs w:val="24"/>
        </w:rPr>
        <w:t>8</w:t>
      </w:r>
      <w:r w:rsidRPr="00ED4B07">
        <w:rPr>
          <w:noProof/>
          <w:szCs w:val="24"/>
        </w:rPr>
        <w:t xml:space="preserve">, 1–9.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Raji, Y. R., Abiona, T., &amp; Gureje, O. (2017). Awareness of hypertension and its impact on blood pressure control among elderly nigerians: report from the Ibadan study of aging. </w:t>
      </w:r>
      <w:r w:rsidRPr="00ED4B07">
        <w:rPr>
          <w:i/>
          <w:iCs/>
          <w:noProof/>
          <w:szCs w:val="24"/>
        </w:rPr>
        <w:t>The Pan African Medical Journal</w:t>
      </w:r>
      <w:r w:rsidRPr="00ED4B07">
        <w:rPr>
          <w:noProof/>
          <w:szCs w:val="24"/>
        </w:rPr>
        <w:t xml:space="preserve">, </w:t>
      </w:r>
      <w:r w:rsidRPr="00ED4B07">
        <w:rPr>
          <w:i/>
          <w:iCs/>
          <w:noProof/>
          <w:szCs w:val="24"/>
        </w:rPr>
        <w:t>27</w:t>
      </w:r>
      <w:r w:rsidRPr="00ED4B07">
        <w:rPr>
          <w:noProof/>
          <w:szCs w:val="24"/>
        </w:rPr>
        <w:t xml:space="preserve">(190), 1–14.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Sabouhi, F., Babaee, S., Naji, H., &amp; Zadeh, A. H. (2011). Knowledge, awareness, attitudes and </w:t>
      </w:r>
      <w:r w:rsidRPr="00ED4B07">
        <w:rPr>
          <w:noProof/>
          <w:szCs w:val="24"/>
        </w:rPr>
        <w:lastRenderedPageBreak/>
        <w:t xml:space="preserve">practice about hypertension in hypertensive patients referring to public health care centers in Khoor &amp;amp; Biabanak. </w:t>
      </w:r>
      <w:r w:rsidRPr="00ED4B07">
        <w:rPr>
          <w:i/>
          <w:iCs/>
          <w:noProof/>
          <w:szCs w:val="24"/>
        </w:rPr>
        <w:t>Iranian Journal of Nursing and Midwifery Research</w:t>
      </w:r>
      <w:r w:rsidRPr="00ED4B07">
        <w:rPr>
          <w:noProof/>
          <w:szCs w:val="24"/>
        </w:rPr>
        <w:t xml:space="preserve">, </w:t>
      </w:r>
      <w:r w:rsidRPr="00ED4B07">
        <w:rPr>
          <w:i/>
          <w:iCs/>
          <w:noProof/>
          <w:szCs w:val="24"/>
        </w:rPr>
        <w:t>16</w:t>
      </w:r>
      <w:r w:rsidRPr="00ED4B07">
        <w:rPr>
          <w:noProof/>
          <w:szCs w:val="24"/>
        </w:rPr>
        <w:t xml:space="preserve">(1), 34–40.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Shi, D., Li, J., Wang, Y., Wang, S., Liu, K., Shi, R., … Chen, X. (2017). Association between health literacy and hypertension management in a Chinese community: a retrospective cohort study. </w:t>
      </w:r>
      <w:r w:rsidRPr="00ED4B07">
        <w:rPr>
          <w:i/>
          <w:iCs/>
          <w:noProof/>
          <w:szCs w:val="24"/>
        </w:rPr>
        <w:t>Internal and Emergency Medicine</w:t>
      </w:r>
      <w:r w:rsidRPr="00ED4B07">
        <w:rPr>
          <w:noProof/>
          <w:szCs w:val="24"/>
        </w:rPr>
        <w:t xml:space="preserve">, </w:t>
      </w:r>
      <w:r w:rsidRPr="00ED4B07">
        <w:rPr>
          <w:i/>
          <w:iCs/>
          <w:noProof/>
          <w:szCs w:val="24"/>
        </w:rPr>
        <w:t>12</w:t>
      </w:r>
      <w:r w:rsidRPr="00ED4B07">
        <w:rPr>
          <w:noProof/>
          <w:szCs w:val="24"/>
        </w:rPr>
        <w:t xml:space="preserve">(6), 765–776.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Shibuya, A., Inoue, R., Ohkubo, T., Takeda, Y., Teshima, T., Imai, Y., &amp; Kondo, Y. (2011). The relation between health literacy, hypertension knowledge, and blood pressure among middle-aged Japanese adults. </w:t>
      </w:r>
      <w:r w:rsidRPr="00ED4B07">
        <w:rPr>
          <w:i/>
          <w:iCs/>
          <w:noProof/>
          <w:szCs w:val="24"/>
        </w:rPr>
        <w:t>Blood Pressure Monitoring</w:t>
      </w:r>
      <w:r w:rsidRPr="00ED4B07">
        <w:rPr>
          <w:noProof/>
          <w:szCs w:val="24"/>
        </w:rPr>
        <w:t xml:space="preserve">, </w:t>
      </w:r>
      <w:r w:rsidRPr="00ED4B07">
        <w:rPr>
          <w:i/>
          <w:iCs/>
          <w:noProof/>
          <w:szCs w:val="24"/>
        </w:rPr>
        <w:t>16</w:t>
      </w:r>
      <w:r w:rsidRPr="00ED4B07">
        <w:rPr>
          <w:noProof/>
          <w:szCs w:val="24"/>
        </w:rPr>
        <w:t xml:space="preserve">(5), 224–230.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Veghari, G., Sedaghat, M., Maghsodlo, S., Banihashem, S., Moharloei, P., Angizeh, A., … Moghaddami, A. (2013). Impact of literacy on the prevalence, awareness, treatment and control of hypertension in adults in Golestan Province (northern Iran). </w:t>
      </w:r>
      <w:r w:rsidRPr="00ED4B07">
        <w:rPr>
          <w:i/>
          <w:iCs/>
          <w:noProof/>
          <w:szCs w:val="24"/>
        </w:rPr>
        <w:t>Caspian Journal of Internal Medicine</w:t>
      </w:r>
      <w:r w:rsidRPr="00ED4B07">
        <w:rPr>
          <w:noProof/>
          <w:szCs w:val="24"/>
        </w:rPr>
        <w:t xml:space="preserve">, </w:t>
      </w:r>
      <w:r w:rsidRPr="00ED4B07">
        <w:rPr>
          <w:i/>
          <w:iCs/>
          <w:noProof/>
          <w:szCs w:val="24"/>
        </w:rPr>
        <w:t>4</w:t>
      </w:r>
      <w:r w:rsidRPr="00ED4B07">
        <w:rPr>
          <w:noProof/>
          <w:szCs w:val="24"/>
        </w:rPr>
        <w:t xml:space="preserve">(1), 580–4.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Warren-Findlow, J., Hutchison, J., Patel, P., Dulin, M., Tapp, H., &amp; Kuhn, L. (2014). Assessing health literacy of hypertensive patients in a primary care setting using a self-administered questionnaire. </w:t>
      </w:r>
      <w:r w:rsidRPr="00ED4B07">
        <w:rPr>
          <w:i/>
          <w:iCs/>
          <w:noProof/>
          <w:szCs w:val="24"/>
        </w:rPr>
        <w:t>J Health Care Poor Underserved</w:t>
      </w:r>
      <w:r w:rsidRPr="00ED4B07">
        <w:rPr>
          <w:noProof/>
          <w:szCs w:val="24"/>
        </w:rPr>
        <w:t xml:space="preserve">, </w:t>
      </w:r>
      <w:r w:rsidRPr="00ED4B07">
        <w:rPr>
          <w:i/>
          <w:iCs/>
          <w:noProof/>
          <w:szCs w:val="24"/>
        </w:rPr>
        <w:t>25</w:t>
      </w:r>
      <w:r w:rsidRPr="00ED4B07">
        <w:rPr>
          <w:noProof/>
          <w:szCs w:val="24"/>
        </w:rPr>
        <w:t>(4), 1833–1843.</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Willens, D. E., Kripalani, S., Schildcrout, J. S., Cawthon, C., Wallston, K., Mion, L. C., … Roumie, C. L. (2013). Association of brief health literacy screening and blood pressure in primary care. </w:t>
      </w:r>
      <w:r w:rsidRPr="00ED4B07">
        <w:rPr>
          <w:i/>
          <w:iCs/>
          <w:noProof/>
          <w:szCs w:val="24"/>
        </w:rPr>
        <w:t>Journal of Health Communication</w:t>
      </w:r>
      <w:r w:rsidRPr="00ED4B07">
        <w:rPr>
          <w:noProof/>
          <w:szCs w:val="24"/>
        </w:rPr>
        <w:t xml:space="preserve">, </w:t>
      </w:r>
      <w:r w:rsidRPr="00ED4B07">
        <w:rPr>
          <w:i/>
          <w:iCs/>
          <w:noProof/>
          <w:szCs w:val="24"/>
        </w:rPr>
        <w:t>18</w:t>
      </w:r>
      <w:r w:rsidRPr="00ED4B07">
        <w:rPr>
          <w:noProof/>
          <w:szCs w:val="24"/>
        </w:rPr>
        <w:t xml:space="preserve">(SUPPL. 1), 129–142. </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World Health Organisation (WHO). (2015). </w:t>
      </w:r>
      <w:r w:rsidRPr="00ED4B07">
        <w:rPr>
          <w:i/>
          <w:iCs/>
          <w:noProof/>
          <w:szCs w:val="24"/>
        </w:rPr>
        <w:t>Prevalence of raised blood pressure</w:t>
      </w:r>
      <w:r w:rsidRPr="00ED4B07">
        <w:rPr>
          <w:noProof/>
          <w:szCs w:val="24"/>
        </w:rPr>
        <w:t>.</w:t>
      </w:r>
    </w:p>
    <w:p w:rsidR="000D48B3" w:rsidRPr="00ED4B07" w:rsidRDefault="000D48B3" w:rsidP="000D48B3">
      <w:pPr>
        <w:widowControl w:val="0"/>
        <w:autoSpaceDE w:val="0"/>
        <w:autoSpaceDN w:val="0"/>
        <w:adjustRightInd w:val="0"/>
        <w:spacing w:before="120" w:after="120"/>
        <w:ind w:left="480" w:hanging="480"/>
        <w:jc w:val="both"/>
        <w:rPr>
          <w:noProof/>
          <w:szCs w:val="24"/>
        </w:rPr>
      </w:pPr>
      <w:r w:rsidRPr="00ED4B07">
        <w:rPr>
          <w:noProof/>
          <w:szCs w:val="24"/>
        </w:rPr>
        <w:t xml:space="preserve">Wynia, M., &amp; Osborn, C. (2010). Health literacy and communication quality in health care organizations. </w:t>
      </w:r>
      <w:r w:rsidRPr="00ED4B07">
        <w:rPr>
          <w:i/>
          <w:iCs/>
          <w:noProof/>
          <w:szCs w:val="24"/>
        </w:rPr>
        <w:t>Journal of Health Communication</w:t>
      </w:r>
      <w:r w:rsidRPr="00ED4B07">
        <w:rPr>
          <w:noProof/>
          <w:szCs w:val="24"/>
        </w:rPr>
        <w:t xml:space="preserve">, </w:t>
      </w:r>
      <w:r w:rsidRPr="00ED4B07">
        <w:rPr>
          <w:i/>
          <w:iCs/>
          <w:noProof/>
          <w:szCs w:val="24"/>
        </w:rPr>
        <w:t>15</w:t>
      </w:r>
      <w:r w:rsidRPr="00ED4B07">
        <w:rPr>
          <w:noProof/>
          <w:szCs w:val="24"/>
        </w:rPr>
        <w:t xml:space="preserve">(Suppl 2), 102–115. </w:t>
      </w:r>
    </w:p>
    <w:p w:rsidR="000D48B3" w:rsidRPr="00ED4B07" w:rsidRDefault="000D48B3" w:rsidP="000D48B3">
      <w:pPr>
        <w:widowControl w:val="0"/>
        <w:autoSpaceDE w:val="0"/>
        <w:autoSpaceDN w:val="0"/>
        <w:adjustRightInd w:val="0"/>
        <w:spacing w:before="120" w:after="120"/>
        <w:ind w:left="480" w:hanging="480"/>
        <w:jc w:val="both"/>
        <w:rPr>
          <w:rFonts w:eastAsia="Calibri"/>
          <w:b/>
        </w:rPr>
      </w:pPr>
      <w:r w:rsidRPr="00ED4B07">
        <w:rPr>
          <w:noProof/>
          <w:szCs w:val="24"/>
        </w:rPr>
        <w:t xml:space="preserve">Yilmazel, G., &amp; Çetinkaya, F. (2017). Relation between Health Literacy Levels, Hypertension Awareness and Control among Primary-secondary School Teachers in Turkey. </w:t>
      </w:r>
      <w:r w:rsidRPr="00ED4B07">
        <w:rPr>
          <w:i/>
          <w:iCs/>
          <w:noProof/>
          <w:szCs w:val="24"/>
        </w:rPr>
        <w:t>AIMS Public Health</w:t>
      </w:r>
      <w:r w:rsidRPr="00ED4B07">
        <w:rPr>
          <w:noProof/>
          <w:szCs w:val="24"/>
        </w:rPr>
        <w:t xml:space="preserve">, </w:t>
      </w:r>
      <w:r w:rsidRPr="00ED4B07">
        <w:rPr>
          <w:i/>
          <w:iCs/>
          <w:noProof/>
          <w:szCs w:val="24"/>
        </w:rPr>
        <w:t>4</w:t>
      </w:r>
      <w:r w:rsidRPr="00ED4B07">
        <w:rPr>
          <w:noProof/>
          <w:szCs w:val="24"/>
        </w:rPr>
        <w:t>(4), 314–</w:t>
      </w:r>
      <w:r>
        <w:rPr>
          <w:noProof/>
          <w:szCs w:val="24"/>
        </w:rPr>
        <w:t xml:space="preserve">325. </w:t>
      </w:r>
      <w:r>
        <w:rPr>
          <w:rFonts w:eastAsia="Calibri"/>
          <w:b/>
        </w:rPr>
        <w:fldChar w:fldCharType="end"/>
      </w:r>
    </w:p>
    <w:p w:rsidR="000D48B3" w:rsidRDefault="000D48B3" w:rsidP="000D48B3">
      <w:pPr>
        <w:rPr>
          <w:rFonts w:eastAsia="Times New Roman" w:cs="Times New Roman"/>
          <w:color w:val="000000"/>
          <w:szCs w:val="24"/>
        </w:rPr>
      </w:pPr>
    </w:p>
    <w:p w:rsidR="000D48B3" w:rsidRDefault="000D48B3" w:rsidP="000D48B3">
      <w:pPr>
        <w:rPr>
          <w:rFonts w:eastAsia="Times New Roman" w:cs="Times New Roman"/>
          <w:color w:val="000000"/>
          <w:szCs w:val="24"/>
        </w:rPr>
      </w:pPr>
    </w:p>
    <w:p w:rsidR="000D48B3" w:rsidRDefault="000D48B3" w:rsidP="000D48B3">
      <w:pPr>
        <w:rPr>
          <w:rFonts w:eastAsia="Times New Roman" w:cs="Times New Roman"/>
          <w:color w:val="000000"/>
          <w:szCs w:val="24"/>
        </w:rPr>
      </w:pPr>
      <w:r>
        <w:rPr>
          <w:rFonts w:eastAsia="Times New Roman" w:cs="Times New Roman"/>
          <w:color w:val="000000"/>
          <w:szCs w:val="24"/>
        </w:rPr>
        <w:br w:type="page"/>
      </w:r>
    </w:p>
    <w:p w:rsidR="000D48B3" w:rsidRDefault="000D48B3" w:rsidP="000D48B3">
      <w:pPr>
        <w:spacing w:after="120"/>
        <w:jc w:val="both"/>
        <w:rPr>
          <w:rFonts w:eastAsia="Times New Roman" w:cs="Times New Roman"/>
          <w:color w:val="000000"/>
          <w:szCs w:val="24"/>
        </w:rPr>
      </w:pPr>
    </w:p>
    <w:p w:rsidR="00937CF5" w:rsidRDefault="00937CF5"/>
    <w:sectPr w:rsidR="00937C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B3" w:rsidRDefault="000D48B3" w:rsidP="000D48B3">
      <w:pPr>
        <w:spacing w:after="0" w:line="240" w:lineRule="auto"/>
      </w:pPr>
      <w:r>
        <w:separator/>
      </w:r>
    </w:p>
  </w:endnote>
  <w:endnote w:type="continuationSeparator" w:id="0">
    <w:p w:rsidR="000D48B3" w:rsidRDefault="000D48B3" w:rsidP="000D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B3" w:rsidRDefault="000D48B3" w:rsidP="000D48B3">
      <w:pPr>
        <w:spacing w:after="0" w:line="240" w:lineRule="auto"/>
      </w:pPr>
      <w:r>
        <w:separator/>
      </w:r>
    </w:p>
  </w:footnote>
  <w:footnote w:type="continuationSeparator" w:id="0">
    <w:p w:rsidR="000D48B3" w:rsidRDefault="000D48B3" w:rsidP="000D48B3">
      <w:pPr>
        <w:spacing w:after="0" w:line="240" w:lineRule="auto"/>
      </w:pPr>
      <w:r>
        <w:continuationSeparator/>
      </w:r>
    </w:p>
  </w:footnote>
  <w:footnote w:id="1">
    <w:p w:rsidR="000D48B3" w:rsidRPr="008F4B9E" w:rsidRDefault="000D48B3" w:rsidP="000D48B3">
      <w:pPr>
        <w:pStyle w:val="AltBilgi"/>
        <w:rPr>
          <w:sz w:val="20"/>
        </w:rPr>
      </w:pPr>
      <w:r>
        <w:rPr>
          <w:rStyle w:val="DipnotBavurusu"/>
        </w:rPr>
        <w:footnoteRef/>
      </w:r>
      <w:r>
        <w:t xml:space="preserve"> </w:t>
      </w:r>
      <w:r w:rsidRPr="008F4B9E">
        <w:rPr>
          <w:sz w:val="20"/>
        </w:rPr>
        <w:t>Dr.</w:t>
      </w:r>
      <w:r>
        <w:rPr>
          <w:sz w:val="20"/>
        </w:rPr>
        <w:t xml:space="preserve"> </w:t>
      </w:r>
      <w:r w:rsidRPr="008F4B9E">
        <w:rPr>
          <w:sz w:val="20"/>
        </w:rPr>
        <w:t>Öğr. Üyesi. Mersin Üniversitesi Hemşirelik Fakültesi Halk Sağlığı Hemşireliği Ana Bilim Dalı. eeoncu@gmail.com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F1DC1"/>
    <w:multiLevelType w:val="hybridMultilevel"/>
    <w:tmpl w:val="B8122D66"/>
    <w:lvl w:ilvl="0" w:tplc="E24C1D56">
      <w:start w:val="2"/>
      <w:numFmt w:val="bullet"/>
      <w:lvlText w:val="-"/>
      <w:lvlJc w:val="left"/>
      <w:pPr>
        <w:ind w:left="720" w:hanging="360"/>
      </w:pPr>
      <w:rPr>
        <w:rFonts w:ascii="Times-Roman" w:eastAsia="Calibri" w:hAnsi="Times-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B3"/>
    <w:rsid w:val="000D48B3"/>
    <w:rsid w:val="00937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29CF8-D7C1-4B19-B620-6905D045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8B3"/>
    <w:pPr>
      <w:spacing w:line="360" w:lineRule="auto"/>
    </w:pPr>
    <w:rPr>
      <w:rFonts w:ascii="Times New Roman" w:hAnsi="Times New Roman"/>
      <w:sz w:val="24"/>
    </w:rPr>
  </w:style>
  <w:style w:type="paragraph" w:styleId="Balk2">
    <w:name w:val="heading 2"/>
    <w:basedOn w:val="Normal"/>
    <w:next w:val="Normal"/>
    <w:link w:val="Balk2Char"/>
    <w:qFormat/>
    <w:rsid w:val="000D48B3"/>
    <w:pPr>
      <w:spacing w:after="0" w:line="240" w:lineRule="auto"/>
      <w:jc w:val="center"/>
      <w:outlineLvl w:val="1"/>
    </w:pPr>
    <w:rPr>
      <w:rFonts w:eastAsia="Times New Roman" w:cs="Times New Roman"/>
      <w:b/>
      <w:bCs/>
      <w:color w:val="000000"/>
      <w:kern w:val="28"/>
      <w:szCs w:val="24"/>
      <w:lang w:val="en-CA" w:eastAsia="en-C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0D48B3"/>
    <w:rPr>
      <w:rFonts w:ascii="Times New Roman" w:eastAsia="Times New Roman" w:hAnsi="Times New Roman" w:cs="Times New Roman"/>
      <w:b/>
      <w:bCs/>
      <w:color w:val="000000"/>
      <w:kern w:val="28"/>
      <w:sz w:val="24"/>
      <w:szCs w:val="24"/>
      <w:lang w:val="en-CA" w:eastAsia="en-CA"/>
    </w:rPr>
  </w:style>
  <w:style w:type="paragraph" w:styleId="stBilgi">
    <w:name w:val="header"/>
    <w:basedOn w:val="Normal"/>
    <w:link w:val="stBilgiChar"/>
    <w:unhideWhenUsed/>
    <w:rsid w:val="000D48B3"/>
    <w:pPr>
      <w:tabs>
        <w:tab w:val="center" w:pos="4536"/>
        <w:tab w:val="right" w:pos="9072"/>
      </w:tabs>
      <w:spacing w:after="0" w:line="240" w:lineRule="auto"/>
    </w:pPr>
  </w:style>
  <w:style w:type="character" w:customStyle="1" w:styleId="stBilgiChar">
    <w:name w:val="Üst Bilgi Char"/>
    <w:basedOn w:val="VarsaylanParagrafYazTipi"/>
    <w:link w:val="stBilgi"/>
    <w:rsid w:val="000D48B3"/>
    <w:rPr>
      <w:rFonts w:ascii="Times New Roman" w:hAnsi="Times New Roman"/>
      <w:sz w:val="24"/>
    </w:rPr>
  </w:style>
  <w:style w:type="paragraph" w:styleId="AltBilgi">
    <w:name w:val="footer"/>
    <w:basedOn w:val="Normal"/>
    <w:link w:val="AltBilgiChar"/>
    <w:uiPriority w:val="99"/>
    <w:unhideWhenUsed/>
    <w:rsid w:val="000D48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48B3"/>
    <w:rPr>
      <w:rFonts w:ascii="Times New Roman" w:hAnsi="Times New Roman"/>
      <w:sz w:val="24"/>
    </w:rPr>
  </w:style>
  <w:style w:type="character" w:styleId="DipnotBavurusu">
    <w:name w:val="footnote reference"/>
    <w:basedOn w:val="VarsaylanParagrafYazTipi"/>
    <w:uiPriority w:val="99"/>
    <w:unhideWhenUsed/>
    <w:rsid w:val="000D4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ukherjee%20TK%5BAuthor%5D&amp;cauthor=true&amp;cauthor_uid=27316479" TargetMode="External"/><Relationship Id="rId13" Type="http://schemas.openxmlformats.org/officeDocument/2006/relationships/hyperlink" Target="https://www.ncbi.nlm.nih.gov/pubmed/?term=Roter%20DL%5BAuthor%5D&amp;cauthor=true&amp;cauthor_uid=23690237" TargetMode="External"/><Relationship Id="rId3" Type="http://schemas.openxmlformats.org/officeDocument/2006/relationships/settings" Target="settings.xml"/><Relationship Id="rId7" Type="http://schemas.openxmlformats.org/officeDocument/2006/relationships/hyperlink" Target="https://www.ncbi.nlm.nih.gov/pubmed/?term=Banerjee%20S%5BAuthor%5D&amp;cauthor=true&amp;cauthor_uid=27316479" TargetMode="External"/><Relationship Id="rId12" Type="http://schemas.openxmlformats.org/officeDocument/2006/relationships/hyperlink" Target="https://www.ncbi.nlm.nih.gov/pubmed/?term=Beach%20MC%5BAuthor%5D&amp;cauthor=true&amp;cauthor_uid=2369023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Carson%20KA%5BAuthor%5D&amp;cauthor=true&amp;cauthor_uid=2369023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i.nlm.nih.gov/pubmed/?term=Aboumatar%20HJ%5BAuthor%5D&amp;cauthor=true&amp;cauthor_uid=23690237" TargetMode="External"/><Relationship Id="rId4" Type="http://schemas.openxmlformats.org/officeDocument/2006/relationships/webSettings" Target="webSettings.xml"/><Relationship Id="rId9" Type="http://schemas.openxmlformats.org/officeDocument/2006/relationships/hyperlink" Target="https://www.ncbi.nlm.nih.gov/pubmed/?term=Basu%20S%5BAuthor%5D&amp;cauthor=true&amp;cauthor_uid=27316479" TargetMode="External"/><Relationship Id="rId14" Type="http://schemas.openxmlformats.org/officeDocument/2006/relationships/hyperlink" Target="https://www.ncbi.nlm.nih.gov/pubmed/?term=Cooper%20LA%5BAuthor%5D&amp;cauthor=true&amp;cauthor_uid=2369023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34760</Words>
  <Characters>198132</Characters>
  <Application>Microsoft Office Word</Application>
  <DocSecurity>0</DocSecurity>
  <Lines>1651</Lines>
  <Paragraphs>464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2020-02-25T09:44:00Z</dcterms:created>
  <dcterms:modified xsi:type="dcterms:W3CDTF">2020-02-25T09:44:00Z</dcterms:modified>
</cp:coreProperties>
</file>