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AF" w:rsidRPr="00262B31" w:rsidRDefault="006644AF" w:rsidP="006644AF">
      <w:pPr>
        <w:tabs>
          <w:tab w:val="left" w:pos="284"/>
        </w:tabs>
        <w:spacing w:before="120" w:after="120"/>
        <w:jc w:val="center"/>
        <w:rPr>
          <w:rFonts w:eastAsia="Calibri"/>
          <w:b/>
          <w:sz w:val="28"/>
          <w:lang w:val="en-GB"/>
        </w:rPr>
      </w:pPr>
      <w:r w:rsidRPr="00262B31">
        <w:rPr>
          <w:rFonts w:eastAsia="Calibri"/>
          <w:b/>
          <w:sz w:val="28"/>
          <w:lang w:val="en-GB"/>
        </w:rPr>
        <w:t>Aquifer Thermal Energy Storage in Mersin Coastal Aquifer: A Pre-Feasibility Study</w:t>
      </w:r>
    </w:p>
    <w:p w:rsidR="006644AF" w:rsidRDefault="006644AF" w:rsidP="006644AF">
      <w:pPr>
        <w:tabs>
          <w:tab w:val="left" w:pos="284"/>
        </w:tabs>
        <w:spacing w:before="120" w:after="120"/>
        <w:jc w:val="right"/>
        <w:rPr>
          <w:rFonts w:eastAsia="Calibri"/>
          <w:szCs w:val="24"/>
        </w:rPr>
      </w:pPr>
    </w:p>
    <w:p w:rsidR="006644AF" w:rsidRPr="004D64F7" w:rsidRDefault="006644AF" w:rsidP="006644AF">
      <w:pPr>
        <w:tabs>
          <w:tab w:val="left" w:pos="284"/>
        </w:tabs>
        <w:spacing w:before="120" w:after="120"/>
        <w:jc w:val="right"/>
        <w:rPr>
          <w:rFonts w:eastAsia="Calibri"/>
          <w:b/>
          <w:bCs/>
          <w:szCs w:val="24"/>
          <w:vertAlign w:val="superscript"/>
        </w:rPr>
      </w:pPr>
      <w:r w:rsidRPr="004D64F7">
        <w:rPr>
          <w:rFonts w:eastAsia="Calibri"/>
          <w:b/>
          <w:bCs/>
          <w:szCs w:val="24"/>
        </w:rPr>
        <w:t xml:space="preserve">Nihan AYDIN </w:t>
      </w:r>
      <w:bookmarkStart w:id="0" w:name="_GoBack"/>
      <w:r w:rsidRPr="004D64F7">
        <w:rPr>
          <w:rFonts w:eastAsia="Calibri"/>
          <w:b/>
          <w:bCs/>
          <w:szCs w:val="24"/>
        </w:rPr>
        <w:t>ERTUĞRUL</w:t>
      </w:r>
      <w:r w:rsidRPr="004D64F7">
        <w:rPr>
          <w:rFonts w:eastAsia="Calibri"/>
          <w:b/>
          <w:bCs/>
          <w:szCs w:val="24"/>
          <w:vertAlign w:val="superscript"/>
        </w:rPr>
        <w:t xml:space="preserve"> </w:t>
      </w:r>
      <w:bookmarkEnd w:id="0"/>
      <w:r w:rsidRPr="004D64F7">
        <w:rPr>
          <w:rFonts w:eastAsia="Calibri"/>
          <w:b/>
          <w:bCs/>
          <w:szCs w:val="24"/>
          <w:vertAlign w:val="superscript"/>
        </w:rPr>
        <w:footnoteReference w:id="1"/>
      </w:r>
    </w:p>
    <w:p w:rsidR="006644AF" w:rsidRPr="004D64F7" w:rsidRDefault="006644AF" w:rsidP="006644AF">
      <w:pPr>
        <w:tabs>
          <w:tab w:val="left" w:pos="284"/>
        </w:tabs>
        <w:spacing w:before="120" w:after="120"/>
        <w:jc w:val="right"/>
        <w:rPr>
          <w:rFonts w:eastAsia="Calibri"/>
          <w:b/>
          <w:szCs w:val="24"/>
        </w:rPr>
      </w:pPr>
      <w:r w:rsidRPr="004D64F7">
        <w:rPr>
          <w:rFonts w:eastAsia="Calibri"/>
          <w:b/>
          <w:bCs/>
          <w:szCs w:val="24"/>
        </w:rPr>
        <w:t>Zübeyde HATİPOĞLU BAĞCI</w:t>
      </w:r>
      <w:r w:rsidRPr="004D64F7">
        <w:rPr>
          <w:rFonts w:eastAsia="Calibri"/>
          <w:b/>
          <w:szCs w:val="24"/>
        </w:rPr>
        <w:t xml:space="preserve"> </w:t>
      </w:r>
      <w:r w:rsidRPr="004D64F7">
        <w:rPr>
          <w:rFonts w:eastAsia="Calibri"/>
          <w:b/>
          <w:szCs w:val="24"/>
          <w:vertAlign w:val="superscript"/>
        </w:rPr>
        <w:footnoteReference w:id="2"/>
      </w:r>
    </w:p>
    <w:p w:rsidR="006644AF" w:rsidRPr="004D64F7" w:rsidRDefault="006644AF" w:rsidP="006644AF">
      <w:pPr>
        <w:tabs>
          <w:tab w:val="left" w:pos="284"/>
        </w:tabs>
        <w:spacing w:before="120" w:after="120"/>
        <w:jc w:val="right"/>
        <w:rPr>
          <w:rFonts w:eastAsia="Calibri"/>
          <w:b/>
          <w:szCs w:val="24"/>
        </w:rPr>
      </w:pPr>
      <w:r w:rsidRPr="004D64F7">
        <w:rPr>
          <w:rFonts w:eastAsia="Calibri"/>
          <w:b/>
          <w:bCs/>
          <w:szCs w:val="24"/>
        </w:rPr>
        <w:t>Özgür Lütfi ERTUĞRUL</w:t>
      </w:r>
      <w:r w:rsidRPr="004D64F7">
        <w:rPr>
          <w:rFonts w:eastAsia="Calibri"/>
          <w:b/>
          <w:szCs w:val="24"/>
        </w:rPr>
        <w:t xml:space="preserve"> </w:t>
      </w:r>
      <w:r w:rsidRPr="004D64F7">
        <w:rPr>
          <w:rFonts w:eastAsia="Calibri"/>
          <w:b/>
          <w:szCs w:val="24"/>
          <w:vertAlign w:val="superscript"/>
        </w:rPr>
        <w:footnoteReference w:id="3"/>
      </w:r>
    </w:p>
    <w:p w:rsidR="006644AF" w:rsidRPr="008F4B9E" w:rsidRDefault="006644AF" w:rsidP="006644AF">
      <w:pPr>
        <w:tabs>
          <w:tab w:val="left" w:pos="284"/>
        </w:tabs>
        <w:spacing w:before="120" w:after="120"/>
        <w:jc w:val="right"/>
        <w:rPr>
          <w:rFonts w:eastAsia="Calibri"/>
          <w:b/>
          <w:szCs w:val="24"/>
        </w:rPr>
      </w:pPr>
    </w:p>
    <w:p w:rsidR="006644AF" w:rsidRPr="004D64F7" w:rsidRDefault="006644AF" w:rsidP="006644AF">
      <w:pPr>
        <w:spacing w:after="0"/>
        <w:rPr>
          <w:rFonts w:eastAsia="Times New Roman" w:cs="Times New Roman"/>
          <w:b/>
          <w:szCs w:val="24"/>
          <w:lang w:eastAsia="tr-TR"/>
        </w:rPr>
      </w:pPr>
      <w:r w:rsidRPr="004D64F7">
        <w:rPr>
          <w:rFonts w:eastAsia="Times New Roman" w:cs="Times New Roman"/>
          <w:b/>
          <w:szCs w:val="24"/>
          <w:lang w:val="en-US" w:eastAsia="tr-TR"/>
        </w:rPr>
        <w:t>Abstract</w:t>
      </w:r>
    </w:p>
    <w:p w:rsidR="006644AF" w:rsidRPr="004D64F7" w:rsidRDefault="006644AF" w:rsidP="006644AF">
      <w:pPr>
        <w:autoSpaceDE w:val="0"/>
        <w:autoSpaceDN w:val="0"/>
        <w:adjustRightInd w:val="0"/>
        <w:spacing w:after="0"/>
        <w:ind w:firstLine="709"/>
        <w:jc w:val="both"/>
        <w:rPr>
          <w:rFonts w:eastAsia="MS Mincho" w:cs="Angsana New"/>
          <w:szCs w:val="24"/>
          <w:lang w:val="en-US" w:eastAsia="tr-TR"/>
        </w:rPr>
      </w:pPr>
      <w:r w:rsidRPr="004D64F7">
        <w:rPr>
          <w:rFonts w:eastAsia="MS Mincho" w:cs="Angsana New"/>
          <w:szCs w:val="24"/>
          <w:lang w:val="en-US" w:eastAsia="tr-TR"/>
        </w:rPr>
        <w:t>With the increasing awareness on environmental issues regarding the increasing greenhouse gas emissions, global warming and exploitation of earth’s resources due to the fossil fuel consumption, techniques on the utilization of renewable sources such as geothermal, solar and wind energy gained importance in recent years.  Especially in the European Countries, there is an increasing amount of research on the utilization of heat potential available in shallow soils and aquifers in the recent decade. In this direction, Aquifer Thermal Energy Storage Systems (ATES), one of the accepted underground thermal energy storage techniques, was considered as an alternative for sustainable energy supply. Application and use of ATES technique may lead to reduction in fossil fuel consumption by providing sustainable air conditioning in our buildings in association with seasonal underground heat storage. Within the scope of this study, the potential application of ATES technique in Mersin Coastal Aquifer located in the Mersin Province towards fulfilling air conditioning needs of the buildings around the region was investigated.  For this purpose, results of previous numerical modeling and thermal performance studies on ATES technique were considered to evaluate the application potential of the mentioned technique.</w:t>
      </w:r>
    </w:p>
    <w:p w:rsidR="006644AF" w:rsidRPr="004D64F7" w:rsidRDefault="006644AF" w:rsidP="006644AF">
      <w:pPr>
        <w:tabs>
          <w:tab w:val="left" w:pos="-720"/>
        </w:tabs>
        <w:suppressAutoHyphens/>
        <w:spacing w:after="0"/>
        <w:jc w:val="both"/>
        <w:rPr>
          <w:rFonts w:eastAsia="Times New Roman" w:cs="Times New Roman"/>
          <w:spacing w:val="-3"/>
          <w:szCs w:val="24"/>
          <w:lang w:eastAsia="tr-TR"/>
        </w:rPr>
      </w:pPr>
      <w:r w:rsidRPr="004D64F7">
        <w:rPr>
          <w:rFonts w:eastAsia="Times New Roman" w:cs="Times New Roman"/>
          <w:b/>
          <w:spacing w:val="-3"/>
          <w:szCs w:val="24"/>
          <w:lang w:eastAsia="tr-TR"/>
        </w:rPr>
        <w:t>Keywords:</w:t>
      </w:r>
    </w:p>
    <w:p w:rsidR="006644AF" w:rsidRPr="004D64F7" w:rsidRDefault="006644AF" w:rsidP="006644AF">
      <w:pPr>
        <w:spacing w:after="0" w:line="240" w:lineRule="auto"/>
        <w:rPr>
          <w:rFonts w:eastAsia="Times New Roman" w:cs="Times New Roman"/>
          <w:szCs w:val="24"/>
          <w:lang w:eastAsia="tr-TR"/>
        </w:rPr>
      </w:pPr>
      <w:r w:rsidRPr="004D64F7">
        <w:rPr>
          <w:rFonts w:eastAsia="Times New Roman" w:cs="Times New Roman"/>
          <w:szCs w:val="24"/>
          <w:lang w:eastAsia="tr-TR"/>
        </w:rPr>
        <w:t>Aquifer Thermal Energy Storage, Mersin Coastal Aquifer, Thermal Performance.</w:t>
      </w:r>
    </w:p>
    <w:p w:rsidR="006644AF" w:rsidRPr="004D64F7" w:rsidRDefault="006644AF" w:rsidP="006644AF">
      <w:pPr>
        <w:spacing w:after="0" w:line="240" w:lineRule="auto"/>
        <w:rPr>
          <w:rFonts w:eastAsia="Times New Roman" w:cs="Times New Roman"/>
          <w:szCs w:val="24"/>
          <w:lang w:eastAsia="tr-TR"/>
        </w:rPr>
      </w:pPr>
    </w:p>
    <w:p w:rsidR="006644AF" w:rsidRPr="004D64F7" w:rsidRDefault="006644AF" w:rsidP="006644AF">
      <w:pPr>
        <w:spacing w:after="0" w:line="240" w:lineRule="auto"/>
        <w:rPr>
          <w:rFonts w:eastAsia="Times New Roman" w:cs="Times New Roman"/>
          <w:szCs w:val="24"/>
          <w:lang w:eastAsia="tr-TR"/>
        </w:rPr>
      </w:pPr>
    </w:p>
    <w:p w:rsidR="006644AF" w:rsidRPr="004D64F7" w:rsidRDefault="006644AF" w:rsidP="006644AF">
      <w:pPr>
        <w:spacing w:after="0" w:line="240" w:lineRule="auto"/>
        <w:rPr>
          <w:rFonts w:eastAsia="Times New Roman" w:cs="Times New Roman"/>
          <w:szCs w:val="24"/>
          <w:lang w:eastAsia="tr-TR"/>
        </w:rPr>
      </w:pPr>
    </w:p>
    <w:p w:rsidR="006644AF" w:rsidRPr="004D64F7" w:rsidRDefault="006644AF" w:rsidP="006644AF">
      <w:pPr>
        <w:spacing w:after="0" w:line="240" w:lineRule="auto"/>
        <w:rPr>
          <w:rFonts w:eastAsia="Times New Roman" w:cs="Times New Roman"/>
          <w:szCs w:val="24"/>
          <w:lang w:eastAsia="tr-TR"/>
        </w:rPr>
      </w:pPr>
    </w:p>
    <w:p w:rsidR="006644AF" w:rsidRPr="004D64F7" w:rsidRDefault="006644AF" w:rsidP="006644AF">
      <w:pPr>
        <w:spacing w:after="0"/>
        <w:jc w:val="center"/>
        <w:rPr>
          <w:rFonts w:eastAsia="Times New Roman" w:cs="Times New Roman"/>
          <w:b/>
          <w:szCs w:val="24"/>
          <w:lang w:val="en-GB" w:eastAsia="tr-TR"/>
        </w:rPr>
      </w:pPr>
    </w:p>
    <w:p w:rsidR="006644AF" w:rsidRPr="004D64F7" w:rsidRDefault="006644AF" w:rsidP="006644AF">
      <w:pPr>
        <w:spacing w:after="0"/>
        <w:jc w:val="center"/>
        <w:rPr>
          <w:rFonts w:eastAsia="Times New Roman" w:cs="Times New Roman"/>
          <w:b/>
          <w:szCs w:val="24"/>
          <w:lang w:val="en-GB" w:eastAsia="tr-TR"/>
        </w:rPr>
      </w:pPr>
      <w:r w:rsidRPr="004D64F7">
        <w:rPr>
          <w:rFonts w:eastAsia="Times New Roman" w:cs="Times New Roman"/>
          <w:b/>
          <w:szCs w:val="24"/>
          <w:lang w:val="en-GB" w:eastAsia="tr-TR"/>
        </w:rPr>
        <w:lastRenderedPageBreak/>
        <w:t>Mersin Kıyı Akiferinde Termal Enerji Depolama: Ön Değerlendirme Çalışması</w:t>
      </w:r>
    </w:p>
    <w:p w:rsidR="006644AF" w:rsidRDefault="006644AF" w:rsidP="006644AF">
      <w:pPr>
        <w:spacing w:after="0"/>
        <w:rPr>
          <w:rFonts w:eastAsia="Times New Roman" w:cs="Times New Roman"/>
          <w:b/>
          <w:szCs w:val="24"/>
          <w:lang w:eastAsia="tr-TR"/>
        </w:rPr>
      </w:pPr>
    </w:p>
    <w:p w:rsidR="006644AF" w:rsidRPr="004D64F7" w:rsidRDefault="006644AF" w:rsidP="006644AF">
      <w:pPr>
        <w:spacing w:after="0"/>
        <w:rPr>
          <w:rFonts w:eastAsia="Times New Roman" w:cs="Times New Roman"/>
          <w:b/>
          <w:szCs w:val="24"/>
          <w:lang w:eastAsia="tr-TR"/>
        </w:rPr>
      </w:pPr>
      <w:r w:rsidRPr="004D64F7">
        <w:rPr>
          <w:rFonts w:eastAsia="Times New Roman" w:cs="Times New Roman"/>
          <w:b/>
          <w:szCs w:val="24"/>
          <w:lang w:eastAsia="tr-TR"/>
        </w:rPr>
        <w:t>Özet</w:t>
      </w:r>
    </w:p>
    <w:p w:rsidR="006644AF" w:rsidRPr="006644AF" w:rsidRDefault="006644AF" w:rsidP="006644AF">
      <w:pPr>
        <w:autoSpaceDE w:val="0"/>
        <w:autoSpaceDN w:val="0"/>
        <w:adjustRightInd w:val="0"/>
        <w:spacing w:after="0"/>
        <w:jc w:val="both"/>
        <w:rPr>
          <w:rFonts w:eastAsia="MS Mincho" w:cs="Angsana New"/>
          <w:szCs w:val="24"/>
          <w:lang w:eastAsia="tr-TR"/>
        </w:rPr>
      </w:pPr>
      <w:r w:rsidRPr="006644AF">
        <w:rPr>
          <w:rFonts w:eastAsia="MS Mincho" w:cs="Angsana New"/>
          <w:szCs w:val="24"/>
          <w:lang w:eastAsia="tr-TR"/>
        </w:rPr>
        <w:t>Fosil yakıtların tüketimine bağlı olarak artan sera gazları salınımı, küresel ısınma ve yerkürenin kaynaklarının aşırı tüketimi gibi çevresel konularda bilinçlenmenin artmasıyla birlikte son yıllarda jeotermal enerji, güneş enerjisi ve rüzgâr enerjisi gibi yenilenebilir enerji kaynaklarının kullanıma alınabilmesi amacıyla geliştirilen teknikler giderek daha fazla önem kazanmıştır. Sığ zemin ve akiferlerin ısı potansiyelinden faydalanmaya yönelik olarak başta Avrupa ülkelerinde olmak üzere son on yılda artan düzeyde araştırmalar yapılmaktadır. Bu doğrultuda, yeraltında termal enerji depolama yöntemlerinden biri olarak kabul edilen Akifer Termal Enerji Depolama Sistemleri (ATES), yenilenebilir enerji tedarikinde sürdürülebilir bir alternatif oluşturmaktadır. ATES tekniğinin uygulama ve kullanımı, mevsimsel ısı depolaması ile binalarımızda sürdürülebilir bir iklimlendirme sağlayarak fosil enerji tüketimini azaltmaya katkıda bulunabilmektedir. Bu çalışma kapsamında Mersin ili sınırları içindeki Mersin Kıyı akiferinde, ATES tekniği kullanımının bölgedeki binalarda iklimlendirme ihtiyaçlarını karşılamak üzere uygulanabilirliği araştırılmaktadır. Bu amaçla, ATES tekniği ile ilgili daha önce yapılan sayısal modelleme ve termal performans çalışmaları değerlendirilerek bahsedilen tekniğin kullanım potansiyeli irdelenmiştir.</w:t>
      </w:r>
    </w:p>
    <w:p w:rsidR="006644AF" w:rsidRPr="004D64F7" w:rsidRDefault="006644AF" w:rsidP="006644AF">
      <w:pPr>
        <w:spacing w:after="0"/>
        <w:jc w:val="both"/>
        <w:rPr>
          <w:rFonts w:eastAsia="Times New Roman" w:cs="Times New Roman"/>
          <w:b/>
          <w:szCs w:val="24"/>
          <w:lang w:val="en-GB" w:eastAsia="tr-TR"/>
        </w:rPr>
      </w:pPr>
      <w:r w:rsidRPr="004D64F7">
        <w:rPr>
          <w:rFonts w:eastAsia="Times New Roman" w:cs="Times New Roman"/>
          <w:b/>
          <w:szCs w:val="24"/>
          <w:lang w:val="en-GB" w:eastAsia="tr-TR"/>
        </w:rPr>
        <w:t>Anahtar Sözcükler:</w:t>
      </w:r>
    </w:p>
    <w:p w:rsidR="006644AF" w:rsidRPr="004D64F7" w:rsidRDefault="006644AF" w:rsidP="006644AF">
      <w:pPr>
        <w:spacing w:after="0"/>
        <w:jc w:val="both"/>
        <w:rPr>
          <w:rFonts w:eastAsia="Times New Roman" w:cs="Times New Roman"/>
          <w:szCs w:val="24"/>
          <w:lang w:val="en-GB" w:eastAsia="tr-TR"/>
        </w:rPr>
      </w:pPr>
      <w:r w:rsidRPr="004D64F7">
        <w:rPr>
          <w:rFonts w:eastAsia="Times New Roman" w:cs="Times New Roman"/>
          <w:szCs w:val="24"/>
          <w:lang w:val="en-GB" w:eastAsia="tr-TR"/>
        </w:rPr>
        <w:t>Akifer Termal Enerji Depolama, Mersin Kıyı Akiferi, Termal Performans.</w:t>
      </w:r>
    </w:p>
    <w:p w:rsidR="006644AF" w:rsidRPr="004D64F7" w:rsidRDefault="006644AF" w:rsidP="006644AF">
      <w:pPr>
        <w:spacing w:after="0"/>
        <w:jc w:val="both"/>
        <w:rPr>
          <w:rFonts w:eastAsia="Times New Roman" w:cs="Times New Roman"/>
          <w:b/>
          <w:szCs w:val="24"/>
          <w:lang w:eastAsia="tr-TR"/>
        </w:rPr>
      </w:pPr>
    </w:p>
    <w:p w:rsidR="006644AF" w:rsidRPr="004D64F7" w:rsidRDefault="006644AF" w:rsidP="006644AF">
      <w:pPr>
        <w:spacing w:after="0"/>
        <w:jc w:val="both"/>
        <w:rPr>
          <w:rFonts w:eastAsia="Times New Roman" w:cs="Times New Roman"/>
          <w:b/>
          <w:szCs w:val="24"/>
          <w:lang w:eastAsia="tr-TR"/>
        </w:rPr>
      </w:pPr>
    </w:p>
    <w:p w:rsidR="006644AF" w:rsidRDefault="006644AF" w:rsidP="006644AF">
      <w:pPr>
        <w:rPr>
          <w:rFonts w:eastAsia="Times New Roman" w:cs="Times New Roman"/>
          <w:b/>
          <w:szCs w:val="24"/>
          <w:lang w:eastAsia="tr-TR"/>
        </w:rPr>
      </w:pPr>
      <w:r>
        <w:rPr>
          <w:rFonts w:eastAsia="Times New Roman" w:cs="Times New Roman"/>
          <w:b/>
          <w:szCs w:val="24"/>
          <w:lang w:eastAsia="tr-TR"/>
        </w:rPr>
        <w:br w:type="page"/>
      </w:r>
    </w:p>
    <w:p w:rsidR="006644AF" w:rsidRPr="004D64F7" w:rsidRDefault="006644AF" w:rsidP="006644AF">
      <w:pPr>
        <w:contextualSpacing/>
        <w:jc w:val="both"/>
        <w:rPr>
          <w:rFonts w:eastAsia="Times New Roman" w:cs="Times New Roman"/>
          <w:b/>
          <w:szCs w:val="24"/>
          <w:lang w:eastAsia="tr-TR"/>
        </w:rPr>
      </w:pPr>
      <w:r w:rsidRPr="004D64F7">
        <w:rPr>
          <w:rFonts w:eastAsia="Times New Roman" w:cs="Times New Roman"/>
          <w:b/>
          <w:szCs w:val="24"/>
          <w:lang w:eastAsia="tr-TR"/>
        </w:rPr>
        <w:lastRenderedPageBreak/>
        <w:t>INTRODUCTION</w:t>
      </w:r>
    </w:p>
    <w:p w:rsidR="006644AF" w:rsidRPr="004D64F7" w:rsidRDefault="006644AF" w:rsidP="006644AF">
      <w:pPr>
        <w:autoSpaceDE w:val="0"/>
        <w:autoSpaceDN w:val="0"/>
        <w:adjustRightInd w:val="0"/>
        <w:ind w:firstLine="709"/>
        <w:jc w:val="both"/>
        <w:rPr>
          <w:rFonts w:eastAsia="Times New Roman" w:cs="Times New Roman"/>
          <w:b/>
          <w:color w:val="000000"/>
          <w:szCs w:val="24"/>
          <w:lang w:eastAsia="tr-TR"/>
        </w:rPr>
      </w:pPr>
      <w:r w:rsidRPr="004D64F7">
        <w:rPr>
          <w:rFonts w:eastAsia="Times New Roman" w:cs="Times New Roman"/>
          <w:color w:val="000000"/>
          <w:szCs w:val="24"/>
          <w:lang w:eastAsia="tr-TR"/>
        </w:rPr>
        <w:t xml:space="preserve">Seasonal storage of low-temperature thermal energy in aquifers, also known as aquifer thermal energy storage (ATES), has proven to be an economical and commercially viable, energy-efficient technology </w:t>
      </w:r>
      <w:r w:rsidRPr="004D64F7">
        <w:rPr>
          <w:rFonts w:eastAsia="Times New Roman" w:cs="Times New Roman"/>
          <w:szCs w:val="24"/>
          <w:lang w:eastAsia="tr-TR"/>
        </w:rPr>
        <w:t>[1-6]</w:t>
      </w:r>
      <w:r w:rsidRPr="004D64F7">
        <w:rPr>
          <w:rFonts w:eastAsia="Times New Roman" w:cs="Times New Roman"/>
          <w:color w:val="000000"/>
          <w:szCs w:val="24"/>
          <w:lang w:eastAsia="tr-TR"/>
        </w:rPr>
        <w:t xml:space="preserve">. Numerous successful ATES projects are currently in operation in Europe, Asia, and North America, primarily for larger applications such as institutional or commercial buildings </w:t>
      </w:r>
      <w:r w:rsidRPr="004D64F7">
        <w:rPr>
          <w:rFonts w:eastAsia="Times New Roman" w:cs="Times New Roman"/>
          <w:szCs w:val="24"/>
          <w:lang w:eastAsia="tr-TR"/>
        </w:rPr>
        <w:t>[</w:t>
      </w:r>
      <w:r w:rsidRPr="004D64F7">
        <w:rPr>
          <w:rFonts w:eastAsia="Times New Roman" w:cs="Times New Roman"/>
          <w:color w:val="000000"/>
          <w:szCs w:val="24"/>
          <w:lang w:eastAsia="tr-TR"/>
        </w:rPr>
        <w:t>7-12</w:t>
      </w:r>
      <w:r w:rsidRPr="004D64F7">
        <w:rPr>
          <w:rFonts w:eastAsia="Times New Roman" w:cs="Times New Roman"/>
          <w:szCs w:val="24"/>
          <w:lang w:eastAsia="tr-TR"/>
        </w:rPr>
        <w:t>]</w:t>
      </w:r>
      <w:r w:rsidRPr="004D64F7">
        <w:rPr>
          <w:rFonts w:eastAsia="Times New Roman" w:cs="Times New Roman"/>
          <w:color w:val="000000"/>
          <w:szCs w:val="24"/>
          <w:lang w:eastAsia="tr-TR"/>
        </w:rPr>
        <w:t xml:space="preserve">. </w:t>
      </w:r>
    </w:p>
    <w:p w:rsidR="006644AF" w:rsidRPr="004D64F7" w:rsidRDefault="006644AF" w:rsidP="006644AF">
      <w:pPr>
        <w:autoSpaceDE w:val="0"/>
        <w:autoSpaceDN w:val="0"/>
        <w:adjustRightInd w:val="0"/>
        <w:ind w:firstLine="709"/>
        <w:jc w:val="both"/>
        <w:rPr>
          <w:rFonts w:eastAsia="Times New Roman" w:cs="Times New Roman"/>
          <w:szCs w:val="24"/>
          <w:lang w:val="en-US" w:eastAsia="tr-TR"/>
        </w:rPr>
      </w:pPr>
      <w:r w:rsidRPr="004D64F7">
        <w:rPr>
          <w:rFonts w:eastAsia="Times New Roman" w:cs="Times New Roman"/>
          <w:color w:val="000000"/>
          <w:szCs w:val="24"/>
          <w:lang w:eastAsia="tr-TR"/>
        </w:rPr>
        <w:t>ATES, in</w:t>
      </w:r>
      <w:r w:rsidRPr="004D64F7">
        <w:rPr>
          <w:rFonts w:eastAsia="Times New Roman" w:cs="Times New Roman"/>
          <w:color w:val="000000"/>
          <w:szCs w:val="24"/>
          <w:lang w:val="en-US" w:eastAsia="tr-TR"/>
        </w:rPr>
        <w:t xml:space="preserve"> its</w:t>
      </w:r>
      <w:r w:rsidRPr="004D64F7">
        <w:rPr>
          <w:rFonts w:eastAsia="Times New Roman" w:cs="Times New Roman"/>
          <w:color w:val="000000"/>
          <w:szCs w:val="24"/>
          <w:lang w:eastAsia="tr-TR"/>
        </w:rPr>
        <w:t xml:space="preserve"> simplest form, involves heating or cooling groundwater using low-grade thermal energy, such as solar heat or cold outside air temperatures, and injecting it into a suitable aquifer for storage during periods of low energy demand. During periods of high energy demand, this water is extracted </w:t>
      </w:r>
      <w:r w:rsidRPr="004D64F7">
        <w:rPr>
          <w:rFonts w:eastAsia="Times New Roman" w:cs="Times New Roman"/>
          <w:szCs w:val="24"/>
          <w:lang w:eastAsia="tr-TR"/>
        </w:rPr>
        <w:t xml:space="preserve">through warm wells, used for heating and then injected back through cold wells. In summer, cold water is extracted from an aquifer through cold wells, heated and injected back into the same or another aquifer through warm wells. In winter, the process is reversed and warm water is extracted through warm wells, used for heating and then injected back through cold wells. </w:t>
      </w:r>
      <w:r w:rsidRPr="004D64F7">
        <w:rPr>
          <w:rFonts w:eastAsia="Times New Roman" w:cs="Times New Roman"/>
          <w:szCs w:val="24"/>
          <w:lang w:val="en-US" w:eastAsia="tr-TR"/>
        </w:rPr>
        <w:t>A schematic representation of an ATES doublet working principle is illustrated in Fig. 1.</w:t>
      </w:r>
    </w:p>
    <w:p w:rsidR="006644AF" w:rsidRPr="004D64F7" w:rsidRDefault="006644AF" w:rsidP="006644AF">
      <w:pPr>
        <w:autoSpaceDE w:val="0"/>
        <w:autoSpaceDN w:val="0"/>
        <w:adjustRightInd w:val="0"/>
        <w:spacing w:after="0"/>
        <w:ind w:firstLine="284"/>
        <w:rPr>
          <w:rFonts w:eastAsia="Times New Roman" w:cs="Times New Roman"/>
          <w:szCs w:val="24"/>
          <w:lang w:eastAsia="tr-TR"/>
        </w:rPr>
      </w:pPr>
      <w:r w:rsidRPr="004D64F7">
        <w:rPr>
          <w:rFonts w:eastAsia="Times New Roman" w:cs="Times New Roman"/>
          <w:noProof/>
          <w:szCs w:val="24"/>
          <w:lang w:eastAsia="tr-TR"/>
        </w:rPr>
        <w:drawing>
          <wp:inline distT="0" distB="0" distL="0" distR="0" wp14:anchorId="016E6C83" wp14:editId="04458EF9">
            <wp:extent cx="5343525" cy="3702685"/>
            <wp:effectExtent l="0" t="0" r="9525"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405" cy="3717153"/>
                    </a:xfrm>
                    <a:prstGeom prst="rect">
                      <a:avLst/>
                    </a:prstGeom>
                    <a:noFill/>
                    <a:ln>
                      <a:noFill/>
                    </a:ln>
                  </pic:spPr>
                </pic:pic>
              </a:graphicData>
            </a:graphic>
          </wp:inline>
        </w:drawing>
      </w:r>
    </w:p>
    <w:p w:rsidR="006644AF" w:rsidRPr="004D64F7" w:rsidRDefault="006644AF" w:rsidP="006644AF">
      <w:pPr>
        <w:spacing w:after="0" w:line="240" w:lineRule="auto"/>
        <w:jc w:val="center"/>
        <w:rPr>
          <w:rFonts w:eastAsia="Times New Roman" w:cs="Times New Roman"/>
          <w:szCs w:val="24"/>
          <w:lang w:eastAsia="tr-TR"/>
        </w:rPr>
      </w:pPr>
      <w:r w:rsidRPr="004D64F7">
        <w:rPr>
          <w:rFonts w:eastAsia="Times New Roman" w:cs="Times New Roman"/>
          <w:szCs w:val="24"/>
          <w:lang w:eastAsia="tr-TR"/>
        </w:rPr>
        <w:t>Figure 1.  ATES doublet working principle [13].</w:t>
      </w:r>
    </w:p>
    <w:p w:rsidR="006644AF" w:rsidRPr="004D64F7" w:rsidRDefault="006644AF" w:rsidP="006644AF">
      <w:pPr>
        <w:autoSpaceDE w:val="0"/>
        <w:autoSpaceDN w:val="0"/>
        <w:adjustRightInd w:val="0"/>
        <w:spacing w:after="0"/>
        <w:ind w:firstLine="284"/>
        <w:jc w:val="center"/>
        <w:rPr>
          <w:rFonts w:eastAsia="Times New Roman" w:cs="Times New Roman"/>
          <w:szCs w:val="24"/>
          <w:lang w:val="en-US" w:eastAsia="tr-TR"/>
        </w:rPr>
      </w:pPr>
    </w:p>
    <w:p w:rsidR="006644AF" w:rsidRPr="004D64F7" w:rsidRDefault="006644AF" w:rsidP="006644AF">
      <w:pPr>
        <w:autoSpaceDE w:val="0"/>
        <w:autoSpaceDN w:val="0"/>
        <w:adjustRightInd w:val="0"/>
        <w:ind w:firstLine="709"/>
        <w:jc w:val="both"/>
        <w:rPr>
          <w:rFonts w:eastAsia="Times New Roman" w:cs="Times New Roman"/>
          <w:color w:val="000000"/>
          <w:szCs w:val="24"/>
          <w:lang w:eastAsia="tr-TR"/>
        </w:rPr>
      </w:pPr>
      <w:r w:rsidRPr="004D64F7">
        <w:rPr>
          <w:rFonts w:eastAsia="Times New Roman" w:cs="Times New Roman"/>
          <w:color w:val="000000"/>
          <w:szCs w:val="24"/>
          <w:lang w:val="en-US" w:eastAsia="tr-TR"/>
        </w:rPr>
        <w:t>Currently</w:t>
      </w:r>
      <w:r w:rsidRPr="004D64F7">
        <w:rPr>
          <w:rFonts w:eastAsia="Times New Roman" w:cs="Times New Roman"/>
          <w:color w:val="000000"/>
          <w:szCs w:val="24"/>
          <w:lang w:eastAsia="tr-TR"/>
        </w:rPr>
        <w:t>, ATES systems are mostly constructed and utilised in Netherland, Sweden, France, Canada, Germany, the US and so on with Netherland as the technological leader [14-</w:t>
      </w:r>
      <w:r w:rsidRPr="004D64F7">
        <w:rPr>
          <w:rFonts w:eastAsia="Times New Roman" w:cs="Times New Roman"/>
          <w:color w:val="000000"/>
          <w:szCs w:val="24"/>
          <w:lang w:eastAsia="tr-TR"/>
        </w:rPr>
        <w:lastRenderedPageBreak/>
        <w:t>16]. It is expected that between 3500 and 18000 systems will be in operation by 2020 in Netherlands [17, 18]. ATES systems have been used for heating and cooling of offices, hospitals, universities, greenhouses, factories and so on [19-21]. Some projects related to ATES technique were summarized by Hesaraki et al. and Xu et al. [22, 20].</w:t>
      </w:r>
    </w:p>
    <w:p w:rsidR="006644AF" w:rsidRPr="004D64F7" w:rsidRDefault="006644AF" w:rsidP="006644AF">
      <w:pPr>
        <w:jc w:val="both"/>
        <w:rPr>
          <w:rFonts w:eastAsia="Times New Roman" w:cs="Times New Roman"/>
          <w:szCs w:val="24"/>
          <w:lang w:eastAsia="tr-TR"/>
        </w:rPr>
      </w:pPr>
    </w:p>
    <w:p w:rsidR="006644AF" w:rsidRPr="004D64F7" w:rsidRDefault="006644AF" w:rsidP="006644AF">
      <w:pPr>
        <w:contextualSpacing/>
        <w:jc w:val="both"/>
        <w:rPr>
          <w:rFonts w:eastAsia="Times New Roman" w:cs="Times New Roman"/>
          <w:b/>
          <w:szCs w:val="24"/>
          <w:lang w:eastAsia="tr-TR"/>
        </w:rPr>
      </w:pPr>
      <w:r>
        <w:rPr>
          <w:rFonts w:eastAsia="Times New Roman" w:cs="Times New Roman"/>
          <w:b/>
          <w:szCs w:val="24"/>
          <w:lang w:eastAsia="tr-TR"/>
        </w:rPr>
        <w:t xml:space="preserve">1. </w:t>
      </w:r>
      <w:r w:rsidRPr="004D64F7">
        <w:rPr>
          <w:rFonts w:eastAsia="Times New Roman" w:cs="Times New Roman"/>
          <w:b/>
          <w:szCs w:val="24"/>
          <w:lang w:eastAsia="tr-TR"/>
        </w:rPr>
        <w:t>THERMAL PERFORMANCE OF ATES SYSTEM</w:t>
      </w:r>
    </w:p>
    <w:p w:rsidR="006644AF" w:rsidRPr="004D64F7" w:rsidRDefault="006644AF" w:rsidP="006644AF">
      <w:pPr>
        <w:autoSpaceDE w:val="0"/>
        <w:autoSpaceDN w:val="0"/>
        <w:adjustRightInd w:val="0"/>
        <w:ind w:firstLine="709"/>
        <w:jc w:val="both"/>
        <w:rPr>
          <w:rFonts w:eastAsia="Times New Roman" w:cs="Times New Roman"/>
          <w:szCs w:val="24"/>
          <w:lang w:eastAsia="tr-TR"/>
        </w:rPr>
      </w:pPr>
      <w:r w:rsidRPr="004D64F7">
        <w:rPr>
          <w:rFonts w:eastAsia="Times New Roman" w:cs="Times New Roman"/>
          <w:color w:val="000000"/>
          <w:szCs w:val="24"/>
          <w:lang w:eastAsia="tr-TR"/>
        </w:rPr>
        <w:t xml:space="preserve">Any ATES desing is a quite complex procedure and has to follow a certain pattern to be efficient. Andersson [23] provided a general design and construction procedure for an </w:t>
      </w:r>
      <w:r w:rsidRPr="004D64F7">
        <w:rPr>
          <w:rFonts w:eastAsia="Times New Roman" w:cs="Times New Roman"/>
          <w:szCs w:val="24"/>
          <w:lang w:eastAsia="tr-TR"/>
        </w:rPr>
        <w:t xml:space="preserve">ATES system. </w:t>
      </w:r>
      <w:r w:rsidRPr="004D64F7">
        <w:rPr>
          <w:rFonts w:eastAsia="Times New Roman" w:cs="Times New Roman"/>
          <w:color w:val="000000"/>
          <w:szCs w:val="24"/>
          <w:lang w:eastAsia="tr-TR"/>
        </w:rPr>
        <w:t xml:space="preserve">Though the technical issues are general, in most countries the use of ground water for energy purposes will be restricted and will be </w:t>
      </w:r>
      <w:r w:rsidRPr="004D64F7">
        <w:rPr>
          <w:rFonts w:eastAsia="Times New Roman" w:cs="Times New Roman"/>
          <w:szCs w:val="24"/>
          <w:lang w:eastAsia="tr-TR"/>
        </w:rPr>
        <w:t>an issue for application according to different kind of actions. Typical design steps are listed as follows:</w:t>
      </w:r>
    </w:p>
    <w:p w:rsidR="006644AF" w:rsidRPr="004D64F7" w:rsidRDefault="006644AF" w:rsidP="006644AF">
      <w:pPr>
        <w:autoSpaceDE w:val="0"/>
        <w:autoSpaceDN w:val="0"/>
        <w:adjustRightInd w:val="0"/>
        <w:jc w:val="both"/>
        <w:rPr>
          <w:rFonts w:eastAsia="Times New Roman" w:cs="Times New Roman"/>
          <w:szCs w:val="24"/>
          <w:lang w:eastAsia="tr-TR"/>
        </w:rPr>
      </w:pP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r w:rsidRPr="004D64F7">
        <w:rPr>
          <w:rFonts w:eastAsia="Times New Roman" w:cs="Times New Roman"/>
          <w:color w:val="000000"/>
          <w:szCs w:val="24"/>
          <w:lang w:eastAsia="tr-TR"/>
        </w:rPr>
        <w:t>feasibility study to specify the technical and economical feasibility and environmental impact compared to more than one reference system,</w:t>
      </w: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r w:rsidRPr="004D64F7">
        <w:rPr>
          <w:rFonts w:eastAsia="Times New Roman" w:cs="Times New Roman"/>
          <w:color w:val="000000"/>
          <w:szCs w:val="24"/>
          <w:lang w:eastAsia="tr-TR"/>
        </w:rPr>
        <w:t>the first permit applications to local authorities,</w:t>
      </w: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r w:rsidRPr="004D64F7">
        <w:rPr>
          <w:rFonts w:eastAsia="Times New Roman" w:cs="Times New Roman"/>
          <w:color w:val="000000"/>
          <w:szCs w:val="24"/>
          <w:lang w:eastAsia="tr-TR"/>
        </w:rPr>
        <w:t>definition of hydrogeological conditions by site investigations and measurements of loads and temperatures, etc on the user side,</w:t>
      </w: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r w:rsidRPr="004D64F7">
        <w:rPr>
          <w:rFonts w:eastAsia="Times New Roman" w:cs="Times New Roman"/>
          <w:color w:val="000000"/>
          <w:szCs w:val="24"/>
          <w:lang w:eastAsia="tr-TR"/>
        </w:rPr>
        <w:t>evaluation of results and modeling for technical, legal, and environmental purposes,</w:t>
      </w: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proofErr w:type="gramStart"/>
      <w:r w:rsidRPr="004D64F7">
        <w:rPr>
          <w:rFonts w:eastAsia="Times New Roman" w:cs="Times New Roman"/>
          <w:color w:val="000000"/>
          <w:szCs w:val="24"/>
          <w:lang w:eastAsia="tr-TR"/>
        </w:rPr>
        <w:t>final</w:t>
      </w:r>
      <w:proofErr w:type="gramEnd"/>
      <w:r w:rsidRPr="004D64F7">
        <w:rPr>
          <w:rFonts w:eastAsia="Times New Roman" w:cs="Times New Roman"/>
          <w:color w:val="000000"/>
          <w:szCs w:val="24"/>
          <w:lang w:eastAsia="tr-TR"/>
        </w:rPr>
        <w:t xml:space="preserve"> design for tender documents,</w:t>
      </w:r>
    </w:p>
    <w:p w:rsidR="006644AF" w:rsidRPr="004D64F7" w:rsidRDefault="006644AF" w:rsidP="006644AF">
      <w:pPr>
        <w:numPr>
          <w:ilvl w:val="0"/>
          <w:numId w:val="1"/>
        </w:numPr>
        <w:autoSpaceDE w:val="0"/>
        <w:autoSpaceDN w:val="0"/>
        <w:adjustRightInd w:val="0"/>
        <w:contextualSpacing/>
        <w:jc w:val="both"/>
        <w:rPr>
          <w:rFonts w:eastAsia="Times New Roman" w:cs="Times New Roman"/>
          <w:color w:val="000000"/>
          <w:szCs w:val="24"/>
          <w:lang w:eastAsia="tr-TR"/>
        </w:rPr>
      </w:pPr>
      <w:proofErr w:type="gramStart"/>
      <w:r w:rsidRPr="004D64F7">
        <w:rPr>
          <w:rFonts w:eastAsia="Times New Roman" w:cs="Times New Roman"/>
          <w:color w:val="000000"/>
          <w:szCs w:val="24"/>
          <w:lang w:eastAsia="tr-TR"/>
        </w:rPr>
        <w:t>final</w:t>
      </w:r>
      <w:proofErr w:type="gramEnd"/>
      <w:r w:rsidRPr="004D64F7">
        <w:rPr>
          <w:rFonts w:eastAsia="Times New Roman" w:cs="Times New Roman"/>
          <w:color w:val="000000"/>
          <w:szCs w:val="24"/>
          <w:lang w:eastAsia="tr-TR"/>
        </w:rPr>
        <w:t xml:space="preserve"> permit application for court procedures.</w:t>
      </w:r>
    </w:p>
    <w:p w:rsidR="006644AF" w:rsidRPr="004D64F7" w:rsidRDefault="006644AF" w:rsidP="006644AF">
      <w:pPr>
        <w:autoSpaceDE w:val="0"/>
        <w:autoSpaceDN w:val="0"/>
        <w:adjustRightInd w:val="0"/>
        <w:ind w:firstLine="708"/>
        <w:jc w:val="both"/>
        <w:rPr>
          <w:rFonts w:eastAsia="Calibri" w:cs="Times New Roman"/>
          <w:szCs w:val="24"/>
          <w:lang w:eastAsia="tr-TR"/>
        </w:rPr>
      </w:pPr>
    </w:p>
    <w:p w:rsidR="006644AF" w:rsidRDefault="006644AF" w:rsidP="006644AF">
      <w:pPr>
        <w:autoSpaceDE w:val="0"/>
        <w:autoSpaceDN w:val="0"/>
        <w:adjustRightInd w:val="0"/>
        <w:ind w:firstLine="709"/>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Thermal performance of the </w:t>
      </w:r>
      <w:proofErr w:type="gramStart"/>
      <w:r w:rsidRPr="004D64F7">
        <w:rPr>
          <w:rFonts w:eastAsia="Times New Roman" w:cs="Times New Roman"/>
          <w:color w:val="000000"/>
          <w:szCs w:val="24"/>
          <w:lang w:eastAsia="tr-TR"/>
        </w:rPr>
        <w:t>underground</w:t>
      </w:r>
      <w:proofErr w:type="gramEnd"/>
      <w:r w:rsidRPr="004D64F7">
        <w:rPr>
          <w:rFonts w:eastAsia="Times New Roman" w:cs="Times New Roman"/>
          <w:color w:val="000000"/>
          <w:szCs w:val="24"/>
          <w:lang w:eastAsia="tr-TR"/>
        </w:rPr>
        <w:t xml:space="preserve"> aquifer decides the efficiency of ATES systems. Many studies on ATES systems are focused on the </w:t>
      </w:r>
      <w:proofErr w:type="gramStart"/>
      <w:r w:rsidRPr="004D64F7">
        <w:rPr>
          <w:rFonts w:eastAsia="Times New Roman" w:cs="Times New Roman"/>
          <w:color w:val="000000"/>
          <w:szCs w:val="24"/>
          <w:lang w:eastAsia="tr-TR"/>
        </w:rPr>
        <w:t>underground</w:t>
      </w:r>
      <w:proofErr w:type="gramEnd"/>
      <w:r w:rsidRPr="004D64F7">
        <w:rPr>
          <w:rFonts w:eastAsia="Times New Roman" w:cs="Times New Roman"/>
          <w:color w:val="000000"/>
          <w:szCs w:val="24"/>
          <w:lang w:eastAsia="tr-TR"/>
        </w:rPr>
        <w:t xml:space="preserve"> part which is the medium for the thermal energy storage and some indicators to determine the system performance are proposed. The most commonly used thermal performance indicators in literatures include thermal recovery ratio, exergy efficiency, energy balance ratio, etc. which are summarized in Table 1. Thermal recovery ratio (thermal efficiency, η) makes clear performance of </w:t>
      </w:r>
      <w:proofErr w:type="gramStart"/>
      <w:r w:rsidRPr="004D64F7">
        <w:rPr>
          <w:rFonts w:eastAsia="Times New Roman" w:cs="Times New Roman"/>
          <w:color w:val="000000"/>
          <w:szCs w:val="24"/>
          <w:lang w:eastAsia="tr-TR"/>
        </w:rPr>
        <w:t>underground</w:t>
      </w:r>
      <w:proofErr w:type="gramEnd"/>
      <w:r w:rsidRPr="004D64F7">
        <w:rPr>
          <w:rFonts w:eastAsia="Times New Roman" w:cs="Times New Roman"/>
          <w:color w:val="000000"/>
          <w:szCs w:val="24"/>
          <w:lang w:eastAsia="tr-TR"/>
        </w:rPr>
        <w:t xml:space="preserve"> part of the ATES system from the view of energy and is a primary indicator previously [14, 24, 25]. It can be classified as thermal recovery ratio of heat and thermal recovery ratio of cold. However, the thermal recovery ratio indicator may be misleading due to just taking energy quantity as the base. Therefore, exergy efficiency (ε) assessment using the second-law of thermodynamics is taken into account [27, 28]. If thermal recovery ratio is </w:t>
      </w:r>
      <w:r w:rsidRPr="004D64F7">
        <w:rPr>
          <w:rFonts w:eastAsia="Times New Roman" w:cs="Times New Roman"/>
          <w:color w:val="000000"/>
          <w:szCs w:val="24"/>
          <w:lang w:eastAsia="tr-TR"/>
        </w:rPr>
        <w:lastRenderedPageBreak/>
        <w:t xml:space="preserve">less than 1, the left heat or cold will be accumulated in the aquifer with the increasing of operation time. When the ATES system is used both for heating and cooling, the cold accumulation may reduce the efficiency and suitability of the system. Thermal balance should be reached in both heating and cooling system of an ATES project to make sure that the system has an acceptable long term effiency [29]. The closer to zero the thermal balance ratio, the more efficient the system is. </w:t>
      </w:r>
    </w:p>
    <w:p w:rsidR="006644AF" w:rsidRDefault="006644AF" w:rsidP="006644AF">
      <w:pPr>
        <w:autoSpaceDE w:val="0"/>
        <w:autoSpaceDN w:val="0"/>
        <w:adjustRightInd w:val="0"/>
        <w:ind w:firstLine="709"/>
        <w:jc w:val="both"/>
        <w:rPr>
          <w:rFonts w:eastAsia="Times New Roman" w:cs="Times New Roman"/>
          <w:color w:val="000000"/>
          <w:szCs w:val="24"/>
          <w:lang w:eastAsia="tr-TR"/>
        </w:rPr>
      </w:pPr>
    </w:p>
    <w:p w:rsidR="006644AF" w:rsidRDefault="006644AF" w:rsidP="006644AF">
      <w:pPr>
        <w:rPr>
          <w:rFonts w:eastAsia="Times New Roman" w:cs="Times New Roman"/>
          <w:color w:val="000000"/>
          <w:szCs w:val="24"/>
          <w:lang w:eastAsia="tr-TR"/>
        </w:rPr>
      </w:pPr>
      <w:r>
        <w:rPr>
          <w:rFonts w:eastAsia="Times New Roman" w:cs="Times New Roman"/>
          <w:color w:val="000000"/>
          <w:szCs w:val="24"/>
          <w:lang w:eastAsia="tr-TR"/>
        </w:rPr>
        <w:br w:type="page"/>
      </w:r>
    </w:p>
    <w:p w:rsidR="006644AF" w:rsidRPr="004D64F7" w:rsidRDefault="006644AF" w:rsidP="006644AF">
      <w:pPr>
        <w:autoSpaceDE w:val="0"/>
        <w:autoSpaceDN w:val="0"/>
        <w:adjustRightInd w:val="0"/>
        <w:spacing w:after="0" w:line="240" w:lineRule="auto"/>
        <w:jc w:val="center"/>
        <w:rPr>
          <w:rFonts w:eastAsia="Times New Roman" w:cs="Times New Roman"/>
          <w:color w:val="000000"/>
          <w:szCs w:val="24"/>
          <w:lang w:eastAsia="tr-TR"/>
        </w:rPr>
      </w:pPr>
      <w:r w:rsidRPr="004D64F7">
        <w:rPr>
          <w:rFonts w:eastAsia="Times New Roman" w:cs="Times New Roman"/>
          <w:color w:val="000000"/>
          <w:szCs w:val="24"/>
          <w:lang w:eastAsia="tr-TR"/>
        </w:rPr>
        <w:lastRenderedPageBreak/>
        <w:t xml:space="preserve">Table 1. </w:t>
      </w:r>
      <w:r w:rsidRPr="004D64F7">
        <w:rPr>
          <w:rFonts w:eastAsia="Times New Roman" w:cs="Times New Roman"/>
          <w:color w:val="000000"/>
          <w:sz w:val="16"/>
          <w:szCs w:val="16"/>
          <w:lang w:eastAsia="tr-TR"/>
        </w:rPr>
        <w:t xml:space="preserve"> </w:t>
      </w:r>
      <w:r w:rsidRPr="004D64F7">
        <w:rPr>
          <w:rFonts w:eastAsia="Times New Roman" w:cs="Times New Roman"/>
          <w:color w:val="000000"/>
          <w:szCs w:val="24"/>
          <w:lang w:eastAsia="tr-TR"/>
        </w:rPr>
        <w:t xml:space="preserve">Indicators for ATES system thermal performance indicator definition </w:t>
      </w:r>
      <w:proofErr w:type="gramStart"/>
      <w:r w:rsidRPr="004D64F7">
        <w:rPr>
          <w:rFonts w:eastAsia="Times New Roman" w:cs="Times New Roman"/>
          <w:color w:val="000000"/>
          <w:szCs w:val="24"/>
          <w:lang w:eastAsia="tr-TR"/>
        </w:rPr>
        <w:t>and  equations</w:t>
      </w:r>
      <w:proofErr w:type="gramEnd"/>
      <w:r w:rsidRPr="004D64F7">
        <w:rPr>
          <w:rFonts w:eastAsia="Times New Roman" w:cs="Times New Roman"/>
          <w:color w:val="000000"/>
          <w:szCs w:val="24"/>
          <w:lang w:eastAsia="tr-TR"/>
        </w:rPr>
        <w:t xml:space="preserve"> </w:t>
      </w:r>
      <w:r w:rsidRPr="004D64F7">
        <w:rPr>
          <w:rFonts w:eastAsia="Times New Roman" w:cs="Times New Roman"/>
          <w:color w:val="000000"/>
          <w:sz w:val="22"/>
          <w:lang w:eastAsia="tr-TR"/>
        </w:rPr>
        <w:t>[33]</w:t>
      </w:r>
      <w:r w:rsidRPr="004D64F7">
        <w:rPr>
          <w:rFonts w:eastAsia="Times New Roman" w:cs="Times New Roman"/>
          <w:color w:val="000000"/>
          <w:szCs w:val="24"/>
          <w:lang w:eastAsia="tr-TR"/>
        </w:rPr>
        <w:t>.</w:t>
      </w:r>
    </w:p>
    <w:p w:rsidR="006644AF" w:rsidRPr="004D64F7" w:rsidRDefault="006644AF" w:rsidP="006644AF">
      <w:pPr>
        <w:autoSpaceDE w:val="0"/>
        <w:autoSpaceDN w:val="0"/>
        <w:adjustRightInd w:val="0"/>
        <w:spacing w:after="0" w:line="240" w:lineRule="auto"/>
        <w:jc w:val="center"/>
        <w:rPr>
          <w:rFonts w:eastAsia="Times New Roman" w:cs="Times New Roman"/>
          <w:color w:val="000000"/>
          <w:szCs w:val="24"/>
          <w:lang w:eastAsia="tr-TR"/>
        </w:rPr>
      </w:pP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643"/>
        <w:gridCol w:w="4624"/>
        <w:gridCol w:w="1189"/>
      </w:tblGrid>
      <w:tr w:rsidR="006644AF" w:rsidRPr="004D64F7" w:rsidTr="003A23E2">
        <w:trPr>
          <w:jc w:val="center"/>
        </w:trPr>
        <w:tc>
          <w:tcPr>
            <w:tcW w:w="1353" w:type="dxa"/>
            <w:shd w:val="clear" w:color="auto" w:fill="auto"/>
          </w:tcPr>
          <w:p w:rsidR="006644AF" w:rsidRPr="004D64F7" w:rsidRDefault="006644AF" w:rsidP="003A23E2">
            <w:pPr>
              <w:spacing w:after="0" w:line="240" w:lineRule="auto"/>
              <w:jc w:val="center"/>
              <w:rPr>
                <w:rFonts w:eastAsia="Times New Roman" w:cs="Times New Roman"/>
                <w:szCs w:val="24"/>
                <w:lang w:eastAsia="tr-TR"/>
              </w:rPr>
            </w:pPr>
            <w:r w:rsidRPr="004D64F7">
              <w:rPr>
                <w:rFonts w:eastAsia="Times New Roman" w:cs="Times New Roman"/>
                <w:szCs w:val="24"/>
                <w:lang w:eastAsia="tr-TR"/>
              </w:rPr>
              <w:t>Indicator</w:t>
            </w:r>
          </w:p>
        </w:tc>
        <w:tc>
          <w:tcPr>
            <w:tcW w:w="191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Cs w:val="24"/>
                <w:lang w:eastAsia="tr-TR"/>
              </w:rPr>
            </w:pPr>
            <w:r w:rsidRPr="004D64F7">
              <w:rPr>
                <w:rFonts w:eastAsia="Times New Roman" w:cs="Times New Roman"/>
                <w:szCs w:val="24"/>
                <w:lang w:eastAsia="tr-TR"/>
              </w:rPr>
              <w:t xml:space="preserve">Definition </w:t>
            </w:r>
          </w:p>
        </w:tc>
        <w:tc>
          <w:tcPr>
            <w:tcW w:w="4348"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Cs w:val="24"/>
                <w:lang w:eastAsia="tr-TR"/>
              </w:rPr>
            </w:pPr>
            <w:r w:rsidRPr="004D64F7">
              <w:rPr>
                <w:rFonts w:eastAsia="Times New Roman" w:cs="Times New Roman"/>
                <w:szCs w:val="24"/>
                <w:lang w:eastAsia="tr-TR"/>
              </w:rPr>
              <w:t xml:space="preserve">Equation or representative parameter </w:t>
            </w:r>
          </w:p>
        </w:tc>
        <w:tc>
          <w:tcPr>
            <w:tcW w:w="118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Cs w:val="24"/>
                <w:lang w:eastAsia="tr-TR"/>
              </w:rPr>
            </w:pPr>
            <w:r w:rsidRPr="004D64F7">
              <w:rPr>
                <w:rFonts w:eastAsia="Times New Roman" w:cs="Times New Roman"/>
                <w:szCs w:val="24"/>
                <w:lang w:eastAsia="tr-TR"/>
              </w:rPr>
              <w:t xml:space="preserve">Reference </w:t>
            </w:r>
          </w:p>
        </w:tc>
      </w:tr>
      <w:tr w:rsidR="006644AF" w:rsidRPr="004D64F7" w:rsidTr="003A23E2">
        <w:trPr>
          <w:jc w:val="center"/>
        </w:trPr>
        <w:tc>
          <w:tcPr>
            <w:tcW w:w="1353"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Thermal recovery ratio/thermal efficiency </w:t>
            </w:r>
          </w:p>
        </w:tc>
        <w:tc>
          <w:tcPr>
            <w:tcW w:w="191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The ratio of energy extracted from the subsurface to energy injected into the subsurface. Usually the natural aquifer temperature is taken as the calculation base. </w:t>
            </w:r>
          </w:p>
          <w:p w:rsidR="006644AF" w:rsidRPr="004D64F7" w:rsidRDefault="006644AF" w:rsidP="003A23E2">
            <w:pPr>
              <w:spacing w:after="0" w:line="240" w:lineRule="auto"/>
              <w:jc w:val="center"/>
              <w:rPr>
                <w:rFonts w:eastAsia="Times New Roman" w:cs="Times New Roman"/>
                <w:sz w:val="22"/>
                <w:lang w:eastAsia="tr-TR"/>
              </w:rPr>
            </w:pPr>
          </w:p>
        </w:tc>
        <w:tc>
          <w:tcPr>
            <w:tcW w:w="4348" w:type="dxa"/>
            <w:shd w:val="clear" w:color="auto" w:fill="auto"/>
          </w:tcPr>
          <w:p w:rsidR="006644AF" w:rsidRPr="004D64F7" w:rsidRDefault="006644AF" w:rsidP="003A23E2">
            <w:pPr>
              <w:spacing w:after="0" w:line="240" w:lineRule="auto"/>
              <w:jc w:val="center"/>
              <w:rPr>
                <w:rFonts w:eastAsia="Times New Roman" w:cs="Times New Roman"/>
                <w:sz w:val="22"/>
                <w:lang w:eastAsia="tr-TR"/>
              </w:rPr>
            </w:pPr>
          </w:p>
          <w:p w:rsidR="006644AF" w:rsidRPr="004D64F7" w:rsidRDefault="006644AF" w:rsidP="003A23E2">
            <w:pPr>
              <w:spacing w:after="0" w:line="240" w:lineRule="auto"/>
              <w:jc w:val="center"/>
              <w:rPr>
                <w:rFonts w:eastAsia="Times New Roman" w:cs="Times New Roman"/>
                <w:sz w:val="22"/>
                <w:lang w:eastAsia="tr-TR"/>
              </w:rPr>
            </w:pPr>
          </w:p>
          <w:p w:rsidR="006644AF" w:rsidRPr="004D64F7" w:rsidRDefault="006644AF" w:rsidP="003A23E2">
            <w:pPr>
              <w:spacing w:after="0" w:line="240" w:lineRule="auto"/>
              <w:jc w:val="center"/>
              <w:rPr>
                <w:rFonts w:eastAsia="Times New Roman" w:cs="Times New Roman"/>
                <w:sz w:val="22"/>
                <w:lang w:eastAsia="tr-TR"/>
              </w:rPr>
            </w:pPr>
          </w:p>
          <w:p w:rsidR="006644AF" w:rsidRPr="004D64F7" w:rsidRDefault="006644AF" w:rsidP="003A23E2">
            <w:pPr>
              <w:spacing w:after="0" w:line="240" w:lineRule="auto"/>
              <w:rPr>
                <w:rFonts w:eastAsia="Times New Roman" w:cs="Times New Roman"/>
                <w:sz w:val="22"/>
                <w:lang w:eastAsia="tr-TR"/>
              </w:rPr>
            </w:pPr>
            <m:oMath>
              <m:r>
                <w:rPr>
                  <w:rFonts w:ascii="Cambria Math" w:eastAsia="Times New Roman" w:hAnsi="Cambria Math" w:cs="Times New Roman"/>
                  <w:szCs w:val="24"/>
                  <w:lang w:eastAsia="tr-TR"/>
                </w:rPr>
                <m:t>η=</m:t>
              </m:r>
              <m:f>
                <m:fPr>
                  <m:ctrlPr>
                    <w:rPr>
                      <w:rFonts w:ascii="Cambria Math" w:eastAsia="Calibri" w:hAnsi="Cambria Math" w:cs="Times New Roman"/>
                      <w:i/>
                      <w:sz w:val="22"/>
                    </w:rPr>
                  </m:ctrlPr>
                </m:fPr>
                <m:num>
                  <m:sSub>
                    <m:sSubPr>
                      <m:ctrlPr>
                        <w:rPr>
                          <w:rFonts w:ascii="Cambria Math" w:eastAsia="Calibri" w:hAnsi="Cambria Math" w:cs="Times New Roman"/>
                          <w:i/>
                          <w:sz w:val="22"/>
                        </w:rPr>
                      </m:ctrlPr>
                    </m:sSub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extracted</m:t>
                      </m:r>
                    </m:sub>
                  </m:sSub>
                </m:num>
                <m:den>
                  <m:sSub>
                    <m:sSubPr>
                      <m:ctrlPr>
                        <w:rPr>
                          <w:rFonts w:ascii="Cambria Math" w:eastAsia="Calibri" w:hAnsi="Cambria Math" w:cs="Times New Roman"/>
                          <w:i/>
                          <w:sz w:val="22"/>
                        </w:rPr>
                      </m:ctrlPr>
                    </m:sSub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injected</m:t>
                      </m:r>
                    </m:sub>
                  </m:sSub>
                </m:den>
              </m:f>
            </m:oMath>
            <w:r w:rsidRPr="004D64F7">
              <w:rPr>
                <w:rFonts w:eastAsia="Times New Roman" w:cs="Times New Roman"/>
                <w:sz w:val="22"/>
                <w:lang w:eastAsia="tr-TR"/>
              </w:rPr>
              <w:t>=</w:t>
            </w:r>
          </w:p>
          <w:p w:rsidR="006644AF" w:rsidRPr="004D64F7" w:rsidRDefault="006644AF" w:rsidP="003A23E2">
            <w:pPr>
              <w:spacing w:after="0" w:line="240" w:lineRule="auto"/>
              <w:jc w:val="center"/>
              <w:rPr>
                <w:rFonts w:eastAsia="Times New Roman" w:cs="Times New Roman"/>
                <w:sz w:val="22"/>
                <w:lang w:eastAsia="tr-TR"/>
              </w:rPr>
            </w:pPr>
          </w:p>
          <w:p w:rsidR="006644AF" w:rsidRPr="004D64F7" w:rsidRDefault="006644AF" w:rsidP="003A23E2">
            <w:pPr>
              <w:spacing w:after="0" w:line="240" w:lineRule="auto"/>
              <w:rPr>
                <w:rFonts w:eastAsia="Times New Roman" w:cs="Times New Roman"/>
                <w:sz w:val="18"/>
                <w:szCs w:val="18"/>
                <w:lang w:eastAsia="tr-TR"/>
              </w:rPr>
            </w:pPr>
            <m:oMathPara>
              <m:oMath>
                <m:f>
                  <m:fPr>
                    <m:ctrlPr>
                      <w:rPr>
                        <w:rFonts w:ascii="Cambria Math" w:eastAsia="Calibri" w:hAnsi="Cambria Math" w:cs="Times New Roman"/>
                        <w:i/>
                        <w:sz w:val="18"/>
                        <w:szCs w:val="18"/>
                      </w:rPr>
                    </m:ctrlPr>
                  </m:fPr>
                  <m:num>
                    <m:nary>
                      <m:naryPr>
                        <m:limLoc m:val="subSup"/>
                        <m:ctrlPr>
                          <w:rPr>
                            <w:rFonts w:ascii="Cambria Math" w:eastAsia="Calibri" w:hAnsi="Cambria Math" w:cs="Times New Roman"/>
                            <w:i/>
                            <w:sz w:val="18"/>
                            <w:szCs w:val="18"/>
                          </w:rPr>
                        </m:ctrlPr>
                      </m:naryPr>
                      <m:sub>
                        <m:r>
                          <w:rPr>
                            <w:rFonts w:ascii="Cambria Math" w:eastAsia="Times New Roman" w:hAnsi="Cambria Math" w:cs="Times New Roman"/>
                            <w:sz w:val="18"/>
                            <w:szCs w:val="18"/>
                            <w:lang w:eastAsia="tr-TR"/>
                          </w:rPr>
                          <m:t>extraction</m:t>
                        </m:r>
                      </m:sub>
                      <m:sup/>
                      <m:e>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c</m:t>
                            </m:r>
                          </m:e>
                          <m:sub>
                            <m:r>
                              <w:rPr>
                                <w:rFonts w:ascii="Cambria Math" w:eastAsia="Times New Roman" w:hAnsi="Cambria Math" w:cs="Times New Roman"/>
                                <w:sz w:val="18"/>
                                <w:szCs w:val="18"/>
                                <w:lang w:eastAsia="tr-TR"/>
                              </w:rPr>
                              <m:t>extracted</m:t>
                            </m:r>
                          </m:sub>
                        </m:sSub>
                      </m:e>
                    </m:nary>
                    <m:r>
                      <w:rPr>
                        <w:rFonts w:ascii="Cambria Math" w:eastAsia="Times New Roman" w:hAnsi="Cambria Math" w:cs="Times New Roman"/>
                        <w:sz w:val="18"/>
                        <w:szCs w:val="18"/>
                        <w:lang w:eastAsia="tr-TR"/>
                      </w:rPr>
                      <m:t>.</m:t>
                    </m:r>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m</m:t>
                        </m:r>
                      </m:e>
                      <m:sub>
                        <m:r>
                          <w:rPr>
                            <w:rFonts w:ascii="Cambria Math" w:eastAsia="Times New Roman" w:hAnsi="Cambria Math" w:cs="Times New Roman"/>
                            <w:sz w:val="18"/>
                            <w:szCs w:val="18"/>
                            <w:lang w:eastAsia="tr-TR"/>
                          </w:rPr>
                          <m:t>extracted</m:t>
                        </m:r>
                      </m:sub>
                    </m:sSub>
                    <m:r>
                      <w:rPr>
                        <w:rFonts w:ascii="Cambria Math" w:eastAsia="Times New Roman" w:hAnsi="Cambria Math" w:cs="Times New Roman"/>
                        <w:sz w:val="18"/>
                        <w:szCs w:val="18"/>
                        <w:lang w:eastAsia="tr-TR"/>
                      </w:rPr>
                      <m:t>.</m:t>
                    </m:r>
                    <m:d>
                      <m:dPr>
                        <m:ctrlPr>
                          <w:rPr>
                            <w:rFonts w:ascii="Cambria Math" w:eastAsia="Times New Roman" w:hAnsi="Cambria Math" w:cs="Times New Roman"/>
                            <w:i/>
                            <w:sz w:val="18"/>
                            <w:szCs w:val="18"/>
                            <w:lang w:eastAsia="tr-TR"/>
                          </w:rPr>
                        </m:ctrlPr>
                      </m:dPr>
                      <m:e>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T</m:t>
                            </m:r>
                          </m:e>
                          <m:sub>
                            <m:r>
                              <w:rPr>
                                <w:rFonts w:ascii="Cambria Math" w:eastAsia="Times New Roman" w:hAnsi="Cambria Math" w:cs="Times New Roman"/>
                                <w:sz w:val="18"/>
                                <w:szCs w:val="18"/>
                                <w:lang w:eastAsia="tr-TR"/>
                              </w:rPr>
                              <m:t>extracted</m:t>
                            </m:r>
                          </m:sub>
                        </m:sSub>
                        <m:r>
                          <w:rPr>
                            <w:rFonts w:ascii="Cambria Math" w:eastAsia="Times New Roman" w:hAnsi="Cambria Math" w:cs="Times New Roman"/>
                            <w:sz w:val="18"/>
                            <w:szCs w:val="18"/>
                            <w:lang w:eastAsia="tr-TR"/>
                          </w:rPr>
                          <m:t>-</m:t>
                        </m:r>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T</m:t>
                            </m:r>
                          </m:e>
                          <m:sub>
                            <m:r>
                              <w:rPr>
                                <w:rFonts w:ascii="Cambria Math" w:eastAsia="Times New Roman" w:hAnsi="Cambria Math" w:cs="Times New Roman"/>
                                <w:sz w:val="18"/>
                                <w:szCs w:val="18"/>
                                <w:lang w:eastAsia="tr-TR"/>
                              </w:rPr>
                              <m:t>natural</m:t>
                            </m:r>
                          </m:sub>
                        </m:sSub>
                      </m:e>
                    </m:d>
                    <m:r>
                      <w:rPr>
                        <w:rFonts w:ascii="Cambria Math" w:eastAsia="Times New Roman" w:hAnsi="Cambria Math" w:cs="Times New Roman"/>
                        <w:sz w:val="18"/>
                        <w:szCs w:val="18"/>
                        <w:lang w:eastAsia="tr-TR"/>
                      </w:rPr>
                      <m:t>.dt</m:t>
                    </m:r>
                  </m:num>
                  <m:den>
                    <m:nary>
                      <m:naryPr>
                        <m:limLoc m:val="subSup"/>
                        <m:ctrlPr>
                          <w:rPr>
                            <w:rFonts w:ascii="Cambria Math" w:eastAsia="Calibri" w:hAnsi="Cambria Math" w:cs="Times New Roman"/>
                            <w:i/>
                            <w:sz w:val="18"/>
                            <w:szCs w:val="18"/>
                          </w:rPr>
                        </m:ctrlPr>
                      </m:naryPr>
                      <m:sub>
                        <m:r>
                          <w:rPr>
                            <w:rFonts w:ascii="Cambria Math" w:eastAsia="Times New Roman" w:hAnsi="Cambria Math" w:cs="Times New Roman"/>
                            <w:sz w:val="18"/>
                            <w:szCs w:val="18"/>
                            <w:lang w:eastAsia="tr-TR"/>
                          </w:rPr>
                          <m:t>injection</m:t>
                        </m:r>
                      </m:sub>
                      <m:sup/>
                      <m:e>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c</m:t>
                            </m:r>
                          </m:e>
                          <m:sub>
                            <m:r>
                              <w:rPr>
                                <w:rFonts w:ascii="Cambria Math" w:eastAsia="Times New Roman" w:hAnsi="Cambria Math" w:cs="Times New Roman"/>
                                <w:sz w:val="18"/>
                                <w:szCs w:val="18"/>
                                <w:lang w:eastAsia="tr-TR"/>
                              </w:rPr>
                              <m:t>injected</m:t>
                            </m:r>
                          </m:sub>
                        </m:sSub>
                      </m:e>
                    </m:nary>
                    <m:r>
                      <w:rPr>
                        <w:rFonts w:ascii="Cambria Math" w:eastAsia="Times New Roman" w:hAnsi="Cambria Math" w:cs="Times New Roman"/>
                        <w:sz w:val="18"/>
                        <w:szCs w:val="18"/>
                        <w:lang w:eastAsia="tr-TR"/>
                      </w:rPr>
                      <m:t>.</m:t>
                    </m:r>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m</m:t>
                        </m:r>
                      </m:e>
                      <m:sub>
                        <m:r>
                          <w:rPr>
                            <w:rFonts w:ascii="Cambria Math" w:eastAsia="Times New Roman" w:hAnsi="Cambria Math" w:cs="Times New Roman"/>
                            <w:sz w:val="18"/>
                            <w:szCs w:val="18"/>
                            <w:lang w:eastAsia="tr-TR"/>
                          </w:rPr>
                          <m:t>injected</m:t>
                        </m:r>
                      </m:sub>
                    </m:sSub>
                    <m:r>
                      <w:rPr>
                        <w:rFonts w:ascii="Cambria Math" w:eastAsia="Times New Roman" w:hAnsi="Cambria Math" w:cs="Times New Roman"/>
                        <w:sz w:val="18"/>
                        <w:szCs w:val="18"/>
                        <w:lang w:eastAsia="tr-TR"/>
                      </w:rPr>
                      <m:t>.</m:t>
                    </m:r>
                    <m:d>
                      <m:dPr>
                        <m:ctrlPr>
                          <w:rPr>
                            <w:rFonts w:ascii="Cambria Math" w:eastAsia="Times New Roman" w:hAnsi="Cambria Math" w:cs="Times New Roman"/>
                            <w:i/>
                            <w:sz w:val="18"/>
                            <w:szCs w:val="18"/>
                            <w:lang w:eastAsia="tr-TR"/>
                          </w:rPr>
                        </m:ctrlPr>
                      </m:dPr>
                      <m:e>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T</m:t>
                            </m:r>
                          </m:e>
                          <m:sub>
                            <m:r>
                              <w:rPr>
                                <w:rFonts w:ascii="Cambria Math" w:eastAsia="Times New Roman" w:hAnsi="Cambria Math" w:cs="Times New Roman"/>
                                <w:sz w:val="18"/>
                                <w:szCs w:val="18"/>
                                <w:lang w:eastAsia="tr-TR"/>
                              </w:rPr>
                              <m:t>injected</m:t>
                            </m:r>
                          </m:sub>
                        </m:sSub>
                        <m:r>
                          <w:rPr>
                            <w:rFonts w:ascii="Cambria Math" w:eastAsia="Times New Roman" w:hAnsi="Cambria Math" w:cs="Times New Roman"/>
                            <w:sz w:val="18"/>
                            <w:szCs w:val="18"/>
                            <w:lang w:eastAsia="tr-TR"/>
                          </w:rPr>
                          <m:t>-</m:t>
                        </m:r>
                        <m:sSub>
                          <m:sSubPr>
                            <m:ctrlPr>
                              <w:rPr>
                                <w:rFonts w:ascii="Cambria Math" w:eastAsia="Calibri" w:hAnsi="Cambria Math" w:cs="Times New Roman"/>
                                <w:i/>
                                <w:sz w:val="18"/>
                                <w:szCs w:val="18"/>
                              </w:rPr>
                            </m:ctrlPr>
                          </m:sSubPr>
                          <m:e>
                            <m:r>
                              <w:rPr>
                                <w:rFonts w:ascii="Cambria Math" w:eastAsia="Times New Roman" w:hAnsi="Cambria Math" w:cs="Times New Roman"/>
                                <w:sz w:val="18"/>
                                <w:szCs w:val="18"/>
                                <w:lang w:eastAsia="tr-TR"/>
                              </w:rPr>
                              <m:t>T</m:t>
                            </m:r>
                          </m:e>
                          <m:sub>
                            <m:r>
                              <w:rPr>
                                <w:rFonts w:ascii="Cambria Math" w:eastAsia="Times New Roman" w:hAnsi="Cambria Math" w:cs="Times New Roman"/>
                                <w:sz w:val="18"/>
                                <w:szCs w:val="18"/>
                                <w:lang w:eastAsia="tr-TR"/>
                              </w:rPr>
                              <m:t>natural</m:t>
                            </m:r>
                          </m:sub>
                        </m:sSub>
                      </m:e>
                    </m:d>
                    <m:r>
                      <w:rPr>
                        <w:rFonts w:ascii="Cambria Math" w:eastAsia="Times New Roman" w:hAnsi="Cambria Math" w:cs="Times New Roman"/>
                        <w:sz w:val="18"/>
                        <w:szCs w:val="18"/>
                        <w:lang w:eastAsia="tr-TR"/>
                      </w:rPr>
                      <m:t>.dt</m:t>
                    </m:r>
                  </m:den>
                </m:f>
              </m:oMath>
            </m:oMathPara>
          </w:p>
          <w:p w:rsidR="006644AF" w:rsidRPr="004D64F7" w:rsidRDefault="006644AF" w:rsidP="003A23E2">
            <w:pPr>
              <w:spacing w:after="0" w:line="240" w:lineRule="auto"/>
              <w:rPr>
                <w:rFonts w:eastAsia="Times New Roman" w:cs="Times New Roman"/>
                <w:sz w:val="20"/>
                <w:szCs w:val="20"/>
                <w:lang w:eastAsia="tr-TR"/>
              </w:rPr>
            </w:pPr>
          </w:p>
          <w:p w:rsidR="006644AF" w:rsidRPr="004D64F7" w:rsidRDefault="006644AF" w:rsidP="003A23E2">
            <w:pPr>
              <w:spacing w:after="0" w:line="240" w:lineRule="auto"/>
              <w:jc w:val="center"/>
              <w:rPr>
                <w:rFonts w:eastAsia="Times New Roman" w:cs="Times New Roman"/>
                <w:sz w:val="22"/>
                <w:lang w:eastAsia="tr-TR"/>
              </w:rPr>
            </w:pPr>
          </w:p>
        </w:tc>
        <w:tc>
          <w:tcPr>
            <w:tcW w:w="1189" w:type="dxa"/>
            <w:shd w:val="clear" w:color="auto" w:fill="auto"/>
          </w:tcPr>
          <w:p w:rsidR="006644AF" w:rsidRPr="004D64F7" w:rsidRDefault="006644AF" w:rsidP="003A23E2">
            <w:pPr>
              <w:spacing w:after="0" w:line="240" w:lineRule="auto"/>
              <w:jc w:val="center"/>
              <w:rPr>
                <w:rFonts w:eastAsia="Times New Roman" w:cs="Times New Roman"/>
                <w:sz w:val="22"/>
                <w:highlight w:val="green"/>
                <w:lang w:eastAsia="tr-TR"/>
              </w:rPr>
            </w:pPr>
          </w:p>
          <w:p w:rsidR="006644AF" w:rsidRPr="004D64F7" w:rsidRDefault="006644AF" w:rsidP="003A23E2">
            <w:pPr>
              <w:spacing w:after="0" w:line="240" w:lineRule="auto"/>
              <w:jc w:val="center"/>
              <w:rPr>
                <w:rFonts w:eastAsia="Times New Roman" w:cs="Times New Roman"/>
                <w:sz w:val="22"/>
                <w:highlight w:val="green"/>
                <w:lang w:eastAsia="tr-TR"/>
              </w:rPr>
            </w:pPr>
          </w:p>
          <w:p w:rsidR="006644AF" w:rsidRPr="004D64F7" w:rsidRDefault="006644AF" w:rsidP="003A23E2">
            <w:pPr>
              <w:spacing w:after="0" w:line="240" w:lineRule="auto"/>
              <w:jc w:val="center"/>
              <w:rPr>
                <w:rFonts w:eastAsia="Times New Roman" w:cs="Times New Roman"/>
                <w:sz w:val="22"/>
                <w:highlight w:val="green"/>
                <w:lang w:eastAsia="tr-TR"/>
              </w:rPr>
            </w:pPr>
          </w:p>
          <w:p w:rsidR="006644AF" w:rsidRPr="004D64F7" w:rsidRDefault="006644AF" w:rsidP="003A23E2">
            <w:pPr>
              <w:spacing w:after="0" w:line="240" w:lineRule="auto"/>
              <w:jc w:val="center"/>
              <w:rPr>
                <w:rFonts w:eastAsia="Times New Roman" w:cs="Times New Roman"/>
                <w:sz w:val="22"/>
                <w:highlight w:val="green"/>
                <w:lang w:eastAsia="tr-TR"/>
              </w:rPr>
            </w:pPr>
          </w:p>
          <w:p w:rsidR="006644AF" w:rsidRPr="004D64F7" w:rsidRDefault="006644AF" w:rsidP="003A23E2">
            <w:pPr>
              <w:spacing w:after="0" w:line="240" w:lineRule="auto"/>
              <w:jc w:val="center"/>
              <w:rPr>
                <w:rFonts w:eastAsia="Times New Roman" w:cs="Times New Roman"/>
                <w:sz w:val="22"/>
                <w:highlight w:val="green"/>
                <w:lang w:eastAsia="tr-TR"/>
              </w:rPr>
            </w:pPr>
            <w:r w:rsidRPr="004D64F7">
              <w:rPr>
                <w:rFonts w:eastAsia="Times New Roman" w:cs="Times New Roman"/>
                <w:sz w:val="22"/>
                <w:lang w:eastAsia="tr-TR"/>
              </w:rPr>
              <w:t>[14, 24-26,</w:t>
            </w:r>
            <w:r w:rsidRPr="004D64F7">
              <w:rPr>
                <w:rFonts w:eastAsia="Times New Roman" w:cs="Times New Roman"/>
                <w:sz w:val="22"/>
                <w:highlight w:val="green"/>
                <w:lang w:eastAsia="tr-TR"/>
              </w:rPr>
              <w:t xml:space="preserve"> </w:t>
            </w:r>
            <w:r w:rsidRPr="004D64F7">
              <w:rPr>
                <w:rFonts w:eastAsia="Times New Roman" w:cs="Times New Roman"/>
                <w:sz w:val="22"/>
                <w:lang w:eastAsia="tr-TR"/>
              </w:rPr>
              <w:t xml:space="preserve">30-32] </w:t>
            </w:r>
          </w:p>
          <w:p w:rsidR="006644AF" w:rsidRPr="004D64F7" w:rsidRDefault="006644AF" w:rsidP="003A23E2">
            <w:pPr>
              <w:spacing w:after="0" w:line="240" w:lineRule="auto"/>
              <w:jc w:val="center"/>
              <w:rPr>
                <w:rFonts w:eastAsia="Times New Roman" w:cs="Times New Roman"/>
                <w:sz w:val="22"/>
                <w:highlight w:val="green"/>
                <w:lang w:eastAsia="tr-TR"/>
              </w:rPr>
            </w:pPr>
          </w:p>
        </w:tc>
      </w:tr>
      <w:tr w:rsidR="006644AF" w:rsidRPr="004D64F7" w:rsidTr="003A23E2">
        <w:trPr>
          <w:jc w:val="center"/>
        </w:trPr>
        <w:tc>
          <w:tcPr>
            <w:tcW w:w="1353"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Exergy efficiency </w:t>
            </w:r>
          </w:p>
          <w:p w:rsidR="006644AF" w:rsidRPr="004D64F7" w:rsidRDefault="006644AF" w:rsidP="003A23E2">
            <w:pPr>
              <w:spacing w:after="0" w:line="240" w:lineRule="auto"/>
              <w:jc w:val="center"/>
              <w:rPr>
                <w:rFonts w:eastAsia="Times New Roman" w:cs="Times New Roman"/>
                <w:sz w:val="22"/>
                <w:lang w:eastAsia="tr-TR"/>
              </w:rPr>
            </w:pPr>
          </w:p>
        </w:tc>
        <w:tc>
          <w:tcPr>
            <w:tcW w:w="191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The ratio between exergy that is extracted from the subsurface and that is stored within the subsurface. </w:t>
            </w:r>
          </w:p>
          <w:p w:rsidR="006644AF" w:rsidRPr="004D64F7" w:rsidRDefault="006644AF" w:rsidP="003A23E2">
            <w:pPr>
              <w:spacing w:after="0" w:line="240" w:lineRule="auto"/>
              <w:jc w:val="center"/>
              <w:rPr>
                <w:rFonts w:eastAsia="Times New Roman" w:cs="Times New Roman"/>
                <w:sz w:val="22"/>
                <w:lang w:eastAsia="tr-TR"/>
              </w:rPr>
            </w:pPr>
          </w:p>
        </w:tc>
        <w:tc>
          <w:tcPr>
            <w:tcW w:w="4348" w:type="dxa"/>
            <w:shd w:val="clear" w:color="auto" w:fill="auto"/>
          </w:tcPr>
          <w:p w:rsidR="006644AF" w:rsidRPr="004D64F7" w:rsidRDefault="006644AF" w:rsidP="003A23E2">
            <w:pPr>
              <w:spacing w:after="0" w:line="240" w:lineRule="auto"/>
              <w:rPr>
                <w:rFonts w:eastAsia="Times New Roman" w:cs="Times New Roman"/>
                <w:sz w:val="22"/>
                <w:lang w:eastAsia="tr-TR"/>
              </w:rPr>
            </w:pPr>
          </w:p>
          <w:p w:rsidR="006644AF" w:rsidRPr="004D64F7" w:rsidRDefault="006644AF" w:rsidP="003A23E2">
            <w:pPr>
              <w:spacing w:after="0" w:line="240" w:lineRule="auto"/>
              <w:jc w:val="center"/>
              <w:rPr>
                <w:rFonts w:eastAsia="Times New Roman" w:cs="Times New Roman"/>
                <w:szCs w:val="24"/>
                <w:lang w:eastAsia="tr-TR"/>
              </w:rPr>
            </w:pPr>
          </w:p>
          <w:p w:rsidR="006644AF" w:rsidRPr="004D64F7" w:rsidRDefault="006644AF" w:rsidP="003A23E2">
            <w:pPr>
              <w:spacing w:after="0" w:line="240" w:lineRule="auto"/>
              <w:jc w:val="center"/>
              <w:rPr>
                <w:rFonts w:eastAsia="Times New Roman" w:cs="Times New Roman"/>
                <w:sz w:val="22"/>
                <w:lang w:eastAsia="tr-TR"/>
              </w:rPr>
            </w:pPr>
            <m:oMathPara>
              <m:oMath>
                <m:r>
                  <w:rPr>
                    <w:rFonts w:ascii="Cambria Math" w:eastAsia="Times New Roman" w:hAnsi="Cambria Math" w:cs="Times New Roman"/>
                    <w:szCs w:val="24"/>
                    <w:lang w:eastAsia="tr-TR"/>
                  </w:rPr>
                  <m:t>ϵ=</m:t>
                </m:r>
                <m:f>
                  <m:fPr>
                    <m:ctrlPr>
                      <w:rPr>
                        <w:rFonts w:ascii="Cambria Math" w:eastAsia="Calibri" w:hAnsi="Cambria Math" w:cs="Times New Roman"/>
                        <w:i/>
                        <w:sz w:val="22"/>
                      </w:rPr>
                    </m:ctrlPr>
                  </m:fPr>
                  <m:num>
                    <m:r>
                      <w:rPr>
                        <w:rFonts w:ascii="Cambria Math" w:eastAsia="Times New Roman" w:hAnsi="Cambria Math" w:cs="Times New Roman"/>
                        <w:szCs w:val="24"/>
                        <w:lang w:eastAsia="tr-TR"/>
                      </w:rPr>
                      <m:t>E</m:t>
                    </m:r>
                    <m:sSub>
                      <m:sSubPr>
                        <m:ctrlPr>
                          <w:rPr>
                            <w:rFonts w:ascii="Cambria Math" w:eastAsia="Calibri" w:hAnsi="Cambria Math" w:cs="Times New Roman"/>
                            <w:i/>
                            <w:sz w:val="22"/>
                          </w:rPr>
                        </m:ctrlPr>
                      </m:sSubPr>
                      <m:e>
                        <m:r>
                          <w:rPr>
                            <w:rFonts w:ascii="Cambria Math" w:eastAsia="Times New Roman" w:hAnsi="Cambria Math" w:cs="Times New Roman"/>
                            <w:szCs w:val="24"/>
                            <w:lang w:eastAsia="tr-TR"/>
                          </w:rPr>
                          <m:t>x</m:t>
                        </m:r>
                      </m:e>
                      <m:sub>
                        <m:r>
                          <w:rPr>
                            <w:rFonts w:ascii="Cambria Math" w:eastAsia="Times New Roman" w:hAnsi="Cambria Math" w:cs="Times New Roman"/>
                            <w:szCs w:val="24"/>
                            <w:lang w:eastAsia="tr-TR"/>
                          </w:rPr>
                          <m:t>extracted</m:t>
                        </m:r>
                      </m:sub>
                    </m:sSub>
                  </m:num>
                  <m:den>
                    <m:r>
                      <w:rPr>
                        <w:rFonts w:ascii="Cambria Math" w:eastAsia="Times New Roman" w:hAnsi="Cambria Math" w:cs="Times New Roman"/>
                        <w:szCs w:val="24"/>
                        <w:lang w:eastAsia="tr-TR"/>
                      </w:rPr>
                      <m:t>E</m:t>
                    </m:r>
                    <m:sSub>
                      <m:sSubPr>
                        <m:ctrlPr>
                          <w:rPr>
                            <w:rFonts w:ascii="Cambria Math" w:eastAsia="Calibri" w:hAnsi="Cambria Math" w:cs="Times New Roman"/>
                            <w:i/>
                            <w:sz w:val="22"/>
                          </w:rPr>
                        </m:ctrlPr>
                      </m:sSubPr>
                      <m:e>
                        <m:r>
                          <w:rPr>
                            <w:rFonts w:ascii="Cambria Math" w:eastAsia="Times New Roman" w:hAnsi="Cambria Math" w:cs="Times New Roman"/>
                            <w:szCs w:val="24"/>
                            <w:lang w:eastAsia="tr-TR"/>
                          </w:rPr>
                          <m:t>x</m:t>
                        </m:r>
                      </m:e>
                      <m:sub>
                        <m:r>
                          <w:rPr>
                            <w:rFonts w:ascii="Cambria Math" w:eastAsia="Times New Roman" w:hAnsi="Cambria Math" w:cs="Times New Roman"/>
                            <w:szCs w:val="24"/>
                            <w:lang w:eastAsia="tr-TR"/>
                          </w:rPr>
                          <m:t>injected</m:t>
                        </m:r>
                      </m:sub>
                    </m:sSub>
                  </m:den>
                </m:f>
              </m:oMath>
            </m:oMathPara>
          </w:p>
        </w:tc>
        <w:tc>
          <w:tcPr>
            <w:tcW w:w="118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[26, 32] </w:t>
            </w:r>
          </w:p>
          <w:p w:rsidR="006644AF" w:rsidRPr="004D64F7" w:rsidRDefault="006644AF" w:rsidP="003A23E2">
            <w:pPr>
              <w:spacing w:after="0" w:line="240" w:lineRule="auto"/>
              <w:jc w:val="center"/>
              <w:rPr>
                <w:rFonts w:eastAsia="Times New Roman" w:cs="Times New Roman"/>
                <w:sz w:val="22"/>
                <w:lang w:eastAsia="tr-TR"/>
              </w:rPr>
            </w:pPr>
          </w:p>
        </w:tc>
      </w:tr>
      <w:tr w:rsidR="006644AF" w:rsidRPr="004D64F7" w:rsidTr="003A23E2">
        <w:trPr>
          <w:jc w:val="center"/>
        </w:trPr>
        <w:tc>
          <w:tcPr>
            <w:tcW w:w="1353"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Energy balance ratio </w:t>
            </w:r>
          </w:p>
        </w:tc>
        <w:tc>
          <w:tcPr>
            <w:tcW w:w="191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 w:val="22"/>
                <w:lang w:eastAsia="tr-TR"/>
              </w:rPr>
              <w:t xml:space="preserve">The ratio of the difference between the energy that are extracted in cooling and heating mode to the total extracted energy over a certain period of time. </w:t>
            </w:r>
          </w:p>
          <w:p w:rsidR="006644AF" w:rsidRPr="004D64F7" w:rsidRDefault="006644AF" w:rsidP="003A23E2">
            <w:pPr>
              <w:autoSpaceDE w:val="0"/>
              <w:autoSpaceDN w:val="0"/>
              <w:adjustRightInd w:val="0"/>
              <w:spacing w:after="0" w:line="240" w:lineRule="auto"/>
              <w:rPr>
                <w:rFonts w:eastAsia="Times New Roman" w:cs="Times New Roman"/>
                <w:sz w:val="22"/>
                <w:lang w:eastAsia="tr-TR"/>
              </w:rPr>
            </w:pPr>
          </w:p>
        </w:tc>
        <w:tc>
          <w:tcPr>
            <w:tcW w:w="4348" w:type="dxa"/>
            <w:shd w:val="clear" w:color="auto" w:fill="auto"/>
          </w:tcPr>
          <w:p w:rsidR="006644AF" w:rsidRPr="004D64F7" w:rsidRDefault="006644AF" w:rsidP="003A23E2">
            <w:pPr>
              <w:spacing w:after="0" w:line="240" w:lineRule="auto"/>
              <w:jc w:val="center"/>
              <w:rPr>
                <w:rFonts w:eastAsia="Times New Roman" w:cs="Times New Roman"/>
                <w:szCs w:val="24"/>
                <w:lang w:eastAsia="tr-TR"/>
              </w:rPr>
            </w:pPr>
          </w:p>
          <w:p w:rsidR="006644AF" w:rsidRPr="004D64F7" w:rsidRDefault="006644AF" w:rsidP="003A23E2">
            <w:pPr>
              <w:spacing w:after="0" w:line="240" w:lineRule="auto"/>
              <w:jc w:val="center"/>
              <w:rPr>
                <w:rFonts w:eastAsia="Times New Roman" w:cs="Times New Roman"/>
                <w:szCs w:val="24"/>
                <w:lang w:eastAsia="tr-TR"/>
              </w:rPr>
            </w:pPr>
          </w:p>
          <w:p w:rsidR="006644AF" w:rsidRPr="004D64F7" w:rsidRDefault="006644AF" w:rsidP="003A23E2">
            <w:pPr>
              <w:spacing w:after="0" w:line="240" w:lineRule="auto"/>
              <w:jc w:val="center"/>
              <w:rPr>
                <w:rFonts w:eastAsia="Times New Roman" w:cs="Times New Roman"/>
                <w:sz w:val="22"/>
                <w:lang w:eastAsia="tr-TR"/>
              </w:rPr>
            </w:pPr>
          </w:p>
          <w:p w:rsidR="006644AF" w:rsidRPr="004D64F7" w:rsidRDefault="006644AF" w:rsidP="003A23E2">
            <w:pPr>
              <w:spacing w:after="0" w:line="240" w:lineRule="auto"/>
              <w:jc w:val="center"/>
              <w:rPr>
                <w:rFonts w:eastAsia="Times New Roman" w:cs="Times New Roman"/>
                <w:szCs w:val="24"/>
                <w:lang w:eastAsia="tr-TR"/>
              </w:rPr>
            </w:pPr>
            <m:oMathPara>
              <m:oMath>
                <m:r>
                  <w:rPr>
                    <w:rFonts w:ascii="Cambria Math" w:eastAsia="Times New Roman" w:hAnsi="Cambria Math" w:cs="Times New Roman"/>
                    <w:szCs w:val="24"/>
                    <w:lang w:eastAsia="tr-TR"/>
                  </w:rPr>
                  <m:t>Ψ=</m:t>
                </m:r>
                <m:f>
                  <m:fPr>
                    <m:ctrlPr>
                      <w:rPr>
                        <w:rFonts w:ascii="Cambria Math" w:eastAsia="Calibri" w:hAnsi="Cambria Math" w:cs="Times New Roman"/>
                        <w:i/>
                        <w:sz w:val="22"/>
                      </w:rPr>
                    </m:ctrlPr>
                  </m:fPr>
                  <m:num>
                    <m:sSubSup>
                      <m:sSubSupPr>
                        <m:ctrlPr>
                          <w:rPr>
                            <w:rFonts w:ascii="Cambria Math" w:eastAsia="Calibri" w:hAnsi="Cambria Math" w:cs="Times New Roman"/>
                            <w:i/>
                            <w:sz w:val="22"/>
                          </w:rPr>
                        </m:ctrlPr>
                      </m:sSubSup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cooling</m:t>
                        </m:r>
                      </m:sub>
                      <m:sup>
                        <m:r>
                          <w:rPr>
                            <w:rFonts w:ascii="Cambria Math" w:eastAsia="Times New Roman" w:hAnsi="Cambria Math" w:cs="Times New Roman"/>
                            <w:szCs w:val="24"/>
                            <w:lang w:eastAsia="tr-TR"/>
                          </w:rPr>
                          <m:t>extracted</m:t>
                        </m:r>
                      </m:sup>
                    </m:sSubSup>
                    <m:r>
                      <w:rPr>
                        <w:rFonts w:ascii="Cambria Math" w:eastAsia="Times New Roman" w:hAnsi="Cambria Math" w:cs="Times New Roman"/>
                        <w:szCs w:val="24"/>
                        <w:lang w:eastAsia="tr-TR"/>
                      </w:rPr>
                      <m:t>-</m:t>
                    </m:r>
                    <m:sSubSup>
                      <m:sSubSupPr>
                        <m:ctrlPr>
                          <w:rPr>
                            <w:rFonts w:ascii="Cambria Math" w:eastAsia="Calibri" w:hAnsi="Cambria Math" w:cs="Times New Roman"/>
                            <w:i/>
                            <w:sz w:val="22"/>
                          </w:rPr>
                        </m:ctrlPr>
                      </m:sSubSup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heating</m:t>
                        </m:r>
                      </m:sub>
                      <m:sup>
                        <m:r>
                          <w:rPr>
                            <w:rFonts w:ascii="Cambria Math" w:eastAsia="Times New Roman" w:hAnsi="Cambria Math" w:cs="Times New Roman"/>
                            <w:szCs w:val="24"/>
                            <w:lang w:eastAsia="tr-TR"/>
                          </w:rPr>
                          <m:t>extracted</m:t>
                        </m:r>
                      </m:sup>
                    </m:sSubSup>
                  </m:num>
                  <m:den>
                    <m:sSubSup>
                      <m:sSubSupPr>
                        <m:ctrlPr>
                          <w:rPr>
                            <w:rFonts w:ascii="Cambria Math" w:eastAsia="Calibri" w:hAnsi="Cambria Math" w:cs="Times New Roman"/>
                            <w:i/>
                            <w:sz w:val="22"/>
                          </w:rPr>
                        </m:ctrlPr>
                      </m:sSubSup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cooling</m:t>
                        </m:r>
                      </m:sub>
                      <m:sup>
                        <m:r>
                          <w:rPr>
                            <w:rFonts w:ascii="Cambria Math" w:eastAsia="Times New Roman" w:hAnsi="Cambria Math" w:cs="Times New Roman"/>
                            <w:szCs w:val="24"/>
                            <w:lang w:eastAsia="tr-TR"/>
                          </w:rPr>
                          <m:t>extracted</m:t>
                        </m:r>
                      </m:sup>
                    </m:sSubSup>
                    <m:r>
                      <w:rPr>
                        <w:rFonts w:ascii="Cambria Math" w:eastAsia="Times New Roman" w:hAnsi="Cambria Math" w:cs="Times New Roman"/>
                        <w:szCs w:val="24"/>
                        <w:lang w:eastAsia="tr-TR"/>
                      </w:rPr>
                      <m:t>+</m:t>
                    </m:r>
                    <m:sSubSup>
                      <m:sSubSupPr>
                        <m:ctrlPr>
                          <w:rPr>
                            <w:rFonts w:ascii="Cambria Math" w:eastAsia="Calibri" w:hAnsi="Cambria Math" w:cs="Times New Roman"/>
                            <w:i/>
                            <w:sz w:val="22"/>
                          </w:rPr>
                        </m:ctrlPr>
                      </m:sSubSupPr>
                      <m:e>
                        <m:r>
                          <w:rPr>
                            <w:rFonts w:ascii="Cambria Math" w:eastAsia="Times New Roman" w:hAnsi="Cambria Math" w:cs="Times New Roman"/>
                            <w:szCs w:val="24"/>
                            <w:lang w:eastAsia="tr-TR"/>
                          </w:rPr>
                          <m:t>E</m:t>
                        </m:r>
                      </m:e>
                      <m:sub>
                        <m:r>
                          <w:rPr>
                            <w:rFonts w:ascii="Cambria Math" w:eastAsia="Times New Roman" w:hAnsi="Cambria Math" w:cs="Times New Roman"/>
                            <w:szCs w:val="24"/>
                            <w:lang w:eastAsia="tr-TR"/>
                          </w:rPr>
                          <m:t>heating</m:t>
                        </m:r>
                      </m:sub>
                      <m:sup>
                        <m:r>
                          <w:rPr>
                            <w:rFonts w:ascii="Cambria Math" w:eastAsia="Times New Roman" w:hAnsi="Cambria Math" w:cs="Times New Roman"/>
                            <w:szCs w:val="24"/>
                            <w:lang w:eastAsia="tr-TR"/>
                          </w:rPr>
                          <m:t>extracted</m:t>
                        </m:r>
                      </m:sup>
                    </m:sSubSup>
                  </m:den>
                </m:f>
              </m:oMath>
            </m:oMathPara>
          </w:p>
          <w:p w:rsidR="006644AF" w:rsidRPr="004D64F7" w:rsidRDefault="006644AF" w:rsidP="003A23E2">
            <w:pPr>
              <w:spacing w:after="0" w:line="240" w:lineRule="auto"/>
              <w:jc w:val="center"/>
              <w:rPr>
                <w:rFonts w:eastAsia="Times New Roman" w:cs="Times New Roman"/>
                <w:sz w:val="22"/>
                <w:lang w:eastAsia="tr-TR"/>
              </w:rPr>
            </w:pPr>
          </w:p>
        </w:tc>
        <w:tc>
          <w:tcPr>
            <w:tcW w:w="1189" w:type="dxa"/>
            <w:shd w:val="clear" w:color="auto" w:fill="auto"/>
          </w:tcPr>
          <w:p w:rsidR="006644AF" w:rsidRPr="004D64F7" w:rsidRDefault="006644AF" w:rsidP="003A23E2">
            <w:pPr>
              <w:autoSpaceDE w:val="0"/>
              <w:autoSpaceDN w:val="0"/>
              <w:adjustRightInd w:val="0"/>
              <w:spacing w:after="0" w:line="240" w:lineRule="auto"/>
              <w:rPr>
                <w:rFonts w:eastAsia="Times New Roman" w:cs="Times New Roman"/>
                <w:sz w:val="22"/>
                <w:highlight w:val="green"/>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highlight w:val="green"/>
                <w:lang w:eastAsia="tr-TR"/>
              </w:rPr>
            </w:pPr>
          </w:p>
          <w:p w:rsidR="006644AF" w:rsidRPr="004D64F7" w:rsidRDefault="006644AF" w:rsidP="003A23E2">
            <w:pPr>
              <w:autoSpaceDE w:val="0"/>
              <w:autoSpaceDN w:val="0"/>
              <w:adjustRightInd w:val="0"/>
              <w:spacing w:after="0" w:line="240" w:lineRule="auto"/>
              <w:rPr>
                <w:rFonts w:eastAsia="Times New Roman" w:cs="Times New Roman"/>
                <w:sz w:val="22"/>
                <w:highlight w:val="green"/>
                <w:lang w:eastAsia="tr-TR"/>
              </w:rPr>
            </w:pPr>
            <w:r w:rsidRPr="004D64F7">
              <w:rPr>
                <w:rFonts w:eastAsia="Times New Roman" w:cs="Times New Roman"/>
                <w:sz w:val="22"/>
                <w:lang w:eastAsia="tr-TR"/>
              </w:rPr>
              <w:t xml:space="preserve">[25, 31] </w:t>
            </w:r>
          </w:p>
        </w:tc>
      </w:tr>
    </w:tbl>
    <w:p w:rsidR="006644AF" w:rsidRPr="004D64F7" w:rsidRDefault="006644AF" w:rsidP="006644AF">
      <w:pPr>
        <w:spacing w:after="0"/>
        <w:jc w:val="both"/>
        <w:rPr>
          <w:rFonts w:eastAsia="Calibri" w:cs="Times New Roman"/>
          <w:szCs w:val="24"/>
          <w:lang w:eastAsia="tr-TR"/>
        </w:rPr>
      </w:pPr>
    </w:p>
    <w:p w:rsidR="006644AF" w:rsidRDefault="006644AF" w:rsidP="006644AF">
      <w:pPr>
        <w:spacing w:after="0" w:line="240" w:lineRule="auto"/>
        <w:jc w:val="both"/>
        <w:rPr>
          <w:rFonts w:eastAsia="Times New Roman" w:cs="Times New Roman"/>
          <w:b/>
          <w:szCs w:val="24"/>
          <w:lang w:eastAsia="tr-TR"/>
        </w:rPr>
      </w:pPr>
    </w:p>
    <w:p w:rsidR="006644AF" w:rsidRPr="004D64F7" w:rsidRDefault="006644AF" w:rsidP="006644AF">
      <w:pPr>
        <w:spacing w:after="0" w:line="240" w:lineRule="auto"/>
        <w:jc w:val="both"/>
        <w:rPr>
          <w:rFonts w:eastAsia="Times New Roman" w:cs="Times New Roman"/>
          <w:b/>
          <w:szCs w:val="24"/>
          <w:lang w:eastAsia="tr-TR"/>
        </w:rPr>
      </w:pPr>
      <w:r>
        <w:rPr>
          <w:rFonts w:eastAsia="Times New Roman" w:cs="Times New Roman"/>
          <w:b/>
          <w:szCs w:val="24"/>
          <w:lang w:eastAsia="tr-TR"/>
        </w:rPr>
        <w:t xml:space="preserve">2. </w:t>
      </w:r>
      <w:r w:rsidRPr="004D64F7">
        <w:rPr>
          <w:rFonts w:eastAsia="Times New Roman" w:cs="Times New Roman"/>
          <w:b/>
          <w:szCs w:val="24"/>
          <w:lang w:eastAsia="tr-TR"/>
        </w:rPr>
        <w:t>THE APPLICATION POTENTIAL OF ATES TECHNIQUE IN MERSIN COASTAL AQUIFER</w:t>
      </w:r>
    </w:p>
    <w:p w:rsidR="006644AF" w:rsidRPr="004D64F7" w:rsidRDefault="006644AF" w:rsidP="006644AF">
      <w:pPr>
        <w:spacing w:after="0"/>
        <w:jc w:val="both"/>
        <w:rPr>
          <w:rFonts w:eastAsia="Calibri" w:cs="Times New Roman"/>
          <w:szCs w:val="24"/>
          <w:lang w:eastAsia="tr-TR"/>
        </w:rPr>
      </w:pPr>
    </w:p>
    <w:p w:rsidR="006644AF" w:rsidRPr="004D64F7" w:rsidRDefault="006644AF" w:rsidP="006644AF">
      <w:pPr>
        <w:autoSpaceDE w:val="0"/>
        <w:autoSpaceDN w:val="0"/>
        <w:adjustRightInd w:val="0"/>
        <w:spacing w:after="0"/>
        <w:ind w:firstLine="709"/>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In the region between Mersin and Tarsus cities, located along the Mediterranean Sea coast in southern Turkey, a hydrogeological study has been performed by Hatipoğlu et al. </w:t>
      </w:r>
      <w:r w:rsidRPr="004D64F7">
        <w:rPr>
          <w:rFonts w:eastAsia="Times New Roman" w:cs="Times New Roman"/>
          <w:color w:val="000000"/>
          <w:szCs w:val="24"/>
          <w:lang w:eastAsia="tr-TR"/>
        </w:rPr>
        <w:lastRenderedPageBreak/>
        <w:t xml:space="preserve">(2009) </w:t>
      </w:r>
      <w:r w:rsidRPr="004D64F7">
        <w:rPr>
          <w:rFonts w:eastAsia="Times New Roman" w:cs="Times New Roman"/>
          <w:sz w:val="22"/>
          <w:lang w:eastAsia="tr-TR"/>
        </w:rPr>
        <w:t>[34]</w:t>
      </w:r>
      <w:r w:rsidRPr="004D64F7">
        <w:rPr>
          <w:rFonts w:eastAsia="Times New Roman" w:cs="Times New Roman"/>
          <w:szCs w:val="24"/>
          <w:lang w:eastAsia="tr-TR"/>
        </w:rPr>
        <w:t xml:space="preserve"> to</w:t>
      </w:r>
      <w:r w:rsidRPr="004D64F7">
        <w:rPr>
          <w:rFonts w:eastAsia="Times New Roman" w:cs="Times New Roman"/>
          <w:color w:val="000000"/>
          <w:szCs w:val="24"/>
          <w:lang w:eastAsia="tr-TR"/>
        </w:rPr>
        <w:t xml:space="preserve"> characterize the existing groundwater system. For this purpose, hydrochemical and environmental isotopic </w:t>
      </w:r>
      <w:proofErr w:type="gramStart"/>
      <w:r w:rsidRPr="004D64F7">
        <w:rPr>
          <w:rFonts w:eastAsia="Times New Roman" w:cs="Times New Roman"/>
          <w:color w:val="000000"/>
          <w:szCs w:val="24"/>
          <w:lang w:eastAsia="tr-TR"/>
        </w:rPr>
        <w:t>data</w:t>
      </w:r>
      <w:proofErr w:type="gramEnd"/>
      <w:r w:rsidRPr="004D64F7">
        <w:rPr>
          <w:rFonts w:eastAsia="Times New Roman" w:cs="Times New Roman"/>
          <w:color w:val="000000"/>
          <w:szCs w:val="24"/>
          <w:lang w:eastAsia="tr-TR"/>
        </w:rPr>
        <w:t xml:space="preserve"> were integrated with available geological and hydrogeological</w:t>
      </w:r>
    </w:p>
    <w:p w:rsidR="006644AF" w:rsidRDefault="006644AF" w:rsidP="006644AF">
      <w:pPr>
        <w:autoSpaceDE w:val="0"/>
        <w:autoSpaceDN w:val="0"/>
        <w:adjustRightInd w:val="0"/>
        <w:spacing w:after="0"/>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information to develop a conceptual model of the system. In the study it is revealed that the aquifer system is supplied by the deep flow of karstic groundwater fed from the Taurus Mountains. </w:t>
      </w:r>
      <w:proofErr w:type="gramStart"/>
      <w:r w:rsidRPr="004D64F7">
        <w:rPr>
          <w:rFonts w:eastAsia="Times New Roman" w:cs="Times New Roman"/>
          <w:color w:val="000000"/>
          <w:szCs w:val="24"/>
          <w:lang w:eastAsia="tr-TR"/>
        </w:rPr>
        <w:t xml:space="preserve">In addition, it is concluded as a result of the numerical modeling of the study area that the direction of the groundwater flow is observed to be from the Taurus mountain to the sea level as illustrated in Figure 2. The calibrated model revealed the hydraulic conductivity as 45 m/day for coastal aquifer. </w:t>
      </w:r>
      <w:proofErr w:type="gramEnd"/>
    </w:p>
    <w:p w:rsidR="006644AF" w:rsidRPr="004D64F7" w:rsidRDefault="006644AF" w:rsidP="006644AF">
      <w:pPr>
        <w:autoSpaceDE w:val="0"/>
        <w:autoSpaceDN w:val="0"/>
        <w:adjustRightInd w:val="0"/>
        <w:spacing w:after="0"/>
        <w:jc w:val="both"/>
        <w:rPr>
          <w:rFonts w:eastAsia="Times New Roman" w:cs="Times New Roman"/>
          <w:color w:val="000000"/>
          <w:szCs w:val="24"/>
          <w:lang w:eastAsia="tr-TR"/>
        </w:rPr>
      </w:pPr>
    </w:p>
    <w:p w:rsidR="006644AF" w:rsidRPr="004D64F7" w:rsidRDefault="006644AF" w:rsidP="006644AF">
      <w:pPr>
        <w:autoSpaceDE w:val="0"/>
        <w:autoSpaceDN w:val="0"/>
        <w:adjustRightInd w:val="0"/>
        <w:spacing w:after="0"/>
        <w:jc w:val="center"/>
        <w:rPr>
          <w:rFonts w:eastAsia="Times New Roman" w:cs="Times New Roman"/>
          <w:color w:val="000000"/>
          <w:szCs w:val="24"/>
          <w:lang w:eastAsia="tr-TR"/>
        </w:rPr>
      </w:pPr>
      <w:r w:rsidRPr="004D64F7">
        <w:rPr>
          <w:rFonts w:eastAsia="Times New Roman" w:cs="Times New Roman"/>
          <w:noProof/>
          <w:color w:val="000000"/>
          <w:szCs w:val="24"/>
          <w:lang w:eastAsia="tr-TR"/>
        </w:rPr>
        <w:drawing>
          <wp:inline distT="0" distB="0" distL="0" distR="0" wp14:anchorId="7B8A8E77" wp14:editId="0D8876C8">
            <wp:extent cx="5033010" cy="3355114"/>
            <wp:effectExtent l="0" t="0" r="0" b="0"/>
            <wp:docPr id="3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8"/>
                    <a:srcRect t="-2028" b="1"/>
                    <a:stretch/>
                  </pic:blipFill>
                  <pic:spPr bwMode="auto">
                    <a:xfrm>
                      <a:off x="0" y="0"/>
                      <a:ext cx="5033010" cy="3355114"/>
                    </a:xfrm>
                    <a:prstGeom prst="rect">
                      <a:avLst/>
                    </a:prstGeom>
                    <a:ln>
                      <a:noFill/>
                    </a:ln>
                    <a:extLst>
                      <a:ext uri="{53640926-AAD7-44D8-BBD7-CCE9431645EC}">
                        <a14:shadowObscured xmlns:a14="http://schemas.microsoft.com/office/drawing/2010/main"/>
                      </a:ext>
                    </a:extLst>
                  </pic:spPr>
                </pic:pic>
              </a:graphicData>
            </a:graphic>
          </wp:inline>
        </w:drawing>
      </w:r>
    </w:p>
    <w:p w:rsidR="006644AF" w:rsidRPr="004D64F7" w:rsidRDefault="006644AF" w:rsidP="006644AF">
      <w:pPr>
        <w:autoSpaceDE w:val="0"/>
        <w:autoSpaceDN w:val="0"/>
        <w:adjustRightInd w:val="0"/>
        <w:spacing w:after="0"/>
        <w:rPr>
          <w:rFonts w:eastAsia="Times New Roman" w:cs="Times New Roman"/>
          <w:color w:val="000000"/>
          <w:szCs w:val="24"/>
          <w:lang w:eastAsia="tr-TR"/>
        </w:rPr>
      </w:pPr>
    </w:p>
    <w:p w:rsidR="006644AF" w:rsidRPr="004D64F7" w:rsidRDefault="006644AF" w:rsidP="006644AF">
      <w:pPr>
        <w:autoSpaceDE w:val="0"/>
        <w:autoSpaceDN w:val="0"/>
        <w:adjustRightInd w:val="0"/>
        <w:spacing w:after="0"/>
        <w:rPr>
          <w:rFonts w:eastAsia="Times New Roman" w:cs="Times New Roman"/>
          <w:color w:val="000000"/>
          <w:szCs w:val="24"/>
          <w:lang w:eastAsia="tr-TR"/>
        </w:rPr>
      </w:pPr>
      <w:r w:rsidRPr="004D64F7">
        <w:rPr>
          <w:rFonts w:eastAsia="Times New Roman" w:cs="Times New Roman"/>
          <w:color w:val="000000"/>
          <w:szCs w:val="24"/>
          <w:lang w:eastAsia="tr-TR"/>
        </w:rPr>
        <w:t xml:space="preserve">Figure 2. The conceptual model of regional groundwater flow system for hillside and coastal aquifer of Mersin </w:t>
      </w:r>
      <w:r w:rsidRPr="004D64F7">
        <w:rPr>
          <w:rFonts w:eastAsia="Times New Roman" w:cs="Times New Roman"/>
          <w:sz w:val="22"/>
          <w:lang w:eastAsia="tr-TR"/>
        </w:rPr>
        <w:t>[34]</w:t>
      </w:r>
      <w:r w:rsidRPr="004D64F7">
        <w:rPr>
          <w:rFonts w:eastAsia="Times New Roman" w:cs="Times New Roman"/>
          <w:szCs w:val="24"/>
          <w:lang w:eastAsia="tr-TR"/>
        </w:rPr>
        <w:t>.</w:t>
      </w:r>
    </w:p>
    <w:p w:rsidR="006644AF" w:rsidRPr="004D64F7" w:rsidRDefault="006644AF" w:rsidP="006644AF">
      <w:pPr>
        <w:autoSpaceDE w:val="0"/>
        <w:autoSpaceDN w:val="0"/>
        <w:adjustRightInd w:val="0"/>
        <w:spacing w:after="0" w:line="240" w:lineRule="auto"/>
        <w:rPr>
          <w:rFonts w:eastAsia="Times New Roman" w:cs="Times New Roman"/>
          <w:color w:val="000000"/>
          <w:szCs w:val="24"/>
          <w:lang w:eastAsia="tr-TR"/>
        </w:rPr>
      </w:pPr>
    </w:p>
    <w:p w:rsidR="006644AF" w:rsidRPr="004D64F7" w:rsidRDefault="006644AF" w:rsidP="006644AF">
      <w:pPr>
        <w:autoSpaceDE w:val="0"/>
        <w:autoSpaceDN w:val="0"/>
        <w:adjustRightInd w:val="0"/>
        <w:spacing w:after="0"/>
        <w:ind w:firstLine="709"/>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In a research study </w:t>
      </w:r>
      <w:r w:rsidRPr="004D64F7">
        <w:rPr>
          <w:rFonts w:eastAsia="Times New Roman" w:cs="Times New Roman"/>
          <w:sz w:val="22"/>
          <w:lang w:eastAsia="tr-TR"/>
        </w:rPr>
        <w:t>[35]</w:t>
      </w:r>
      <w:r w:rsidRPr="004D64F7">
        <w:rPr>
          <w:rFonts w:eastAsia="Times New Roman" w:cs="Times New Roman"/>
          <w:color w:val="000000"/>
          <w:szCs w:val="24"/>
          <w:lang w:eastAsia="tr-TR"/>
        </w:rPr>
        <w:t xml:space="preserve">, </w:t>
      </w:r>
      <w:proofErr w:type="gramStart"/>
      <w:r w:rsidRPr="004D64F7">
        <w:rPr>
          <w:rFonts w:eastAsia="Times New Roman" w:cs="Times New Roman"/>
          <w:color w:val="000000"/>
          <w:szCs w:val="24"/>
          <w:lang w:eastAsia="tr-TR"/>
        </w:rPr>
        <w:t>data</w:t>
      </w:r>
      <w:proofErr w:type="gramEnd"/>
      <w:r w:rsidRPr="004D64F7">
        <w:rPr>
          <w:rFonts w:eastAsia="Times New Roman" w:cs="Times New Roman"/>
          <w:color w:val="000000"/>
          <w:szCs w:val="24"/>
          <w:lang w:eastAsia="tr-TR"/>
        </w:rPr>
        <w:t xml:space="preserve"> on the location, permitted yearly storage volume, pump capacity and screen length of 331 ATES systems in The Netherlands (15% of total number of systems) were obtained from provincial databases that keep combined records for ATES characteristics (Provinces of Gelderland, Noord-Brabant, Noord-Holland, Utrecht and Drenthe). </w:t>
      </w:r>
      <w:proofErr w:type="gramStart"/>
      <w:r w:rsidRPr="004D64F7">
        <w:rPr>
          <w:rFonts w:eastAsia="Times New Roman" w:cs="Times New Roman"/>
          <w:color w:val="000000"/>
          <w:szCs w:val="24"/>
          <w:lang w:eastAsia="tr-TR"/>
        </w:rPr>
        <w:t xml:space="preserve">For a geographically representative subset of 204 ATES systems it was possible to extract available aquifer thickness and derive estimates on the ambient groundwater flow as listed in Table 2. When the hydrogeological parameters of Mersin Coastal Aquifer is compared with Table 2, it can be deduced that hydraulic conductivity parameter remain in the acceptable </w:t>
      </w:r>
      <w:r w:rsidRPr="004D64F7">
        <w:rPr>
          <w:rFonts w:eastAsia="Times New Roman" w:cs="Times New Roman"/>
          <w:color w:val="000000"/>
          <w:szCs w:val="24"/>
          <w:lang w:eastAsia="tr-TR"/>
        </w:rPr>
        <w:lastRenderedPageBreak/>
        <w:t xml:space="preserve">limits. </w:t>
      </w:r>
      <w:proofErr w:type="gramEnd"/>
      <w:r w:rsidRPr="004D64F7">
        <w:rPr>
          <w:rFonts w:eastAsia="Times New Roman" w:cs="Times New Roman"/>
          <w:color w:val="000000"/>
          <w:szCs w:val="24"/>
          <w:lang w:eastAsia="tr-TR"/>
        </w:rPr>
        <w:t xml:space="preserve">In another study related with Mersin Coastal Aquifer </w:t>
      </w:r>
      <w:r w:rsidRPr="004D64F7">
        <w:rPr>
          <w:rFonts w:eastAsia="Times New Roman" w:cs="Times New Roman"/>
          <w:sz w:val="22"/>
          <w:lang w:eastAsia="tr-TR"/>
        </w:rPr>
        <w:t>[36]</w:t>
      </w:r>
      <w:r w:rsidRPr="004D64F7">
        <w:rPr>
          <w:rFonts w:eastAsia="Times New Roman" w:cs="Times New Roman"/>
          <w:color w:val="000000"/>
          <w:szCs w:val="24"/>
          <w:lang w:eastAsia="tr-TR"/>
        </w:rPr>
        <w:t>, variable values of aquifer thickness remain in the range of the Table 2 indicating that the aforementioned aquifer is convenient for the application of ATES technique.</w:t>
      </w:r>
    </w:p>
    <w:p w:rsidR="006644AF" w:rsidRPr="004D64F7" w:rsidRDefault="006644AF" w:rsidP="006644AF">
      <w:pPr>
        <w:autoSpaceDE w:val="0"/>
        <w:autoSpaceDN w:val="0"/>
        <w:adjustRightInd w:val="0"/>
        <w:spacing w:after="0" w:line="240" w:lineRule="auto"/>
        <w:rPr>
          <w:rFonts w:eastAsia="Times New Roman" w:cs="Times New Roman"/>
          <w:color w:val="000000"/>
          <w:szCs w:val="24"/>
          <w:lang w:eastAsia="tr-TR"/>
        </w:rPr>
      </w:pPr>
    </w:p>
    <w:p w:rsidR="006644AF" w:rsidRPr="004D64F7" w:rsidRDefault="006644AF" w:rsidP="006644AF">
      <w:pPr>
        <w:autoSpaceDE w:val="0"/>
        <w:autoSpaceDN w:val="0"/>
        <w:adjustRightInd w:val="0"/>
        <w:spacing w:after="0" w:line="240" w:lineRule="auto"/>
        <w:rPr>
          <w:rFonts w:eastAsia="Times New Roman" w:cs="Times New Roman"/>
          <w:sz w:val="22"/>
          <w:lang w:eastAsia="tr-TR"/>
        </w:rPr>
      </w:pPr>
      <w:r w:rsidRPr="004D64F7">
        <w:rPr>
          <w:rFonts w:eastAsia="Times New Roman" w:cs="Times New Roman"/>
          <w:szCs w:val="24"/>
          <w:lang w:eastAsia="tr-TR"/>
        </w:rPr>
        <w:t xml:space="preserve">Table 2. </w:t>
      </w:r>
      <w:r w:rsidRPr="004D64F7">
        <w:rPr>
          <w:rFonts w:eastAsia="Times New Roman" w:cs="Times New Roman"/>
          <w:sz w:val="16"/>
          <w:szCs w:val="16"/>
          <w:lang w:eastAsia="tr-TR"/>
        </w:rPr>
        <w:t xml:space="preserve"> </w:t>
      </w:r>
      <w:r w:rsidRPr="004D64F7">
        <w:rPr>
          <w:rFonts w:eastAsia="Times New Roman" w:cs="Times New Roman"/>
          <w:szCs w:val="24"/>
          <w:lang w:eastAsia="tr-TR"/>
        </w:rPr>
        <w:t xml:space="preserve">Ranges in geohydrological characteristics of the 204 ATES systems </w:t>
      </w:r>
      <w:r w:rsidRPr="004D64F7">
        <w:rPr>
          <w:rFonts w:eastAsia="Times New Roman" w:cs="Times New Roman"/>
          <w:sz w:val="22"/>
          <w:lang w:eastAsia="tr-TR"/>
        </w:rPr>
        <w:t>[35]</w:t>
      </w:r>
    </w:p>
    <w:p w:rsidR="006644AF" w:rsidRPr="004D64F7" w:rsidRDefault="006644AF" w:rsidP="006644AF">
      <w:pPr>
        <w:autoSpaceDE w:val="0"/>
        <w:autoSpaceDN w:val="0"/>
        <w:adjustRightInd w:val="0"/>
        <w:spacing w:after="0" w:line="240" w:lineRule="auto"/>
        <w:rPr>
          <w:rFonts w:eastAsia="Times New Roman" w:cs="Times New Roman"/>
          <w:color w:val="000000"/>
          <w:szCs w:val="24"/>
          <w:lang w:val="en-US" w:eastAsia="tr-TR"/>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72"/>
        <w:gridCol w:w="2092"/>
      </w:tblGrid>
      <w:tr w:rsidR="006644AF" w:rsidRPr="004D64F7" w:rsidTr="003A23E2">
        <w:trPr>
          <w:trHeight w:val="850"/>
          <w:jc w:val="center"/>
        </w:trPr>
        <w:tc>
          <w:tcPr>
            <w:tcW w:w="2127" w:type="dxa"/>
            <w:shd w:val="clear" w:color="auto" w:fill="auto"/>
          </w:tcPr>
          <w:p w:rsidR="006644AF" w:rsidRPr="004D64F7" w:rsidRDefault="006644AF" w:rsidP="003A23E2">
            <w:pPr>
              <w:spacing w:after="0" w:line="240" w:lineRule="auto"/>
              <w:jc w:val="center"/>
              <w:rPr>
                <w:rFonts w:eastAsia="Times New Roman" w:cs="Times New Roman"/>
                <w:szCs w:val="24"/>
                <w:lang w:eastAsia="tr-TR"/>
              </w:rPr>
            </w:pPr>
            <w:r w:rsidRPr="004D64F7">
              <w:rPr>
                <w:rFonts w:eastAsia="Times New Roman" w:cs="Times New Roman"/>
                <w:szCs w:val="24"/>
                <w:lang w:val="en-US" w:eastAsia="tr-TR"/>
              </w:rPr>
              <w:t>Available</w:t>
            </w:r>
            <w:r w:rsidRPr="004D64F7">
              <w:rPr>
                <w:rFonts w:eastAsia="Times New Roman" w:cs="Times New Roman"/>
                <w:szCs w:val="24"/>
                <w:lang w:eastAsia="tr-TR"/>
              </w:rPr>
              <w:t xml:space="preserve"> aquifer thickness range (m)</w:t>
            </w:r>
          </w:p>
        </w:tc>
        <w:tc>
          <w:tcPr>
            <w:tcW w:w="1872" w:type="dxa"/>
            <w:shd w:val="clear" w:color="auto" w:fill="auto"/>
          </w:tcPr>
          <w:p w:rsidR="006644AF" w:rsidRPr="004D64F7" w:rsidRDefault="006644AF" w:rsidP="003A23E2">
            <w:pPr>
              <w:autoSpaceDE w:val="0"/>
              <w:autoSpaceDN w:val="0"/>
              <w:adjustRightInd w:val="0"/>
              <w:spacing w:after="0" w:line="240" w:lineRule="auto"/>
              <w:jc w:val="center"/>
              <w:rPr>
                <w:rFonts w:eastAsia="Times New Roman" w:cs="Times New Roman"/>
                <w:szCs w:val="24"/>
                <w:lang w:eastAsia="tr-TR"/>
              </w:rPr>
            </w:pPr>
            <w:r w:rsidRPr="004D64F7">
              <w:rPr>
                <w:rFonts w:eastAsia="Times New Roman" w:cs="Times New Roman"/>
                <w:szCs w:val="24"/>
                <w:lang w:eastAsia="tr-TR"/>
              </w:rPr>
              <w:t>Hydraulic conductivity range (m/day)</w:t>
            </w:r>
          </w:p>
        </w:tc>
        <w:tc>
          <w:tcPr>
            <w:tcW w:w="2092" w:type="dxa"/>
            <w:shd w:val="clear" w:color="auto" w:fill="auto"/>
          </w:tcPr>
          <w:p w:rsidR="006644AF" w:rsidRPr="004D64F7" w:rsidRDefault="006644AF" w:rsidP="003A23E2">
            <w:pPr>
              <w:autoSpaceDE w:val="0"/>
              <w:autoSpaceDN w:val="0"/>
              <w:adjustRightInd w:val="0"/>
              <w:spacing w:after="0" w:line="240" w:lineRule="auto"/>
              <w:jc w:val="center"/>
              <w:rPr>
                <w:rFonts w:eastAsia="Times New Roman" w:cs="Times New Roman"/>
                <w:szCs w:val="24"/>
                <w:lang w:eastAsia="tr-TR"/>
              </w:rPr>
            </w:pPr>
            <w:r w:rsidRPr="004D64F7">
              <w:rPr>
                <w:rFonts w:eastAsia="Times New Roman" w:cs="Times New Roman"/>
                <w:szCs w:val="24"/>
                <w:lang w:eastAsia="tr-TR"/>
              </w:rPr>
              <w:t>Groundwater flow range (m/y)</w:t>
            </w:r>
          </w:p>
        </w:tc>
      </w:tr>
      <w:tr w:rsidR="006644AF" w:rsidRPr="004D64F7" w:rsidTr="003A23E2">
        <w:trPr>
          <w:trHeight w:val="564"/>
          <w:jc w:val="center"/>
        </w:trPr>
        <w:tc>
          <w:tcPr>
            <w:tcW w:w="2127" w:type="dxa"/>
            <w:shd w:val="clear" w:color="auto" w:fill="auto"/>
          </w:tcPr>
          <w:p w:rsidR="006644AF" w:rsidRPr="004D64F7" w:rsidRDefault="006644AF" w:rsidP="003A23E2">
            <w:pPr>
              <w:autoSpaceDE w:val="0"/>
              <w:autoSpaceDN w:val="0"/>
              <w:adjustRightInd w:val="0"/>
              <w:spacing w:after="0" w:line="240" w:lineRule="auto"/>
              <w:jc w:val="center"/>
              <w:rPr>
                <w:rFonts w:eastAsia="Times New Roman" w:cs="Times New Roman"/>
                <w:szCs w:val="24"/>
                <w:lang w:eastAsia="tr-TR"/>
              </w:rPr>
            </w:pPr>
            <w:r w:rsidRPr="004D64F7">
              <w:rPr>
                <w:rFonts w:eastAsia="Times New Roman" w:cs="Times New Roman"/>
                <w:szCs w:val="24"/>
                <w:lang w:eastAsia="tr-TR"/>
              </w:rPr>
              <w:t>30-180</w:t>
            </w:r>
          </w:p>
        </w:tc>
        <w:tc>
          <w:tcPr>
            <w:tcW w:w="1872" w:type="dxa"/>
            <w:shd w:val="clear" w:color="auto" w:fill="auto"/>
          </w:tcPr>
          <w:p w:rsidR="006644AF" w:rsidRPr="004D64F7" w:rsidRDefault="006644AF" w:rsidP="003A23E2">
            <w:pPr>
              <w:autoSpaceDE w:val="0"/>
              <w:autoSpaceDN w:val="0"/>
              <w:adjustRightInd w:val="0"/>
              <w:spacing w:after="0" w:line="240" w:lineRule="auto"/>
              <w:jc w:val="center"/>
              <w:rPr>
                <w:rFonts w:eastAsia="Times New Roman" w:cs="Times New Roman"/>
                <w:szCs w:val="24"/>
                <w:lang w:eastAsia="tr-TR"/>
              </w:rPr>
            </w:pPr>
            <w:r w:rsidRPr="004D64F7">
              <w:rPr>
                <w:rFonts w:eastAsia="Times New Roman" w:cs="Times New Roman"/>
                <w:szCs w:val="24"/>
                <w:lang w:eastAsia="tr-TR"/>
              </w:rPr>
              <w:t>5-45</w:t>
            </w:r>
          </w:p>
          <w:p w:rsidR="006644AF" w:rsidRPr="004D64F7" w:rsidRDefault="006644AF" w:rsidP="003A23E2">
            <w:pPr>
              <w:autoSpaceDE w:val="0"/>
              <w:autoSpaceDN w:val="0"/>
              <w:adjustRightInd w:val="0"/>
              <w:spacing w:after="0" w:line="240" w:lineRule="auto"/>
              <w:jc w:val="center"/>
              <w:rPr>
                <w:rFonts w:eastAsia="Times New Roman" w:cs="Times New Roman"/>
                <w:szCs w:val="24"/>
                <w:lang w:eastAsia="tr-TR"/>
              </w:rPr>
            </w:pPr>
          </w:p>
        </w:tc>
        <w:tc>
          <w:tcPr>
            <w:tcW w:w="2092" w:type="dxa"/>
            <w:shd w:val="clear" w:color="auto" w:fill="auto"/>
          </w:tcPr>
          <w:p w:rsidR="006644AF" w:rsidRPr="004D64F7" w:rsidRDefault="006644AF" w:rsidP="003A23E2">
            <w:pPr>
              <w:spacing w:after="0" w:line="240" w:lineRule="auto"/>
              <w:jc w:val="center"/>
              <w:rPr>
                <w:rFonts w:eastAsia="Times New Roman" w:cs="Times New Roman"/>
                <w:szCs w:val="24"/>
                <w:lang w:eastAsia="tr-TR"/>
              </w:rPr>
            </w:pPr>
            <w:r w:rsidRPr="004D64F7">
              <w:rPr>
                <w:rFonts w:eastAsia="Times New Roman" w:cs="Times New Roman"/>
                <w:szCs w:val="24"/>
                <w:lang w:eastAsia="tr-TR"/>
              </w:rPr>
              <w:t>3-100</w:t>
            </w:r>
          </w:p>
          <w:p w:rsidR="006644AF" w:rsidRPr="004D64F7" w:rsidRDefault="006644AF" w:rsidP="003A23E2">
            <w:pPr>
              <w:spacing w:after="0" w:line="240" w:lineRule="auto"/>
              <w:jc w:val="center"/>
              <w:rPr>
                <w:rFonts w:eastAsia="Times New Roman" w:cs="Times New Roman"/>
                <w:szCs w:val="24"/>
                <w:lang w:eastAsia="tr-TR"/>
              </w:rPr>
            </w:pPr>
          </w:p>
        </w:tc>
      </w:tr>
    </w:tbl>
    <w:p w:rsidR="006644AF" w:rsidRDefault="006644AF" w:rsidP="006644AF">
      <w:pPr>
        <w:spacing w:after="0"/>
        <w:jc w:val="both"/>
        <w:rPr>
          <w:rFonts w:eastAsia="Times New Roman" w:cs="Times New Roman"/>
          <w:b/>
          <w:szCs w:val="24"/>
          <w:lang w:eastAsia="tr-TR"/>
        </w:rPr>
      </w:pPr>
    </w:p>
    <w:p w:rsidR="006644AF" w:rsidRDefault="006644AF" w:rsidP="006644AF">
      <w:pPr>
        <w:spacing w:after="0"/>
        <w:jc w:val="both"/>
        <w:rPr>
          <w:rFonts w:eastAsia="Times New Roman" w:cs="Times New Roman"/>
          <w:b/>
          <w:szCs w:val="24"/>
          <w:lang w:eastAsia="tr-TR"/>
        </w:rPr>
      </w:pPr>
    </w:p>
    <w:p w:rsidR="006644AF" w:rsidRPr="004D64F7" w:rsidRDefault="006644AF" w:rsidP="006644AF">
      <w:pPr>
        <w:spacing w:after="0"/>
        <w:jc w:val="both"/>
        <w:rPr>
          <w:rFonts w:eastAsia="Times New Roman" w:cs="Times New Roman"/>
          <w:b/>
          <w:szCs w:val="24"/>
          <w:lang w:eastAsia="tr-TR"/>
        </w:rPr>
      </w:pPr>
      <w:r w:rsidRPr="004D64F7">
        <w:rPr>
          <w:rFonts w:eastAsia="Times New Roman" w:cs="Times New Roman"/>
          <w:b/>
          <w:szCs w:val="24"/>
          <w:lang w:eastAsia="tr-TR"/>
        </w:rPr>
        <w:t>CONCLUSION</w:t>
      </w:r>
    </w:p>
    <w:p w:rsidR="006644AF" w:rsidRPr="004D64F7" w:rsidRDefault="006644AF" w:rsidP="006644AF">
      <w:pPr>
        <w:autoSpaceDE w:val="0"/>
        <w:autoSpaceDN w:val="0"/>
        <w:adjustRightInd w:val="0"/>
        <w:spacing w:after="0"/>
        <w:ind w:firstLine="709"/>
        <w:jc w:val="both"/>
        <w:rPr>
          <w:rFonts w:eastAsia="Times New Roman" w:cs="Times New Roman"/>
          <w:szCs w:val="24"/>
          <w:lang w:eastAsia="tr-TR"/>
        </w:rPr>
      </w:pPr>
      <w:r w:rsidRPr="004D64F7">
        <w:rPr>
          <w:rFonts w:eastAsia="Times New Roman" w:cs="Times New Roman"/>
          <w:szCs w:val="24"/>
          <w:lang w:eastAsia="tr-TR"/>
        </w:rPr>
        <w:t xml:space="preserve">Aquifer thermal energy storage (ATES) systems use natural water in a saturated and permeable </w:t>
      </w:r>
      <w:proofErr w:type="gramStart"/>
      <w:r w:rsidRPr="004D64F7">
        <w:rPr>
          <w:rFonts w:eastAsia="Times New Roman" w:cs="Times New Roman"/>
          <w:szCs w:val="24"/>
          <w:lang w:eastAsia="tr-TR"/>
        </w:rPr>
        <w:t>underground</w:t>
      </w:r>
      <w:proofErr w:type="gramEnd"/>
      <w:r w:rsidRPr="004D64F7">
        <w:rPr>
          <w:rFonts w:eastAsia="Times New Roman" w:cs="Times New Roman"/>
          <w:szCs w:val="24"/>
          <w:lang w:eastAsia="tr-TR"/>
        </w:rPr>
        <w:t xml:space="preserve"> layer as the storage medium. The transfer of thermal energy is carried out by extracting groundwater from the aquifer and by reinjecting it at a modified temperature into a separate well nearby. I</w:t>
      </w:r>
      <w:r w:rsidRPr="004D64F7">
        <w:rPr>
          <w:rFonts w:eastAsia="MS Mincho" w:cs="Angsana New"/>
          <w:szCs w:val="24"/>
          <w:lang w:val="en-US" w:eastAsia="tr-TR"/>
        </w:rPr>
        <w:t xml:space="preserve">n this study a brief summary of the efficiency and thermal performance of ATES systems and an evaluation of ATES characteristics from practice were used to assess the pre-feasibility of an ATES system in Mersin Coastal Aquifer. </w:t>
      </w:r>
      <w:r w:rsidRPr="004D64F7">
        <w:rPr>
          <w:rFonts w:eastAsia="Times New Roman" w:cs="Times New Roman"/>
          <w:szCs w:val="24"/>
          <w:lang w:eastAsia="tr-TR"/>
        </w:rPr>
        <w:t xml:space="preserve">Storage in aquifers has a quite long history and has achieved broad acceptance for heating and cooling in the energy market in many countries, though the application of ATES is quite different among the various countries. Any ATES project involves a quite complex procedure and has to follow a general procedure for design and construction of ATES system. </w:t>
      </w:r>
      <w:r w:rsidRPr="004D64F7">
        <w:rPr>
          <w:rFonts w:eastAsia="MS Mincho" w:cs="Angsana New"/>
          <w:szCs w:val="24"/>
          <w:lang w:val="en-US" w:eastAsia="tr-TR"/>
        </w:rPr>
        <w:t>The potential application of ATES technique in Mersin Coastal Aquifer located in the Mersin Province is evaluated to be acceptable towards fulfilling air conditioning needs of the buildings around the region.</w:t>
      </w:r>
    </w:p>
    <w:p w:rsidR="006644AF" w:rsidRPr="004D64F7" w:rsidRDefault="006644AF" w:rsidP="006644AF">
      <w:pPr>
        <w:spacing w:after="0"/>
        <w:jc w:val="both"/>
        <w:rPr>
          <w:rFonts w:eastAsia="Times New Roman" w:cs="Times New Roman"/>
          <w:szCs w:val="24"/>
          <w:lang w:eastAsia="tr-TR"/>
        </w:rPr>
      </w:pPr>
    </w:p>
    <w:p w:rsidR="006644AF" w:rsidRDefault="006644AF" w:rsidP="006644AF">
      <w:pPr>
        <w:rPr>
          <w:rFonts w:eastAsia="Times New Roman" w:cs="Times New Roman"/>
          <w:b/>
          <w:szCs w:val="24"/>
          <w:lang w:eastAsia="tr-TR"/>
        </w:rPr>
      </w:pPr>
      <w:r>
        <w:rPr>
          <w:rFonts w:eastAsia="Times New Roman" w:cs="Times New Roman"/>
          <w:b/>
          <w:szCs w:val="24"/>
          <w:lang w:eastAsia="tr-TR"/>
        </w:rPr>
        <w:br w:type="page"/>
      </w:r>
    </w:p>
    <w:p w:rsidR="006644AF" w:rsidRDefault="006644AF" w:rsidP="006644AF">
      <w:pPr>
        <w:spacing w:after="0"/>
        <w:jc w:val="both"/>
        <w:rPr>
          <w:rFonts w:eastAsia="Times New Roman" w:cs="Times New Roman"/>
          <w:b/>
          <w:szCs w:val="24"/>
          <w:lang w:eastAsia="tr-TR"/>
        </w:rPr>
      </w:pPr>
    </w:p>
    <w:p w:rsidR="006644AF" w:rsidRPr="004D64F7" w:rsidRDefault="006644AF" w:rsidP="006644AF">
      <w:pPr>
        <w:spacing w:after="0"/>
        <w:jc w:val="both"/>
        <w:rPr>
          <w:rFonts w:eastAsia="Times New Roman" w:cs="Times New Roman"/>
          <w:szCs w:val="24"/>
          <w:lang w:eastAsia="tr-TR"/>
        </w:rPr>
      </w:pPr>
      <w:r w:rsidRPr="004D64F7">
        <w:rPr>
          <w:rFonts w:eastAsia="Times New Roman" w:cs="Times New Roman"/>
          <w:b/>
          <w:szCs w:val="24"/>
          <w:lang w:eastAsia="tr-TR"/>
        </w:rPr>
        <w:t>REFERENCES</w:t>
      </w:r>
    </w:p>
    <w:p w:rsidR="006644AF" w:rsidRPr="004D64F7" w:rsidRDefault="006644AF" w:rsidP="006644AF">
      <w:pPr>
        <w:tabs>
          <w:tab w:val="left" w:pos="-720"/>
        </w:tabs>
        <w:suppressAutoHyphens/>
        <w:spacing w:after="0" w:line="300" w:lineRule="auto"/>
        <w:jc w:val="both"/>
        <w:rPr>
          <w:rFonts w:eastAsia="Times New Roman" w:cs="Times New Roman"/>
          <w:b/>
          <w:color w:val="000000"/>
          <w:spacing w:val="-3"/>
          <w:szCs w:val="24"/>
          <w:lang w:eastAsia="tr-TR"/>
        </w:rPr>
      </w:pPr>
    </w:p>
    <w:p w:rsidR="006644AF" w:rsidRPr="004D64F7" w:rsidRDefault="006644AF" w:rsidP="006644AF">
      <w:pPr>
        <w:numPr>
          <w:ilvl w:val="0"/>
          <w:numId w:val="2"/>
        </w:numPr>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Hall, S. J. and Raymond, J. R. (1992). In Proceedings of the Intersociety Energy Conversion Engineering Conference: “Geohydrologic characterization for aquifer thermal energy storage”, San Diego, Calif</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3–4 August 1992. Edited by E.A. Jeanne. Society of Automotive Engineers, Warrendale, Pa. pp. 75–81.</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Vail, W. L. and Jenne, E. V. (1994) In Proceedings of the International Symposium on Aquifer Thermal Energy Storage: “Optimizing the design and operation of ATES systems”, Tuscaloosa, Ala</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14–15 November 1994. University of Alabama, Tuscaloosa, Ala. pp. 9–14.</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IF Technology (1995). Underground thermal energy storage: state of the art 1994. IF Technology, Anhen, the Netherlands.</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Sanner, B. (2003). Integrated use of geothermal and other renewable energy sources – heat pumps, solar thermal, combined heat and power. In Course notes of The United Nations University Geothermal Training Programme, Reyjavik, Iceland, September 2003. The United Nations University, Tokyo. pp. 79–98.</w:t>
      </w:r>
    </w:p>
    <w:p w:rsidR="006644AF" w:rsidRPr="004D64F7" w:rsidRDefault="006644AF" w:rsidP="006644AF">
      <w:pPr>
        <w:autoSpaceDE w:val="0"/>
        <w:autoSpaceDN w:val="0"/>
        <w:adjustRightInd w:val="0"/>
        <w:spacing w:after="0" w:line="300" w:lineRule="auto"/>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Bridger, D. W. and Allen, D. M. (2005). Designing aquifer thermal energy storage systems. ASHRAE Journal, 47(9): Pg.32–37.</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IEA-ECES (2009). Underground thermal energy storage [</w:t>
      </w:r>
      <w:proofErr w:type="gramStart"/>
      <w:r w:rsidRPr="004D64F7">
        <w:rPr>
          <w:rFonts w:eastAsia="Times New Roman" w:cs="Times New Roman"/>
          <w:szCs w:val="24"/>
          <w:lang w:eastAsia="tr-TR"/>
        </w:rPr>
        <w:t>online</w:t>
      </w:r>
      <w:proofErr w:type="gramEnd"/>
      <w:r w:rsidRPr="004D64F7">
        <w:rPr>
          <w:rFonts w:eastAsia="Times New Roman" w:cs="Times New Roman"/>
          <w:szCs w:val="24"/>
          <w:lang w:eastAsia="tr-TR"/>
        </w:rPr>
        <w:t xml:space="preserve">]. International Energy Agency – Energy Conservation through Energy Storage. Available from </w:t>
      </w:r>
      <w:hyperlink r:id="rId9" w:history="1">
        <w:r w:rsidRPr="004D64F7">
          <w:rPr>
            <w:rFonts w:eastAsia="Times New Roman" w:cs="Times New Roman"/>
            <w:color w:val="0000FF"/>
            <w:szCs w:val="24"/>
            <w:u w:val="single"/>
            <w:lang w:eastAsia="tr-TR"/>
          </w:rPr>
          <w:t>www.iea-eces.org/energy-storage/storage-techniques/underground-thermalenergy-storage.html</w:t>
        </w:r>
      </w:hyperlink>
      <w:r w:rsidRPr="004D64F7">
        <w:rPr>
          <w:rFonts w:eastAsia="Times New Roman" w:cs="Times New Roman"/>
          <w:szCs w:val="24"/>
          <w:lang w:eastAsia="tr-TR"/>
        </w:rPr>
        <w:t>.</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Yan, Q. S. and Woo, T. F. (1981). The development and application of aquifer storage in China. STES Newsletter, III: 4–5.</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Midkiff, K. C. and Brett, C. E. (1994). In Proceedings of the International Symposium on Aquifer Thermal Energy Storage: “Long-term experience with an ATES-based air conditioning system”, Tuscaloosa, Ala</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14–15 November 1994. University of Alabama, Tuscaloosa, Ala. pp. 29–40.</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Paksoy, H.O</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Andersson, O., Abaci, S., Evliya, H. and Turgut, B. 2000. Heating and cooling of a hospital using solar energy coupled with seasonal thermal energy storage in an aquifer. Renewable Energy, 19(1–2): 117–122.</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lastRenderedPageBreak/>
        <w:t xml:space="preserve">Bartels, J. and </w:t>
      </w:r>
      <w:proofErr w:type="gramStart"/>
      <w:r w:rsidRPr="004D64F7">
        <w:rPr>
          <w:rFonts w:eastAsia="Times New Roman" w:cs="Times New Roman"/>
          <w:szCs w:val="24"/>
          <w:lang w:eastAsia="tr-TR"/>
        </w:rPr>
        <w:t>Kabus</w:t>
      </w:r>
      <w:proofErr w:type="gramEnd"/>
      <w:r w:rsidRPr="004D64F7">
        <w:rPr>
          <w:rFonts w:eastAsia="Times New Roman" w:cs="Times New Roman"/>
          <w:szCs w:val="24"/>
          <w:lang w:eastAsia="tr-TR"/>
        </w:rPr>
        <w:t>, F. (2003). In Proceedings of Futurestock: “Seasonal aquifer solarheat storage at Rostock-Brinckmanshoe – first operational experience and aquifer simulation”. 9th International Conference on Thermal Energy Storage, Warsaw, Poland, 1–4 September 2003. Institute of Heat Engineering, Warsaw University of Technology, Warsaw, Poland. pp. 53–58.</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Eggen, G. and Vangsnes, G. (2005). In Proceedings of the 8th IEA Heat Pump Conference: “Heat pump for district cooling and heating at Oslo Airport, Gardermoen”, Las Vegas, Nev</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30 May – 2 June 2005. IEA Heat Pump Programme, Paris.</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 xml:space="preserve">Seibt, O. and </w:t>
      </w:r>
      <w:proofErr w:type="gramStart"/>
      <w:r w:rsidRPr="004D64F7">
        <w:rPr>
          <w:rFonts w:eastAsia="Times New Roman" w:cs="Times New Roman"/>
          <w:szCs w:val="24"/>
          <w:lang w:eastAsia="tr-TR"/>
        </w:rPr>
        <w:t>Kabus</w:t>
      </w:r>
      <w:proofErr w:type="gramEnd"/>
      <w:r w:rsidRPr="004D64F7">
        <w:rPr>
          <w:rFonts w:eastAsia="Times New Roman" w:cs="Times New Roman"/>
          <w:szCs w:val="24"/>
          <w:lang w:eastAsia="tr-TR"/>
        </w:rPr>
        <w:t>, F. (2006). In Proceedings of ECOSTOCK 2006: “Aquifer thermal energy storage – projects implemented in Germany”. Conference on Energy Storage Technology, Pomona, N. J. , 31 May – 2 June 2006.</w:t>
      </w:r>
    </w:p>
    <w:p w:rsidR="006644AF" w:rsidRPr="004D64F7" w:rsidRDefault="006644AF" w:rsidP="006644AF">
      <w:pPr>
        <w:spacing w:after="0" w:line="300" w:lineRule="auto"/>
        <w:ind w:left="720"/>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Phernambucq, I. H</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Contaminant spreading in areas with a high density of Seasonal Aquifer Thermal Energy Storage (SATES) Systems, M. Sc. Thesis, University Utretch, 2015.</w:t>
      </w:r>
    </w:p>
    <w:p w:rsidR="006644AF" w:rsidRPr="004D64F7" w:rsidRDefault="006644AF" w:rsidP="006644AF">
      <w:pPr>
        <w:spacing w:after="0" w:line="300" w:lineRule="auto"/>
        <w:contextualSpacing/>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Sommer, W</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Valstar, J. and Leusbrock, I., (2015). Optimization and spatial pattern of large-scale aquifer thermal energy storage. Applied Energy, 137: 322-337. </w:t>
      </w:r>
    </w:p>
    <w:p w:rsidR="006644AF" w:rsidRPr="004D64F7" w:rsidRDefault="006644AF" w:rsidP="006644AF">
      <w:pPr>
        <w:autoSpaceDE w:val="0"/>
        <w:autoSpaceDN w:val="0"/>
        <w:adjustRightInd w:val="0"/>
        <w:spacing w:after="0" w:line="300" w:lineRule="auto"/>
        <w:rPr>
          <w:rFonts w:eastAsia="Times New Roman" w:cs="Times New Roman"/>
          <w:color w:val="000000"/>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Possemiers, M</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Huysmans, M. and Batelaan, O., (2014). Influence of aquifer thermal energy storage on groundwater quality: A review illustrated by seven case studies from Belgium. Journal of Hydrology: Regional Studies. 2: 20-34. </w:t>
      </w:r>
    </w:p>
    <w:p w:rsidR="006644AF" w:rsidRPr="004D64F7" w:rsidRDefault="006644AF" w:rsidP="006644AF">
      <w:pPr>
        <w:autoSpaceDE w:val="0"/>
        <w:autoSpaceDN w:val="0"/>
        <w:adjustRightInd w:val="0"/>
        <w:spacing w:after="0" w:line="300" w:lineRule="auto"/>
        <w:rPr>
          <w:rFonts w:eastAsia="Times New Roman" w:cs="Times New Roman"/>
          <w:color w:val="000000"/>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Bloemendal, M</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Olsthoorn, T., and Boons, F., (2014). How to achieve </w:t>
      </w:r>
      <w:proofErr w:type="gramStart"/>
      <w:r w:rsidRPr="004D64F7">
        <w:rPr>
          <w:rFonts w:eastAsia="Times New Roman" w:cs="Times New Roman"/>
          <w:szCs w:val="24"/>
          <w:lang w:eastAsia="tr-TR"/>
        </w:rPr>
        <w:t>optimal</w:t>
      </w:r>
      <w:proofErr w:type="gramEnd"/>
      <w:r w:rsidRPr="004D64F7">
        <w:rPr>
          <w:rFonts w:eastAsia="Times New Roman" w:cs="Times New Roman"/>
          <w:szCs w:val="24"/>
          <w:lang w:eastAsia="tr-TR"/>
        </w:rPr>
        <w:t xml:space="preserve"> and sustainable use of the subsurface for aquifer thermal energy storage. Energy Policy. 66: 104-114. </w:t>
      </w:r>
    </w:p>
    <w:p w:rsidR="006644AF" w:rsidRPr="004D64F7" w:rsidRDefault="006644AF" w:rsidP="006644AF">
      <w:pPr>
        <w:autoSpaceDE w:val="0"/>
        <w:autoSpaceDN w:val="0"/>
        <w:adjustRightInd w:val="0"/>
        <w:spacing w:after="0" w:line="300" w:lineRule="auto"/>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Bonte. M</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(2013). Impacts of shallow geothermal energy on groundwater quality - a hydrochemical and geomicrobial study of the effects of ground source heat pumps and aquifer thermal energy storage. Department of Earth Sciences. PhD, 175. </w:t>
      </w:r>
    </w:p>
    <w:p w:rsidR="006644AF" w:rsidRPr="004D64F7" w:rsidRDefault="006644AF" w:rsidP="006644AF">
      <w:pPr>
        <w:autoSpaceDE w:val="0"/>
        <w:autoSpaceDN w:val="0"/>
        <w:adjustRightInd w:val="0"/>
        <w:spacing w:after="0" w:line="300" w:lineRule="auto"/>
        <w:rPr>
          <w:rFonts w:eastAsia="Times New Roman" w:cs="Times New Roman"/>
          <w:color w:val="000000"/>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Benno Drijver Niels Hartog, Inez Dinkla and Matthijs Bonte, (2013). Field assessment of the impacts of aquifer thermal energy storage (ATES) systems on chemical and microbial groundwater composition. In European Geothermal Congress. Palazzo dei Congressi-Pisa, Italy.</w:t>
      </w:r>
    </w:p>
    <w:p w:rsidR="006644AF" w:rsidRPr="004D64F7" w:rsidRDefault="006644AF" w:rsidP="006644AF">
      <w:pPr>
        <w:autoSpaceDE w:val="0"/>
        <w:autoSpaceDN w:val="0"/>
        <w:adjustRightInd w:val="0"/>
        <w:spacing w:after="0" w:line="300" w:lineRule="auto"/>
        <w:jc w:val="both"/>
        <w:rPr>
          <w:rFonts w:eastAsia="Times New Roman" w:cs="Times New Roman"/>
          <w:color w:val="000000"/>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color w:val="000000"/>
          <w:szCs w:val="24"/>
          <w:lang w:eastAsia="tr-TR"/>
        </w:rPr>
        <w:t>Zhou, X</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Gao, Q., and Chen, X., (2015). Developmental status and challenges of</w:t>
      </w:r>
      <w:r w:rsidRPr="004D64F7">
        <w:rPr>
          <w:rFonts w:eastAsia="Times New Roman" w:cs="Times New Roman"/>
          <w:szCs w:val="24"/>
          <w:lang w:eastAsia="tr-TR"/>
        </w:rPr>
        <w:t xml:space="preserve"> GWHP and ATES in China. Renewable and Sustainable Energy Reviews. 42: 973-985. </w:t>
      </w:r>
    </w:p>
    <w:p w:rsidR="006644AF" w:rsidRPr="004D64F7" w:rsidRDefault="006644AF" w:rsidP="006644AF">
      <w:pPr>
        <w:autoSpaceDE w:val="0"/>
        <w:autoSpaceDN w:val="0"/>
        <w:adjustRightInd w:val="0"/>
        <w:spacing w:after="0" w:line="300" w:lineRule="auto"/>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Xu, J</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Wang, R. Z. and Li, Y (2014). A review of available technologies for seasonal thermal energy storage. Solar Energy, 103: 610-638. </w:t>
      </w:r>
    </w:p>
    <w:p w:rsidR="006644AF" w:rsidRPr="004D64F7" w:rsidRDefault="006644AF" w:rsidP="006644AF">
      <w:pPr>
        <w:autoSpaceDE w:val="0"/>
        <w:autoSpaceDN w:val="0"/>
        <w:adjustRightInd w:val="0"/>
        <w:spacing w:after="0" w:line="300" w:lineRule="auto"/>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 xml:space="preserve">K. S. Lee (2010). A review on concepts, applications, and models of aquifer thermal energy storage systems. Energies. 3(6): 1320-1334. </w:t>
      </w:r>
    </w:p>
    <w:p w:rsidR="006644AF" w:rsidRPr="004D64F7" w:rsidRDefault="006644AF" w:rsidP="006644AF">
      <w:pPr>
        <w:spacing w:after="0" w:line="300" w:lineRule="auto"/>
        <w:ind w:left="720"/>
        <w:contextualSpacing/>
        <w:jc w:val="both"/>
        <w:rPr>
          <w:rFonts w:eastAsia="Times New Roman" w:cs="Times New Roman"/>
          <w:szCs w:val="24"/>
          <w:highlight w:val="cyan"/>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Hesaraki, A</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Holmberg, S. and Haghighat, F., (2015). Seasonal thermal energy storage with heat pumps and low temperatures in building projects—a comparative review. Renewable and Sustainable Energy Reviews. 43: 1199-1213.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Andersson, O</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(2007). Aquifer thermal energy storage. In Thermal Energy Storage for Sustainable Energy Consumption, Springer, Dordrecht, The Netherlands, pp. 155-176.</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Bakr, M</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Oostrom, N., Sommer, W., (2013). Efficiency of and interference among multiple aquifer thermal energy storage systems; a Dutch case study. Renewable Energy, 60: 53-62.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W. Sommer, J. Valstar, P. Van Gaans, et al. (2013). The impact of aquifer heterogeneity on the performance of aquifer thermal energy storage. Water Resources Research. 49(12): 8128-8138.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Rosen, M. A</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(1999). Second-law analysis of aquifer thermal energy storage systems. Energy, 24(2): 167-182. </w:t>
      </w:r>
    </w:p>
    <w:p w:rsidR="006644AF" w:rsidRPr="004D64F7" w:rsidRDefault="006644AF" w:rsidP="006644AF">
      <w:pPr>
        <w:autoSpaceDE w:val="0"/>
        <w:autoSpaceDN w:val="0"/>
        <w:adjustRightInd w:val="0"/>
        <w:spacing w:after="0" w:line="300" w:lineRule="auto"/>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 xml:space="preserve">Dincer, I. (2002). Thermal energy storage systems as a key technology in energy conservation. International Journal of Energy Research, 26(7): 567-588.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Rosen, M. A</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I. Dincer, I. (2003). Exergy methods for assessing and comparing thermal storage systems. International Journal of Energy Research, 27(4): 415-430. </w:t>
      </w:r>
    </w:p>
    <w:p w:rsidR="006644AF" w:rsidRPr="004D64F7" w:rsidRDefault="006644AF" w:rsidP="006644AF">
      <w:pPr>
        <w:autoSpaceDE w:val="0"/>
        <w:autoSpaceDN w:val="0"/>
        <w:adjustRightInd w:val="0"/>
        <w:spacing w:after="0" w:line="300" w:lineRule="auto"/>
        <w:jc w:val="both"/>
        <w:rPr>
          <w:rFonts w:eastAsia="Times New Roman" w:cs="Times New Roman"/>
          <w:color w:val="000000"/>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Ferguson, G</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Woodbury, A. D., (2006). Observed thermal pollution and post-development simulations of low-temperature geothermal systems in Winnipeg, Canada. Hydrogeology Journal. 14(7): 1206-1215.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Ghaebi, H</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Bahadori, M. N. and Saidi, M. H. (2014). Performance analysis and parametric study of thermal energy storage in an aquifer coupled with a heat pump and solar collectors, for a residential complex in Tehran, Iran. Applied Thermal Engineering. 62(1): 156-170.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lastRenderedPageBreak/>
        <w:t>Sommer, W. T</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Doornenbal, P. J. and Drijver, B. C. et al. (2014). Thermal performance and heat transport in aquifer thermal energy storage. Hydrogeology Journal. 22(1): 263-279.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color w:val="000000"/>
          <w:szCs w:val="24"/>
          <w:lang w:eastAsia="tr-TR"/>
        </w:rPr>
        <w:t>AlZahrani, A. A</w:t>
      </w:r>
      <w:proofErr w:type="gramStart"/>
      <w:r w:rsidRPr="004D64F7">
        <w:rPr>
          <w:rFonts w:eastAsia="Times New Roman" w:cs="Times New Roman"/>
          <w:color w:val="000000"/>
          <w:szCs w:val="24"/>
          <w:lang w:eastAsia="tr-TR"/>
        </w:rPr>
        <w:t>.,</w:t>
      </w:r>
      <w:proofErr w:type="gramEnd"/>
      <w:r w:rsidRPr="004D64F7">
        <w:rPr>
          <w:rFonts w:eastAsia="Times New Roman" w:cs="Times New Roman"/>
          <w:color w:val="000000"/>
          <w:szCs w:val="24"/>
          <w:lang w:eastAsia="tr-TR"/>
        </w:rPr>
        <w:t xml:space="preserve"> Dincer, I. (2016). Performance assessment of an aquifer thermal energy storage system for heating and cooling applications. Journal of Energy Resources Technology, Transactions of the ASME. 138(1). </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color w:val="000000"/>
          <w:szCs w:val="24"/>
          <w:lang w:eastAsia="tr-TR"/>
        </w:rPr>
      </w:pPr>
      <w:r w:rsidRPr="004D64F7">
        <w:rPr>
          <w:rFonts w:eastAsia="Times New Roman" w:cs="Times New Roman"/>
          <w:szCs w:val="24"/>
          <w:lang w:eastAsia="tr-TR"/>
        </w:rPr>
        <w:t>Gao, L</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Zhao, J., An, Q., Wang, J. and Liu, X. (2017). A review on system performance studies of aquifer thermal energy storage. Energy Procedia, 142, 3537-3545.</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Pr="004D64F7" w:rsidRDefault="006644AF" w:rsidP="006644AF">
      <w:pPr>
        <w:numPr>
          <w:ilvl w:val="0"/>
          <w:numId w:val="2"/>
        </w:numPr>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Hatipoglu, Z</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Louis H. Motz, ve Bayari, C. S. (2009). Characterization of the groundwater flow system in the hillside and coastal aquifers of the Mersin-Tarsus region (Turkey)</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Hydrogeology journal 17.7, 1761.</w:t>
      </w:r>
    </w:p>
    <w:p w:rsidR="006644AF" w:rsidRPr="004D64F7" w:rsidRDefault="006644AF" w:rsidP="006644AF">
      <w:pPr>
        <w:spacing w:after="0" w:line="300" w:lineRule="auto"/>
        <w:ind w:left="720"/>
        <w:contextualSpacing/>
        <w:jc w:val="both"/>
        <w:rPr>
          <w:rFonts w:eastAsia="Times New Roman" w:cs="Times New Roman"/>
          <w:szCs w:val="24"/>
          <w:lang w:eastAsia="tr-TR"/>
        </w:rPr>
      </w:pPr>
    </w:p>
    <w:p w:rsidR="006644AF" w:rsidRDefault="006644AF" w:rsidP="006644AF">
      <w:pPr>
        <w:numPr>
          <w:ilvl w:val="0"/>
          <w:numId w:val="2"/>
        </w:numPr>
        <w:tabs>
          <w:tab w:val="left" w:pos="-720"/>
        </w:tabs>
        <w:suppressAutoHyphens/>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Bloemendal, M</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&amp; Hartog, N. (2018). Analysis of the impact of storage conditions on the thermal recovery efficiency of low-temperature ATES systems. Geothermics, 71, 306-319.</w:t>
      </w:r>
    </w:p>
    <w:p w:rsidR="006644AF" w:rsidRDefault="006644AF" w:rsidP="006644AF">
      <w:pPr>
        <w:pStyle w:val="ListeParagraf"/>
        <w:rPr>
          <w:rFonts w:eastAsia="Times New Roman"/>
          <w:szCs w:val="24"/>
          <w:lang w:eastAsia="tr-TR"/>
        </w:rPr>
      </w:pPr>
    </w:p>
    <w:p w:rsidR="006644AF" w:rsidRPr="004D64F7" w:rsidRDefault="006644AF" w:rsidP="006644AF">
      <w:pPr>
        <w:numPr>
          <w:ilvl w:val="0"/>
          <w:numId w:val="2"/>
        </w:numPr>
        <w:tabs>
          <w:tab w:val="left" w:pos="-720"/>
        </w:tabs>
        <w:suppressAutoHyphens/>
        <w:autoSpaceDE w:val="0"/>
        <w:autoSpaceDN w:val="0"/>
        <w:adjustRightInd w:val="0"/>
        <w:spacing w:after="0" w:line="300" w:lineRule="auto"/>
        <w:ind w:left="567" w:hanging="567"/>
        <w:jc w:val="both"/>
        <w:rPr>
          <w:rFonts w:eastAsia="Times New Roman" w:cs="Times New Roman"/>
          <w:szCs w:val="24"/>
          <w:lang w:eastAsia="tr-TR"/>
        </w:rPr>
      </w:pPr>
      <w:r w:rsidRPr="004D64F7">
        <w:rPr>
          <w:rFonts w:eastAsia="Times New Roman" w:cs="Times New Roman"/>
          <w:szCs w:val="24"/>
          <w:lang w:eastAsia="tr-TR"/>
        </w:rPr>
        <w:t>Hatipoğlu, Z</w:t>
      </w:r>
      <w:proofErr w:type="gramStart"/>
      <w:r w:rsidRPr="004D64F7">
        <w:rPr>
          <w:rFonts w:eastAsia="Times New Roman" w:cs="Times New Roman"/>
          <w:szCs w:val="24"/>
          <w:lang w:eastAsia="tr-TR"/>
        </w:rPr>
        <w:t>.,</w:t>
      </w:r>
      <w:proofErr w:type="gramEnd"/>
      <w:r w:rsidRPr="004D64F7">
        <w:rPr>
          <w:rFonts w:eastAsia="Times New Roman" w:cs="Times New Roman"/>
          <w:szCs w:val="24"/>
          <w:lang w:eastAsia="tr-TR"/>
        </w:rPr>
        <w:t xml:space="preserve"> Hydrogeochemistry of Mersin-Tarsus Coastal Aquifer, Ph. D. Thesis, Mersin University, Mersin, 2004.</w:t>
      </w:r>
      <w:r w:rsidRPr="004D64F7">
        <w:rPr>
          <w:rFonts w:eastAsia="Times New Roman" w:cs="Times New Roman"/>
          <w:color w:val="000000"/>
          <w:szCs w:val="24"/>
        </w:rPr>
        <w:br w:type="page"/>
      </w:r>
    </w:p>
    <w:p w:rsidR="006644AF" w:rsidRDefault="006644AF" w:rsidP="006644AF">
      <w:pPr>
        <w:spacing w:after="120"/>
        <w:jc w:val="both"/>
        <w:rPr>
          <w:rFonts w:eastAsia="Times New Roman" w:cs="Times New Roman"/>
          <w:color w:val="000000"/>
          <w:szCs w:val="24"/>
        </w:rPr>
      </w:pPr>
    </w:p>
    <w:p w:rsidR="006644AF" w:rsidRDefault="006644AF" w:rsidP="006644AF">
      <w:pPr>
        <w:rPr>
          <w:rFonts w:eastAsia="Times New Roman" w:cs="Times New Roman"/>
          <w:color w:val="000000"/>
          <w:szCs w:val="24"/>
        </w:rPr>
      </w:pPr>
    </w:p>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AF" w:rsidRDefault="006644AF" w:rsidP="006644AF">
      <w:pPr>
        <w:spacing w:after="0" w:line="240" w:lineRule="auto"/>
      </w:pPr>
      <w:r>
        <w:separator/>
      </w:r>
    </w:p>
  </w:endnote>
  <w:endnote w:type="continuationSeparator" w:id="0">
    <w:p w:rsidR="006644AF" w:rsidRDefault="006644AF" w:rsidP="006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AF" w:rsidRDefault="006644AF" w:rsidP="006644AF">
      <w:pPr>
        <w:spacing w:after="0" w:line="240" w:lineRule="auto"/>
      </w:pPr>
      <w:r>
        <w:separator/>
      </w:r>
    </w:p>
  </w:footnote>
  <w:footnote w:type="continuationSeparator" w:id="0">
    <w:p w:rsidR="006644AF" w:rsidRDefault="006644AF" w:rsidP="006644AF">
      <w:pPr>
        <w:spacing w:after="0" w:line="240" w:lineRule="auto"/>
      </w:pPr>
      <w:r>
        <w:continuationSeparator/>
      </w:r>
    </w:p>
  </w:footnote>
  <w:footnote w:id="1">
    <w:p w:rsidR="006644AF" w:rsidRPr="00504C45" w:rsidRDefault="006644AF" w:rsidP="006644AF">
      <w:pPr>
        <w:pStyle w:val="Balk1"/>
        <w:rPr>
          <w:b w:val="0"/>
          <w:sz w:val="18"/>
          <w:szCs w:val="18"/>
        </w:rPr>
      </w:pPr>
      <w:r w:rsidRPr="00ED0EA7">
        <w:rPr>
          <w:rStyle w:val="DipnotBavurusu"/>
          <w:sz w:val="18"/>
          <w:szCs w:val="18"/>
        </w:rPr>
        <w:footnoteRef/>
      </w:r>
      <w:r w:rsidRPr="00ED0EA7">
        <w:rPr>
          <w:sz w:val="18"/>
          <w:szCs w:val="18"/>
        </w:rPr>
        <w:t xml:space="preserve"> </w:t>
      </w:r>
      <w:r w:rsidRPr="00504C45">
        <w:rPr>
          <w:b w:val="0"/>
          <w:sz w:val="18"/>
          <w:szCs w:val="18"/>
        </w:rPr>
        <w:t>Nihan AYDIN ERTUĞRUL, M. Sc., Mersin University, nihanertugrul@mersin.edu.tr</w:t>
      </w:r>
    </w:p>
  </w:footnote>
  <w:footnote w:id="2">
    <w:p w:rsidR="006644AF" w:rsidRPr="008F6A1D" w:rsidRDefault="006644AF" w:rsidP="006644AF">
      <w:pPr>
        <w:pStyle w:val="DipnotMetni"/>
        <w:rPr>
          <w:sz w:val="18"/>
          <w:szCs w:val="18"/>
        </w:rPr>
      </w:pPr>
      <w:r w:rsidRPr="00ED0EA7">
        <w:rPr>
          <w:rStyle w:val="DipnotBavurusu"/>
          <w:sz w:val="18"/>
          <w:szCs w:val="18"/>
        </w:rPr>
        <w:footnoteRef/>
      </w:r>
      <w:r w:rsidRPr="00ED0EA7">
        <w:rPr>
          <w:sz w:val="18"/>
          <w:szCs w:val="18"/>
        </w:rPr>
        <w:t xml:space="preserve"> </w:t>
      </w:r>
      <w:r w:rsidRPr="00247C83">
        <w:t>Zübeyde HATİPOĞLU BAĞCI</w:t>
      </w:r>
      <w:r>
        <w:t>, Assoc. Prof. Dr</w:t>
      </w:r>
      <w:proofErr w:type="gramStart"/>
      <w:r>
        <w:t>.,</w:t>
      </w:r>
      <w:proofErr w:type="gramEnd"/>
      <w:r>
        <w:t xml:space="preserve"> </w:t>
      </w:r>
      <w:r w:rsidRPr="00616D45">
        <w:rPr>
          <w:lang w:eastAsia="ja-JP"/>
        </w:rPr>
        <w:t>Mersin University</w:t>
      </w:r>
      <w:r>
        <w:rPr>
          <w:lang w:eastAsia="ja-JP"/>
        </w:rPr>
        <w:t xml:space="preserve">, </w:t>
      </w:r>
      <w:r w:rsidRPr="00616D45">
        <w:rPr>
          <w:lang w:eastAsia="ja-JP"/>
        </w:rPr>
        <w:t>zubeyde@mersin.edu.tr</w:t>
      </w:r>
    </w:p>
  </w:footnote>
  <w:footnote w:id="3">
    <w:p w:rsidR="006644AF" w:rsidRPr="008F6A1D" w:rsidRDefault="006644AF" w:rsidP="006644AF">
      <w:pPr>
        <w:pStyle w:val="DipnotMetni"/>
        <w:rPr>
          <w:sz w:val="18"/>
          <w:szCs w:val="18"/>
        </w:rPr>
      </w:pPr>
      <w:r w:rsidRPr="00ED0EA7">
        <w:rPr>
          <w:rStyle w:val="DipnotBavurusu"/>
          <w:sz w:val="18"/>
          <w:szCs w:val="18"/>
        </w:rPr>
        <w:footnoteRef/>
      </w:r>
      <w:r w:rsidRPr="00ED0EA7">
        <w:rPr>
          <w:sz w:val="18"/>
          <w:szCs w:val="18"/>
        </w:rPr>
        <w:t xml:space="preserve"> </w:t>
      </w:r>
      <w:r w:rsidRPr="00247C83">
        <w:t>Özgür Lütfi ERTUĞRUL</w:t>
      </w:r>
      <w:r>
        <w:t>, Assoc. Prof. Dr</w:t>
      </w:r>
      <w:proofErr w:type="gramStart"/>
      <w:r>
        <w:t>.,</w:t>
      </w:r>
      <w:proofErr w:type="gramEnd"/>
      <w:r>
        <w:t xml:space="preserve"> </w:t>
      </w:r>
      <w:r w:rsidRPr="00616D45">
        <w:rPr>
          <w:lang w:eastAsia="ja-JP"/>
        </w:rPr>
        <w:t>Mersin University</w:t>
      </w:r>
      <w:r>
        <w:rPr>
          <w:lang w:eastAsia="ja-JP"/>
        </w:rPr>
        <w:t xml:space="preserve">, </w:t>
      </w:r>
      <w:hyperlink r:id="rId1" w:tgtFrame="_blank" w:history="1">
        <w:r w:rsidRPr="001225FB">
          <w:rPr>
            <w:lang w:eastAsia="ja-JP"/>
          </w:rPr>
          <w:t>ertugrul@mersin.edu.tr</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3939"/>
    <w:multiLevelType w:val="hybridMultilevel"/>
    <w:tmpl w:val="331AC49A"/>
    <w:lvl w:ilvl="0" w:tplc="D5A83962">
      <w:start w:val="1"/>
      <w:numFmt w:val="decimal"/>
      <w:lvlText w:val="[%1]."/>
      <w:lvlJc w:val="left"/>
      <w:pPr>
        <w:tabs>
          <w:tab w:val="num" w:pos="360"/>
        </w:tabs>
        <w:ind w:left="360" w:hanging="360"/>
      </w:pPr>
      <w:rPr>
        <w:rFonts w:hint="default"/>
        <w:sz w:val="24"/>
        <w:szCs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62081288"/>
    <w:multiLevelType w:val="hybridMultilevel"/>
    <w:tmpl w:val="01FEBC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AF"/>
    <w:rsid w:val="006644AF"/>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5DA6D-C771-4793-81C3-45208C25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AF"/>
  </w:style>
  <w:style w:type="paragraph" w:styleId="Balk1">
    <w:name w:val="heading 1"/>
    <w:basedOn w:val="Normal"/>
    <w:next w:val="Normal"/>
    <w:link w:val="Balk1Char"/>
    <w:autoRedefine/>
    <w:uiPriority w:val="9"/>
    <w:qFormat/>
    <w:rsid w:val="006644AF"/>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44AF"/>
    <w:rPr>
      <w:rFonts w:eastAsiaTheme="majorEastAsia" w:cstheme="majorBidi"/>
      <w:b/>
      <w:szCs w:val="32"/>
      <w:lang w:val="en"/>
    </w:rPr>
  </w:style>
  <w:style w:type="paragraph" w:styleId="DipnotMetni">
    <w:name w:val="footnote text"/>
    <w:basedOn w:val="Normal"/>
    <w:link w:val="DipnotMetniChar"/>
    <w:unhideWhenUsed/>
    <w:rsid w:val="006644AF"/>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6644AF"/>
    <w:rPr>
      <w:rFonts w:eastAsia="Times New Roman" w:cs="Times New Roman"/>
      <w:sz w:val="20"/>
      <w:szCs w:val="20"/>
    </w:rPr>
  </w:style>
  <w:style w:type="character" w:styleId="DipnotBavurusu">
    <w:name w:val="footnote reference"/>
    <w:basedOn w:val="VarsaylanParagrafYazTipi"/>
    <w:unhideWhenUsed/>
    <w:rsid w:val="006644AF"/>
    <w:rPr>
      <w:vertAlign w:val="superscript"/>
    </w:rPr>
  </w:style>
  <w:style w:type="paragraph" w:styleId="ListeParagraf">
    <w:name w:val="List Paragraph"/>
    <w:basedOn w:val="Normal"/>
    <w:uiPriority w:val="34"/>
    <w:qFormat/>
    <w:rsid w:val="006644AF"/>
    <w:pPr>
      <w:spacing w:after="200" w:line="276" w:lineRule="auto"/>
      <w:ind w:left="720"/>
      <w:contextualSpacing/>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ea-eces.org/energy-storage/storage-techniques/underground-thermalenergy-storag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rtugrul@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2867</Words>
  <Characters>16343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2020-02-26T05:47:00Z</dcterms:created>
  <dcterms:modified xsi:type="dcterms:W3CDTF">2020-02-26T05:47:00Z</dcterms:modified>
</cp:coreProperties>
</file>