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7F4" w:rsidRDefault="00F017F4" w:rsidP="00F017F4">
      <w:pPr>
        <w:keepNext/>
        <w:keepLines/>
        <w:spacing w:after="120"/>
        <w:jc w:val="center"/>
        <w:outlineLvl w:val="0"/>
        <w:rPr>
          <w:b/>
          <w:bCs/>
          <w:sz w:val="28"/>
        </w:rPr>
      </w:pPr>
      <w:r w:rsidRPr="00CD70BD">
        <w:rPr>
          <w:b/>
          <w:bCs/>
          <w:sz w:val="28"/>
        </w:rPr>
        <w:t>Ti Alaşımlı Metallerin Sağlıkta Uygulamaları</w:t>
      </w:r>
    </w:p>
    <w:p w:rsidR="00F017F4" w:rsidRDefault="00F017F4" w:rsidP="00F017F4">
      <w:pPr>
        <w:keepNext/>
        <w:keepLines/>
        <w:spacing w:after="120"/>
        <w:jc w:val="right"/>
        <w:outlineLvl w:val="0"/>
        <w:rPr>
          <w:rFonts w:eastAsiaTheme="majorEastAsia" w:cstheme="majorBidi"/>
          <w:b/>
          <w:szCs w:val="32"/>
        </w:rPr>
      </w:pPr>
    </w:p>
    <w:p w:rsidR="00F017F4" w:rsidRPr="00CD70BD" w:rsidRDefault="00F017F4" w:rsidP="00F017F4">
      <w:pPr>
        <w:pStyle w:val="AltKonuBal"/>
        <w:spacing w:line="360" w:lineRule="auto"/>
        <w:jc w:val="right"/>
        <w:rPr>
          <w:rFonts w:ascii="Times New Roman" w:hAnsi="Times New Roman"/>
          <w:b w:val="0"/>
          <w:vertAlign w:val="superscript"/>
        </w:rPr>
      </w:pPr>
      <w:r w:rsidRPr="00CD70BD">
        <w:rPr>
          <w:rFonts w:ascii="Times New Roman" w:hAnsi="Times New Roman"/>
          <w:bCs w:val="0"/>
        </w:rPr>
        <w:t xml:space="preserve">Süleyman Çınar </w:t>
      </w:r>
      <w:bookmarkStart w:id="0" w:name="_GoBack"/>
      <w:r w:rsidRPr="00CD70BD">
        <w:rPr>
          <w:rFonts w:ascii="Times New Roman" w:hAnsi="Times New Roman"/>
          <w:bCs w:val="0"/>
        </w:rPr>
        <w:t>ÇAĞAN</w:t>
      </w:r>
      <w:r w:rsidRPr="00CD70BD">
        <w:rPr>
          <w:rFonts w:ascii="Times New Roman" w:hAnsi="Times New Roman"/>
          <w:b w:val="0"/>
          <w:vertAlign w:val="superscript"/>
        </w:rPr>
        <w:t xml:space="preserve"> </w:t>
      </w:r>
      <w:bookmarkEnd w:id="0"/>
      <w:r w:rsidRPr="00CD70BD">
        <w:rPr>
          <w:rFonts w:ascii="Times New Roman" w:hAnsi="Times New Roman"/>
          <w:b w:val="0"/>
          <w:vertAlign w:val="superscript"/>
        </w:rPr>
        <w:footnoteReference w:id="1"/>
      </w:r>
    </w:p>
    <w:p w:rsidR="00F017F4" w:rsidRDefault="00F017F4" w:rsidP="00F017F4">
      <w:pPr>
        <w:keepNext/>
        <w:keepLines/>
        <w:spacing w:after="120"/>
        <w:jc w:val="right"/>
        <w:outlineLvl w:val="0"/>
        <w:rPr>
          <w:rFonts w:eastAsiaTheme="majorEastAsia" w:cstheme="majorBidi"/>
          <w:b/>
          <w:szCs w:val="32"/>
        </w:rPr>
      </w:pPr>
      <w:r w:rsidRPr="00CD70BD">
        <w:rPr>
          <w:b/>
          <w:bCs/>
        </w:rPr>
        <w:t>Berat Barış BULDUM</w:t>
      </w:r>
      <w:r w:rsidRPr="00CD70BD">
        <w:rPr>
          <w:b/>
        </w:rPr>
        <w:t xml:space="preserve"> </w:t>
      </w:r>
      <w:r w:rsidRPr="00CD70BD">
        <w:rPr>
          <w:b/>
          <w:vertAlign w:val="superscript"/>
        </w:rPr>
        <w:footnoteReference w:id="2"/>
      </w:r>
    </w:p>
    <w:p w:rsidR="00F017F4" w:rsidRPr="001E4FAD" w:rsidRDefault="00F017F4" w:rsidP="00F017F4">
      <w:pPr>
        <w:keepNext/>
        <w:keepLines/>
        <w:spacing w:after="120"/>
        <w:jc w:val="both"/>
        <w:outlineLvl w:val="0"/>
        <w:rPr>
          <w:rFonts w:eastAsiaTheme="majorEastAsia" w:cstheme="majorBidi"/>
          <w:b/>
          <w:szCs w:val="32"/>
        </w:rPr>
      </w:pPr>
      <w:r w:rsidRPr="001E4FAD">
        <w:rPr>
          <w:rFonts w:eastAsiaTheme="majorEastAsia" w:cstheme="majorBidi"/>
          <w:b/>
          <w:szCs w:val="32"/>
        </w:rPr>
        <w:t>Özet</w:t>
      </w:r>
    </w:p>
    <w:p w:rsidR="00F017F4" w:rsidRPr="00373072" w:rsidRDefault="00F017F4" w:rsidP="00F017F4">
      <w:pPr>
        <w:spacing w:after="120"/>
        <w:jc w:val="both"/>
        <w:rPr>
          <w:rFonts w:cs="Times New Roman"/>
          <w:szCs w:val="24"/>
        </w:rPr>
      </w:pPr>
      <w:r w:rsidRPr="00373072">
        <w:rPr>
          <w:rFonts w:cs="Times New Roman"/>
          <w:szCs w:val="24"/>
        </w:rPr>
        <w:t>Sağlık alanında kullanılan malzeme grupları içinde metallerin kullanımı her geçen gün artmaktadır. Bu metaller içinde Titanyum (Ti) ve alaşımları oldukça yaygındır. Hafif metaller içinde yer alan çok fazla malzemeler vardır. Bu malzemeler içinde Ti ve alaşımları özel bir yere sahiptir. Diğer hafif metallerin kullanımları da vardır fakat özellikle biyouyumluluk konusu dikkate alındığında, Ti ve alaşımları diğer malzeme gruplarına göre öne çıkmaktadır. Biyouyumluluk insan sağlığı tedavisinde önemlidir. Her hafif metal insan vücudu ile uyumlu değildir. Bunların uyumluluğu için çok sayıda çalışmalar yapılmıştır. Biyouyumluluğa ek olarak hafiflik bu malzeme gruplarının kullanımını yaygınlaştırmaktadır. Ti ve alaşımlar insan vücudunun birçok yerinde aktif olarak kullanılmaktadır. Bu çalışma da bu uygulamalar, geçmişten günümüze kadar olan uygulama yöntemleri detaylı olarak anlatılmaktadır. Günümüzde ve gelecekte yapılan, yapılması muhtemel çalışmalar örneklerle anlatılmıştır. Dünyada, Ülkemizde yapılan bu uygulamalara, Mersin ilindekilerde eklenerek karşılaştırılmıştır. Sağlık alanında başarılı iller arasında yer alan Mersin, başta Mersin üniversitesi olmak üzere diğer kurum ve kuruluşlardaki uygulamalar detaylı bir şekilde ifade edilmiştir.</w:t>
      </w:r>
    </w:p>
    <w:p w:rsidR="00F017F4" w:rsidRPr="00373072" w:rsidRDefault="00F017F4" w:rsidP="00F017F4">
      <w:pPr>
        <w:spacing w:after="120"/>
        <w:jc w:val="both"/>
        <w:rPr>
          <w:rFonts w:cs="Times New Roman"/>
          <w:szCs w:val="24"/>
        </w:rPr>
      </w:pPr>
      <w:r w:rsidRPr="00373072">
        <w:rPr>
          <w:rFonts w:cs="Times New Roman"/>
          <w:b/>
          <w:szCs w:val="24"/>
        </w:rPr>
        <w:t>Anahtar Sözcükler:</w:t>
      </w:r>
    </w:p>
    <w:p w:rsidR="00F017F4" w:rsidRDefault="00F017F4" w:rsidP="00F017F4">
      <w:pPr>
        <w:spacing w:after="120"/>
        <w:jc w:val="both"/>
        <w:rPr>
          <w:rFonts w:cs="Times New Roman"/>
          <w:szCs w:val="24"/>
        </w:rPr>
      </w:pPr>
      <w:r w:rsidRPr="00373072">
        <w:rPr>
          <w:rFonts w:cs="Times New Roman"/>
          <w:szCs w:val="24"/>
        </w:rPr>
        <w:t>Ti, Titanyum alaşımları, Sağlık, Mersin, Üretim Teknolojileri</w:t>
      </w:r>
      <w:r>
        <w:rPr>
          <w:rFonts w:cs="Times New Roman"/>
          <w:szCs w:val="24"/>
        </w:rPr>
        <w:t>.</w:t>
      </w:r>
    </w:p>
    <w:p w:rsidR="00F017F4" w:rsidRDefault="00F017F4" w:rsidP="00F017F4">
      <w:pPr>
        <w:spacing w:after="120"/>
        <w:jc w:val="both"/>
        <w:rPr>
          <w:rFonts w:cs="Times New Roman"/>
          <w:szCs w:val="24"/>
        </w:rPr>
      </w:pPr>
    </w:p>
    <w:p w:rsidR="00F017F4" w:rsidRPr="005D2D89" w:rsidRDefault="00F017F4" w:rsidP="00F017F4">
      <w:pPr>
        <w:rPr>
          <w:rFonts w:cs="Times New Roman"/>
          <w:b/>
          <w:szCs w:val="24"/>
        </w:rPr>
      </w:pPr>
      <w:r w:rsidRPr="005D2D89">
        <w:rPr>
          <w:rFonts w:cs="Times New Roman"/>
          <w:b/>
          <w:szCs w:val="24"/>
        </w:rPr>
        <w:br w:type="page"/>
      </w:r>
    </w:p>
    <w:p w:rsidR="00F017F4" w:rsidRPr="005D2D89" w:rsidRDefault="00F017F4" w:rsidP="00F017F4">
      <w:pPr>
        <w:spacing w:after="120"/>
        <w:jc w:val="center"/>
        <w:rPr>
          <w:rFonts w:cs="Times New Roman"/>
          <w:b/>
          <w:szCs w:val="24"/>
        </w:rPr>
      </w:pPr>
    </w:p>
    <w:p w:rsidR="00F017F4" w:rsidRDefault="00F017F4" w:rsidP="00F017F4">
      <w:pPr>
        <w:spacing w:after="120"/>
        <w:jc w:val="center"/>
        <w:rPr>
          <w:rFonts w:cs="Times New Roman"/>
          <w:szCs w:val="24"/>
        </w:rPr>
      </w:pPr>
      <w:r w:rsidRPr="00373072">
        <w:rPr>
          <w:rFonts w:cs="Times New Roman"/>
          <w:b/>
          <w:szCs w:val="24"/>
          <w:lang w:val="en-US"/>
        </w:rPr>
        <w:t>Titanium alloys in medical applications</w:t>
      </w:r>
    </w:p>
    <w:p w:rsidR="00F017F4" w:rsidRDefault="00F017F4" w:rsidP="00F017F4">
      <w:pPr>
        <w:pStyle w:val="Balk1"/>
        <w:spacing w:before="0"/>
        <w:ind w:firstLine="0"/>
      </w:pPr>
    </w:p>
    <w:p w:rsidR="00F017F4" w:rsidRPr="006174C4" w:rsidRDefault="00F017F4" w:rsidP="00F017F4">
      <w:pPr>
        <w:pStyle w:val="Balk1"/>
        <w:spacing w:before="0"/>
        <w:ind w:firstLine="0"/>
      </w:pPr>
      <w:r w:rsidRPr="006174C4">
        <w:t>Abstract</w:t>
      </w:r>
    </w:p>
    <w:p w:rsidR="00F017F4" w:rsidRPr="00373072" w:rsidRDefault="00F017F4" w:rsidP="00F017F4">
      <w:pPr>
        <w:spacing w:after="120"/>
        <w:jc w:val="both"/>
        <w:rPr>
          <w:rFonts w:cs="Times New Roman"/>
          <w:szCs w:val="24"/>
          <w:lang w:val="en-US"/>
        </w:rPr>
      </w:pPr>
      <w:r w:rsidRPr="00373072">
        <w:rPr>
          <w:rFonts w:cs="Times New Roman"/>
          <w:szCs w:val="24"/>
          <w:lang w:val="en-US"/>
        </w:rPr>
        <w:t>The use of metals within the material groups used in the health field is increasing day by day. Titanium (Ti) and its alloys are very common in these metals. There are too many materials in light metals. Ti and its alloys have a special place in these materials. There are also other uses of light metals, but especially considering the biocompatibility issue, Ti and its alloys stand out from other material groups. Biocompatibility is important in the treatment of human health. Each light metal is not compatible with the human body. Numerous studies have been conducted for their compatibility. In addition to biocompatibility, lightness extends the use of these material groups. Ti and alloys are actively used in many parts of the human body. In this study, these applications are explained in detail in the application methods from past to present. Present and future studies are explained with examples. These applications in our country, in the world, are compared with the ones in Mersin. Mersin, which is among the successful cities in the field of health, has been expressed in detail in other institutions and organizations, especially in Mersin University.</w:t>
      </w:r>
    </w:p>
    <w:p w:rsidR="00F017F4" w:rsidRPr="00373072" w:rsidRDefault="00F017F4" w:rsidP="00F017F4">
      <w:pPr>
        <w:spacing w:after="120"/>
        <w:jc w:val="both"/>
        <w:rPr>
          <w:rFonts w:cs="Times New Roman"/>
          <w:b/>
          <w:szCs w:val="24"/>
          <w:lang w:val="en-US"/>
        </w:rPr>
      </w:pPr>
      <w:r w:rsidRPr="00373072">
        <w:rPr>
          <w:rFonts w:cs="Times New Roman"/>
          <w:b/>
          <w:szCs w:val="24"/>
          <w:lang w:val="en-US"/>
        </w:rPr>
        <w:t>Key Words:</w:t>
      </w:r>
    </w:p>
    <w:p w:rsidR="00F017F4" w:rsidRDefault="00F017F4" w:rsidP="00F017F4">
      <w:pPr>
        <w:spacing w:after="120"/>
        <w:jc w:val="both"/>
        <w:rPr>
          <w:rFonts w:cs="Times New Roman"/>
          <w:szCs w:val="24"/>
        </w:rPr>
      </w:pPr>
      <w:r w:rsidRPr="00373072">
        <w:rPr>
          <w:rFonts w:cs="Times New Roman"/>
          <w:szCs w:val="24"/>
          <w:lang w:val="en-US"/>
        </w:rPr>
        <w:t>Ti, Ti Alloys, Health, Mersin, Manufacturing Technology</w:t>
      </w:r>
      <w:r>
        <w:rPr>
          <w:rFonts w:cs="Times New Roman"/>
          <w:szCs w:val="24"/>
          <w:lang w:val="en-US"/>
        </w:rPr>
        <w:t>.</w:t>
      </w:r>
    </w:p>
    <w:p w:rsidR="00F017F4" w:rsidRPr="00982278" w:rsidRDefault="00F017F4" w:rsidP="00F017F4">
      <w:pPr>
        <w:spacing w:after="120"/>
        <w:ind w:firstLine="709"/>
        <w:jc w:val="both"/>
        <w:rPr>
          <w:rFonts w:cs="Times New Roman"/>
          <w:szCs w:val="24"/>
        </w:rPr>
      </w:pPr>
    </w:p>
    <w:p w:rsidR="00F017F4" w:rsidRDefault="00F017F4" w:rsidP="00F017F4">
      <w:pPr>
        <w:pStyle w:val="Balk1"/>
        <w:spacing w:before="0"/>
        <w:ind w:firstLine="0"/>
      </w:pPr>
      <w:r>
        <w:br/>
      </w:r>
    </w:p>
    <w:p w:rsidR="00F017F4" w:rsidRDefault="00F017F4" w:rsidP="00F017F4">
      <w:pPr>
        <w:spacing w:after="120"/>
        <w:jc w:val="both"/>
        <w:rPr>
          <w:rFonts w:eastAsiaTheme="majorEastAsia" w:cstheme="majorBidi"/>
          <w:b/>
          <w:szCs w:val="32"/>
          <w:lang w:val="en"/>
        </w:rPr>
      </w:pPr>
      <w:r>
        <w:br w:type="page"/>
      </w:r>
    </w:p>
    <w:p w:rsidR="00F017F4" w:rsidRDefault="00F017F4" w:rsidP="00F017F4">
      <w:pPr>
        <w:pStyle w:val="Balk1"/>
        <w:spacing w:before="0"/>
        <w:ind w:firstLine="0"/>
      </w:pPr>
    </w:p>
    <w:p w:rsidR="00F017F4" w:rsidRPr="004A6924" w:rsidRDefault="00F017F4" w:rsidP="00F017F4">
      <w:pPr>
        <w:pStyle w:val="Balk1"/>
        <w:spacing w:before="0"/>
        <w:ind w:firstLine="0"/>
      </w:pPr>
      <w:r w:rsidRPr="004A6924">
        <w:t>GİRİŞ</w:t>
      </w:r>
    </w:p>
    <w:p w:rsidR="00F017F4" w:rsidRPr="00373072" w:rsidRDefault="00F017F4" w:rsidP="00F017F4">
      <w:pPr>
        <w:jc w:val="both"/>
        <w:rPr>
          <w:rFonts w:cs="Times New Roman"/>
          <w:szCs w:val="24"/>
        </w:rPr>
      </w:pPr>
      <w:r w:rsidRPr="00373072">
        <w:rPr>
          <w:rFonts w:cs="Times New Roman"/>
          <w:szCs w:val="24"/>
        </w:rPr>
        <w:t xml:space="preserve">İnsan vücudundaki işlevlerini kaybeden canlı dokuların işlevlerinin tekrar sağlanması veya desteklenmesi amacıyla kullanılan doğal veya yapay malzemeler, biyomalzemeler olarak adlandırılmaktadır </w:t>
      </w:r>
      <w:r w:rsidRPr="00373072">
        <w:rPr>
          <w:rFonts w:cs="Times New Roman"/>
          <w:szCs w:val="24"/>
        </w:rPr>
        <w:fldChar w:fldCharType="begin"/>
      </w:r>
      <w:r w:rsidRPr="00373072">
        <w:rPr>
          <w:rFonts w:cs="Times New Roman"/>
          <w:szCs w:val="24"/>
        </w:rPr>
        <w:instrText xml:space="preserve"> ADDIN EN.CITE &lt;EndNote&gt;&lt;Cite&gt;&lt;Author&gt;Ratner&lt;/Author&gt;&lt;Year&gt;2004&lt;/Year&gt;&lt;RecNum&gt;97&lt;/RecNum&gt;&lt;DisplayText&gt;(Ratner, Hoffman, Schoen, &amp;amp; Lemons, 2004)&lt;/DisplayText&gt;&lt;record&gt;&lt;rec-number&gt;97&lt;/rec-number&gt;&lt;foreign-keys&gt;&lt;key app="EN" db-id="sp5ffzxsjdztfzextfzv9t91feaat0er2e9e"&gt;97&lt;/key&gt;&lt;/foreign-keys&gt;&lt;ref-type name="Book"&gt;6&lt;/ref-type&gt;&lt;contributors&gt;&lt;authors&gt;&lt;author&gt;Ratner, Buddy D&lt;/author&gt;&lt;author&gt;Hoffman, Allan S&lt;/author&gt;&lt;author&gt;Schoen, Frederick J&lt;/author&gt;&lt;author&gt;Lemons, Jack E&lt;/author&gt;&lt;/authors&gt;&lt;/contributors&gt;&lt;titles&gt;&lt;title&gt;Biomaterials science: an introduction to materials in medicine&lt;/title&gt;&lt;/titles&gt;&lt;dates&gt;&lt;year&gt;2004&lt;/year&gt;&lt;/dates&gt;&lt;publisher&gt;Elsevier&lt;/publisher&gt;&lt;isbn&gt;008047036X&lt;/isbn&gt;&lt;urls&gt;&lt;/urls&gt;&lt;/record&gt;&lt;/Cite&gt;&lt;/EndNote&gt;</w:instrText>
      </w:r>
      <w:r w:rsidRPr="00373072">
        <w:rPr>
          <w:rFonts w:cs="Times New Roman"/>
          <w:szCs w:val="24"/>
        </w:rPr>
        <w:fldChar w:fldCharType="separate"/>
      </w:r>
      <w:r w:rsidRPr="00373072">
        <w:rPr>
          <w:rFonts w:cs="Times New Roman"/>
          <w:szCs w:val="24"/>
        </w:rPr>
        <w:t>(</w:t>
      </w:r>
      <w:hyperlink w:anchor="_ENREF_12" w:tooltip="Ratner, 2004 #97" w:history="1">
        <w:r w:rsidRPr="00373072">
          <w:rPr>
            <w:rStyle w:val="Kpr"/>
            <w:rFonts w:cs="Times New Roman"/>
            <w:szCs w:val="24"/>
          </w:rPr>
          <w:t>Ratner, Hoffman, Schoen, &amp; Lemons, 2004</w:t>
        </w:r>
      </w:hyperlink>
      <w:r w:rsidRPr="00373072">
        <w:rPr>
          <w:rFonts w:cs="Times New Roman"/>
          <w:szCs w:val="24"/>
        </w:rPr>
        <w:t>)</w:t>
      </w:r>
      <w:r w:rsidRPr="00373072">
        <w:rPr>
          <w:rFonts w:cs="Times New Roman"/>
          <w:szCs w:val="24"/>
        </w:rPr>
        <w:fldChar w:fldCharType="end"/>
      </w:r>
      <w:r w:rsidRPr="00373072">
        <w:rPr>
          <w:rFonts w:cs="Times New Roman"/>
          <w:szCs w:val="24"/>
        </w:rPr>
        <w:t xml:space="preserve">. Biyomalzemeler, son yıllarda teknolojinin de gelişmesiyle birlikte özellikle sağlık sektöründe çeşitli tedavi yöntemlerinin yetersiz ve etkisiz kaldığı durumlarda hastayı tekrar normal hayatına döndürmek için yaygın olarak kullanılmaktadır. İmplantlarda kullanılan biyomalzemeler, sağlıklı bir hayat sürdürebilmek için hastalık ve sakatlık gibi durumlarda tedavi amacıyla kullanılmakta olup, uygulama alanları gün geçtikçe artmaktadır </w:t>
      </w:r>
      <w:r w:rsidRPr="00373072">
        <w:rPr>
          <w:rFonts w:cs="Times New Roman"/>
          <w:szCs w:val="24"/>
        </w:rPr>
        <w:fldChar w:fldCharType="begin"/>
      </w:r>
      <w:r w:rsidRPr="00373072">
        <w:rPr>
          <w:rFonts w:cs="Times New Roman"/>
          <w:szCs w:val="24"/>
        </w:rPr>
        <w:instrText xml:space="preserve"> ADDIN EN.CITE &lt;EndNote&gt;&lt;Cite&gt;&lt;Author&gt;Çağan&lt;/Author&gt;&lt;Year&gt;2015&lt;/Year&gt;&lt;RecNum&gt;102&lt;/RecNum&gt;&lt;DisplayText&gt;(Çağan, 2015)&lt;/DisplayText&gt;&lt;record&gt;&lt;rec-number&gt;102&lt;/rec-number&gt;&lt;foreign-keys&gt;&lt;key app="EN" db-id="sp5ffzxsjdztfzextfzv9t91feaat0er2e9e"&gt;102&lt;/key&gt;&lt;/foreign-keys&gt;&lt;ref-type name="Journal Article"&gt;17&lt;/ref-type&gt;&lt;contributors&gt;&lt;authors&gt;&lt;author&gt;&lt;style face="normal" font="default" charset="162" size="100%"&gt;Süleyman Çınar Çağan&lt;/style&gt;&lt;/author&gt;&lt;/authors&gt;&lt;/contributors&gt;&lt;titles&gt;&lt;title&gt;ÇİNKO KATKILI ANTİBAKTERİYEL ÖZELLİKTE HİDROKSİAPATİT ÜRETİMİ VE KARAKTERİZASYONU&lt;/title&gt;&lt;/titles&gt;&lt;dates&gt;&lt;year&gt;&lt;style face="normal" font="default" charset="162" size="100%"&gt;2015&lt;/style&gt;&lt;/year&gt;&lt;/dates&gt;&lt;urls&gt;&lt;/urls&gt;&lt;/record&gt;&lt;/Cite&gt;&lt;/EndNote&gt;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5" w:tooltip="Çağan, 2015 #102" w:history="1">
        <w:r w:rsidRPr="00373072">
          <w:rPr>
            <w:rStyle w:val="Kpr"/>
            <w:rFonts w:cs="Times New Roman"/>
            <w:szCs w:val="24"/>
          </w:rPr>
          <w:t>Çağan, 2015</w:t>
        </w:r>
      </w:hyperlink>
      <w:r w:rsidRPr="00373072">
        <w:rPr>
          <w:rFonts w:cs="Times New Roman"/>
          <w:szCs w:val="24"/>
        </w:rPr>
        <w:t>)</w:t>
      </w:r>
      <w:r w:rsidRPr="00373072">
        <w:rPr>
          <w:rFonts w:cs="Times New Roman"/>
          <w:szCs w:val="24"/>
        </w:rPr>
        <w:fldChar w:fldCharType="end"/>
      </w:r>
      <w:r w:rsidRPr="00373072">
        <w:rPr>
          <w:rFonts w:cs="Times New Roman"/>
          <w:szCs w:val="24"/>
        </w:rPr>
        <w:t xml:space="preserve">. Bu malzemeler, ortopedik uygulamalarda eklem protezi ve kemik yenileme malzemesi olarak kullanılırken, diğer taraftan diş implantlarında ve kalp damar cerrahisinde kullanılmaktadır. Bu açıdan, biyomalzemelerin yorulma dayanımları, aşınma davranışları, yüzey korozyonu, biyouyumluluğu gibi özelliklerinin araştırılması önem arz etmektedir </w:t>
      </w:r>
      <w:r w:rsidRPr="00373072">
        <w:rPr>
          <w:rFonts w:cs="Times New Roman"/>
          <w:szCs w:val="24"/>
        </w:rPr>
        <w:fldChar w:fldCharType="begin"/>
      </w:r>
      <w:r w:rsidRPr="00373072">
        <w:rPr>
          <w:rFonts w:cs="Times New Roman"/>
          <w:szCs w:val="24"/>
        </w:rPr>
        <w:instrText xml:space="preserve"> ADDIN EN.CITE &lt;EndNote&gt;&lt;Cite&gt;&lt;Author&gt;Cao&lt;/Author&gt;&lt;Year&gt;2015&lt;/Year&gt;&lt;RecNum&gt;98&lt;/RecNum&gt;&lt;DisplayText&gt;(Cao et al., 2015)&lt;/DisplayText&gt;&lt;record&gt;&lt;rec-number&gt;98&lt;/rec-number&gt;&lt;foreign-keys&gt;&lt;key app="EN" db-id="sp5ffzxsjdztfzextfzv9t91feaat0er2e9e"&gt;98&lt;/key&gt;&lt;/foreign-keys&gt;&lt;ref-type name="Journal Article"&gt;17&lt;/ref-type&gt;&lt;contributors&gt;&lt;authors&gt;&lt;author&gt;Cao, Fei&lt;/author&gt;&lt;author&gt;Kumar, Pankaj&lt;/author&gt;&lt;author&gt;Koopman, Mark&lt;/author&gt;&lt;author&gt;Lin, Chenluh&lt;/author&gt;&lt;author&gt;Fang, Z Zak&lt;/author&gt;&lt;author&gt;Chandran, KS Ravi&lt;/author&gt;&lt;/authors&gt;&lt;/contributors&gt;&lt;titles&gt;&lt;title&gt;Understanding competing fatigue mechanisms in powder metallurgy Ti–6Al–4V alloy: role of crack initiation and duality of fatigue response&lt;/title&gt;&lt;secondary-title&gt;Materials Science and Engineering: A&lt;/secondary-title&gt;&lt;/titles&gt;&lt;periodical&gt;&lt;full-title&gt;Materials Science and Engineering: A&lt;/full-title&gt;&lt;/periodical&gt;&lt;pages&gt;139-145&lt;/pages&gt;&lt;volume&gt;630&lt;/volume&gt;&lt;dates&gt;&lt;year&gt;2015&lt;/year&gt;&lt;/dates&gt;&lt;isbn&gt;0921-5093&lt;/isbn&gt;&lt;urls&gt;&lt;/urls&gt;&lt;/record&gt;&lt;/Cite&gt;&lt;/EndNote&gt;</w:instrText>
      </w:r>
      <w:r w:rsidRPr="00373072">
        <w:rPr>
          <w:rFonts w:cs="Times New Roman"/>
          <w:szCs w:val="24"/>
        </w:rPr>
        <w:fldChar w:fldCharType="separate"/>
      </w:r>
      <w:r w:rsidRPr="00373072">
        <w:rPr>
          <w:rFonts w:cs="Times New Roman"/>
          <w:szCs w:val="24"/>
        </w:rPr>
        <w:t>(</w:t>
      </w:r>
      <w:hyperlink w:anchor="_ENREF_4" w:tooltip="Cao, 2015 #98" w:history="1">
        <w:r w:rsidRPr="00373072">
          <w:rPr>
            <w:rStyle w:val="Kpr"/>
            <w:rFonts w:cs="Times New Roman"/>
            <w:szCs w:val="24"/>
          </w:rPr>
          <w:t>Cao et al., 2015</w:t>
        </w:r>
      </w:hyperlink>
      <w:r w:rsidRPr="00373072">
        <w:rPr>
          <w:rFonts w:cs="Times New Roman"/>
          <w:szCs w:val="24"/>
        </w:rPr>
        <w:t>)</w:t>
      </w:r>
      <w:r w:rsidRPr="00373072">
        <w:rPr>
          <w:rFonts w:cs="Times New Roman"/>
          <w:szCs w:val="24"/>
        </w:rPr>
        <w:fldChar w:fldCharType="end"/>
      </w:r>
      <w:r w:rsidRPr="00373072">
        <w:rPr>
          <w:rFonts w:cs="Times New Roman"/>
          <w:szCs w:val="24"/>
        </w:rPr>
        <w:t xml:space="preserve">. Biyomedikal uygulamalarda esas olarak kullanılan metal ve alaşımları 316L paslanmaz çelikler, Co-Cr alaşımları ve Ti alaşımlarıdır </w:t>
      </w:r>
      <w:r w:rsidRPr="00373072">
        <w:rPr>
          <w:rFonts w:cs="Times New Roman"/>
          <w:szCs w:val="24"/>
        </w:rPr>
        <w:fldChar w:fldCharType="begin"/>
      </w:r>
      <w:r w:rsidRPr="00373072">
        <w:rPr>
          <w:rFonts w:cs="Times New Roman"/>
          <w:szCs w:val="24"/>
        </w:rPr>
        <w:instrText xml:space="preserve"> ADDIN EN.CITE &lt;EndNote&gt;&lt;Cite&gt;&lt;Author&gt;Li&lt;/Author&gt;&lt;Year&gt;2014&lt;/Year&gt;&lt;RecNum&gt;99&lt;/RecNum&gt;&lt;DisplayText&gt;(Li et al., 2014)&lt;/DisplayText&gt;&lt;record&gt;&lt;rec-number&gt;99&lt;/rec-number&gt;&lt;foreign-keys&gt;&lt;key app="EN" db-id="sp5ffzxsjdztfzextfzv9t91feaat0er2e9e"&gt;99&lt;/key&gt;&lt;/foreign-keys&gt;&lt;ref-type name="Journal Article"&gt;17&lt;/ref-type&gt;&lt;contributors&gt;&lt;authors&gt;&lt;author&gt;Li, Yuhua&lt;/author&gt;&lt;author&gt;Yang, Chao&lt;/author&gt;&lt;author&gt;Zhao, Haidong&lt;/author&gt;&lt;author&gt;Qu, Shengguan&lt;/author&gt;&lt;author&gt;Li, Xiaoqiang&lt;/author&gt;&lt;author&gt;Li, Yuanyuan&lt;/author&gt;&lt;/authors&gt;&lt;/contributors&gt;&lt;titles&gt;&lt;title&gt;New developments of Ti-based alloys for biomedical applications&lt;/title&gt;&lt;secondary-title&gt;Materials&lt;/secondary-title&gt;&lt;/titles&gt;&lt;periodical&gt;&lt;full-title&gt;Materials&lt;/full-title&gt;&lt;/periodical&gt;&lt;pages&gt;1709-1800&lt;/pages&gt;&lt;volume&gt;7&lt;/volume&gt;&lt;number&gt;3&lt;/number&gt;&lt;dates&gt;&lt;year&gt;2014&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9" w:tooltip="Li, 2014 #99" w:history="1">
        <w:r w:rsidRPr="00373072">
          <w:rPr>
            <w:rStyle w:val="Kpr"/>
            <w:rFonts w:cs="Times New Roman"/>
            <w:szCs w:val="24"/>
          </w:rPr>
          <w:t>Li et al., 2014</w:t>
        </w:r>
      </w:hyperlink>
      <w:r w:rsidRPr="00373072">
        <w:rPr>
          <w:rFonts w:cs="Times New Roman"/>
          <w:szCs w:val="24"/>
        </w:rPr>
        <w:t>)</w:t>
      </w:r>
      <w:r w:rsidRPr="00373072">
        <w:rPr>
          <w:rFonts w:cs="Times New Roman"/>
          <w:szCs w:val="24"/>
        </w:rPr>
        <w:fldChar w:fldCharType="end"/>
      </w:r>
      <w:r w:rsidRPr="00373072">
        <w:rPr>
          <w:rFonts w:cs="Times New Roman"/>
          <w:szCs w:val="24"/>
        </w:rPr>
        <w:t>.</w:t>
      </w:r>
    </w:p>
    <w:p w:rsidR="00F017F4" w:rsidRPr="00373072" w:rsidRDefault="00F017F4" w:rsidP="00F017F4">
      <w:pPr>
        <w:jc w:val="both"/>
        <w:rPr>
          <w:rFonts w:cs="Times New Roman"/>
          <w:szCs w:val="24"/>
        </w:rPr>
      </w:pPr>
      <w:r w:rsidRPr="00373072">
        <w:rPr>
          <w:rFonts w:cs="Times New Roman"/>
          <w:szCs w:val="24"/>
        </w:rPr>
        <w:t xml:space="preserve">Ekonomik yönden biyomalzeme pazarı 2018 yılı verilerine göre; günümüzde yaklaşık 70 milyar $ civarındadır </w:t>
      </w:r>
      <w:r w:rsidRPr="00373072">
        <w:rPr>
          <w:rFonts w:cs="Times New Roman"/>
          <w:szCs w:val="24"/>
        </w:rPr>
        <w:fldChar w:fldCharType="begin"/>
      </w:r>
      <w:r w:rsidRPr="00373072">
        <w:rPr>
          <w:rFonts w:cs="Times New Roman"/>
          <w:szCs w:val="24"/>
        </w:rPr>
        <w:instrText xml:space="preserve"> ADDIN EN.CITE &lt;EndNote&gt;&lt;Cite&gt;&lt;Author&gt;Markets and Markets&lt;/Author&gt;&lt;RecNum&gt;96&lt;/RecNum&gt;&lt;DisplayText&gt;(Markets and Markets, 2018)&lt;/DisplayText&gt;&lt;record&gt;&lt;rec-number&gt;96&lt;/rec-number&gt;&lt;foreign-keys&gt;&lt;key app="EN" db-id="sp5ffzxsjdztfzextfzv9t91feaat0er2e9e"&gt;96&lt;/key&gt;&lt;/foreign-keys&gt;&lt;ref-type name="Journal Article"&gt;17&lt;/ref-type&gt;&lt;contributors&gt;&lt;authors&gt;&lt;author&gt;&lt;style face="normal" font="default" size="100%"&gt;Markets and Markets&lt;/style&gt;&lt;style face="normal" font="default" charset="162" size="100%"&gt;, 2018&lt;/style&gt;&lt;/author&gt;&lt;/authors&gt;&lt;/contributors&gt;&lt;titles&gt;&lt;title&gt;Markets and Markets, Global Biomaterial Market (2016-2021), Report Description, https://www.marketsandmarkets.com/PressReleases/global-biomaterials.asp, (2018).&lt;/title&gt;&lt;/titles&gt;&lt;dates&gt;&lt;year&gt;&lt;style face="normal" font="default" charset="162" size="100%"&gt;2018&lt;/style&gt;&lt;/year&gt;&lt;/dates&gt;&lt;urls&gt;&lt;/urls&gt;&lt;/record&gt;&lt;/Cite&gt;&lt;/EndNote&gt;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10" w:tooltip="Markets and Markets, 2018 #96" w:history="1">
        <w:r w:rsidRPr="00373072">
          <w:rPr>
            <w:rStyle w:val="Kpr"/>
            <w:rFonts w:cs="Times New Roman"/>
            <w:szCs w:val="24"/>
          </w:rPr>
          <w:t>Markets and Markets, 2018</w:t>
        </w:r>
      </w:hyperlink>
      <w:r w:rsidRPr="00373072">
        <w:rPr>
          <w:rFonts w:cs="Times New Roman"/>
          <w:szCs w:val="24"/>
        </w:rPr>
        <w:t>)</w:t>
      </w:r>
      <w:r w:rsidRPr="00373072">
        <w:rPr>
          <w:rFonts w:cs="Times New Roman"/>
          <w:szCs w:val="24"/>
        </w:rPr>
        <w:fldChar w:fldCharType="end"/>
      </w:r>
      <w:r w:rsidRPr="00373072">
        <w:rPr>
          <w:rFonts w:cs="Times New Roman"/>
          <w:szCs w:val="24"/>
        </w:rPr>
        <w:t xml:space="preserve">. 2021 yılına kadar da biyomalzeme pazarı hacminin 2 kat artacağı tahmin edilmektedir. Biyomalzeme pazarı içinde ise ortopedi ve diş implant uygulamalarının payının % 55 civarında olduğu belirtilmektedir </w:t>
      </w:r>
      <w:r w:rsidRPr="00373072">
        <w:rPr>
          <w:rFonts w:cs="Times New Roman"/>
          <w:szCs w:val="24"/>
        </w:rPr>
        <w:fldChar w:fldCharType="begin"/>
      </w:r>
      <w:r w:rsidRPr="00373072">
        <w:rPr>
          <w:rFonts w:cs="Times New Roman"/>
          <w:szCs w:val="24"/>
        </w:rPr>
        <w:instrText xml:space="preserve"> ADDIN EN.CITE &lt;EndNote&gt;&lt;Cite&gt;&lt;Author&gt;Markets and Markets&lt;/Author&gt;&lt;Year&gt;2018&lt;/Year&gt;&lt;RecNum&gt;96&lt;/RecNum&gt;&lt;DisplayText&gt;(Markets and Markets, 2018)&lt;/DisplayText&gt;&lt;record&gt;&lt;rec-number&gt;96&lt;/rec-number&gt;&lt;foreign-keys&gt;&lt;key app="EN" db-id="sp5ffzxsjdztfzextfzv9t91feaat0er2e9e"&gt;96&lt;/key&gt;&lt;/foreign-keys&gt;&lt;ref-type name="Journal Article"&gt;17&lt;/ref-type&gt;&lt;contributors&gt;&lt;authors&gt;&lt;author&gt;&lt;style face="normal" font="default" size="100%"&gt;Markets and Markets&lt;/style&gt;&lt;style face="normal" font="default" charset="162" size="100%"&gt;, 2018&lt;/style&gt;&lt;/author&gt;&lt;/authors&gt;&lt;/contributors&gt;&lt;titles&gt;&lt;title&gt;Markets and Markets, Global Biomaterial Market (2016-2021), Report Description, https://www.marketsandmarkets.com/PressReleases/global-biomaterials.asp, (2018).&lt;/title&gt;&lt;/titles&gt;&lt;dates&gt;&lt;year&gt;&lt;style face="normal" font="default" charset="162" size="100%"&gt;2018&lt;/style&gt;&lt;/year&gt;&lt;/dates&gt;&lt;urls&gt;&lt;/urls&gt;&lt;/record&gt;&lt;/Cite&gt;&lt;/EndNote&gt;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10" w:tooltip="Markets and Markets, 2018 #96" w:history="1">
        <w:r w:rsidRPr="00373072">
          <w:rPr>
            <w:rStyle w:val="Kpr"/>
            <w:rFonts w:cs="Times New Roman"/>
            <w:szCs w:val="24"/>
          </w:rPr>
          <w:t>Markets and Markets, 2018</w:t>
        </w:r>
      </w:hyperlink>
      <w:r w:rsidRPr="00373072">
        <w:rPr>
          <w:rFonts w:cs="Times New Roman"/>
          <w:szCs w:val="24"/>
        </w:rPr>
        <w:t>)</w:t>
      </w:r>
      <w:r w:rsidRPr="00373072">
        <w:rPr>
          <w:rFonts w:cs="Times New Roman"/>
          <w:szCs w:val="24"/>
        </w:rPr>
        <w:fldChar w:fldCharType="end"/>
      </w:r>
      <w:r w:rsidRPr="00373072">
        <w:rPr>
          <w:rFonts w:cs="Times New Roman"/>
          <w:szCs w:val="24"/>
        </w:rPr>
        <w:t>.</w:t>
      </w:r>
    </w:p>
    <w:p w:rsidR="00F017F4" w:rsidRPr="00373072" w:rsidRDefault="00F017F4" w:rsidP="00F017F4">
      <w:pPr>
        <w:jc w:val="both"/>
        <w:rPr>
          <w:rFonts w:cs="Times New Roman"/>
          <w:szCs w:val="24"/>
        </w:rPr>
      </w:pPr>
      <w:r w:rsidRPr="00373072">
        <w:rPr>
          <w:rFonts w:cs="Times New Roman"/>
          <w:szCs w:val="24"/>
        </w:rPr>
        <w:t>Titanyum (Ti) ve alaşımları, düşük yoğunluk (4,506 g/cm</w:t>
      </w:r>
      <w:r w:rsidRPr="00373072">
        <w:rPr>
          <w:rFonts w:cs="Times New Roman"/>
          <w:szCs w:val="24"/>
          <w:vertAlign w:val="superscript"/>
        </w:rPr>
        <w:t>3</w:t>
      </w:r>
      <w:r w:rsidRPr="00373072">
        <w:rPr>
          <w:rFonts w:cs="Times New Roman"/>
          <w:szCs w:val="24"/>
        </w:rPr>
        <w:t xml:space="preserve">) yüksek mekanik direnç, mükemmel korozyon direnci ve iyi biyouyumluluk gibi mekanik, kimyasal ve fiziksel özelliklerin uygun bir kombinasyonuna sahip olması nedeniyle tıp ve dişçilik alanlarında biyomalzeme olarak uygulamaları gün geçtikçe artmaktadır </w:t>
      </w:r>
      <w:r w:rsidRPr="00373072">
        <w:rPr>
          <w:rFonts w:cs="Times New Roman"/>
          <w:szCs w:val="24"/>
        </w:rPr>
        <w:fldChar w:fldCharType="begin"/>
      </w:r>
      <w:r w:rsidRPr="00373072">
        <w:rPr>
          <w:rFonts w:cs="Times New Roman"/>
          <w:szCs w:val="24"/>
        </w:rPr>
        <w:instrText xml:space="preserve"> ADDIN EN.CITE &lt;EndNote&gt;&lt;Cite&gt;&lt;Author&gt;Niinomi&lt;/Author&gt;&lt;Year&gt;2008&lt;/Year&gt;&lt;RecNum&gt;101&lt;/RecNum&gt;&lt;DisplayText&gt;(Cagan &amp;amp; Buldum, 2017; Niinomi, 2008)&lt;/DisplayText&gt;&lt;record&gt;&lt;rec-number&gt;101&lt;/rec-number&gt;&lt;foreign-keys&gt;&lt;key app="EN" db-id="sp5ffzxsjdztfzextfzv9t91feaat0er2e9e"&gt;101&lt;/key&gt;&lt;/foreign-keys&gt;&lt;ref-type name="Journal Article"&gt;17&lt;/ref-type&gt;&lt;contributors&gt;&lt;authors&gt;&lt;author&gt;Niinomi, Mitsuo&lt;/author&gt;&lt;/authors&gt;&lt;/contributors&gt;&lt;titles&gt;&lt;title&gt;Mechanical biocompatibilities of titanium alloys for biomedical applications&lt;/title&gt;&lt;secondary-title&gt;Journal of the mechanical behavior of biomedical materials&lt;/secondary-title&gt;&lt;/titles&gt;&lt;periodical&gt;&lt;full-title&gt;Journal of the mechanical behavior of biomedical materials&lt;/full-title&gt;&lt;/periodical&gt;&lt;pages&gt;30-42&lt;/pages&gt;&lt;volume&gt;1&lt;/volume&gt;&lt;number&gt;1&lt;/number&gt;&lt;dates&gt;&lt;year&gt;2008&lt;/year&gt;&lt;/dates&gt;&lt;isbn&gt;1751-6161&lt;/isbn&gt;&lt;urls&gt;&lt;/urls&gt;&lt;/record&gt;&lt;/Cite&gt;&lt;Cite&gt;&lt;Author&gt;CAGAN&lt;/Author&gt;&lt;RecNum&gt;103&lt;/RecNum&gt;&lt;record&gt;&lt;rec-number&gt;103&lt;/rec-number&gt;&lt;foreign-keys&gt;&lt;key app="EN" db-id="sp5ffzxsjdztfzextfzv9t91feaat0er2e9e"&gt;103&lt;/key&gt;&lt;/foreign-keys&gt;&lt;ref-type name="Journal Article"&gt;17&lt;/ref-type&gt;&lt;contributors&gt;&lt;authors&gt;&lt;author&gt;&lt;style face="normal" font="default" charset="162" size="100%"&gt;Cagan&lt;/style&gt;&lt;/author&gt;&lt;author&gt;Buldum &lt;/author&gt;&lt;/authors&gt;&lt;/contributors&gt;&lt;titles&gt;&lt;title&gt;INVESTIGATION OF THE EFFECT OF MINIMUM QUANTITY LUBRICATION (MQL) ON THE MACHINING OF TITANIUM AND ITS ALLOYS A REVIEW&lt;/title&gt;&lt;/titles&gt;&lt;dates&gt;&lt;year&gt;&lt;style face="normal" font="default" charset="162" size="100%"&gt;2017&lt;/style&gt;&lt;/year&gt;&lt;/dates&gt;&lt;urls&gt;&lt;/urls&gt;&lt;/record&gt;&lt;/Cite&gt;&lt;/EndNote&gt;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3" w:tooltip="Cagan, 2017 #103" w:history="1">
        <w:r w:rsidRPr="00373072">
          <w:rPr>
            <w:rStyle w:val="Kpr"/>
            <w:rFonts w:cs="Times New Roman"/>
            <w:szCs w:val="24"/>
          </w:rPr>
          <w:t>Cagan &amp; Buldum, 2017</w:t>
        </w:r>
      </w:hyperlink>
      <w:r w:rsidRPr="00373072">
        <w:rPr>
          <w:rFonts w:cs="Times New Roman"/>
          <w:szCs w:val="24"/>
        </w:rPr>
        <w:t xml:space="preserve">; </w:t>
      </w:r>
      <w:hyperlink w:anchor="_ENREF_11" w:tooltip="Niinomi, 2008 #101" w:history="1">
        <w:r w:rsidRPr="00373072">
          <w:rPr>
            <w:rStyle w:val="Kpr"/>
            <w:rFonts w:cs="Times New Roman"/>
            <w:szCs w:val="24"/>
          </w:rPr>
          <w:t>Niinomi, 2008</w:t>
        </w:r>
      </w:hyperlink>
      <w:r w:rsidRPr="00373072">
        <w:rPr>
          <w:rFonts w:cs="Times New Roman"/>
          <w:szCs w:val="24"/>
        </w:rPr>
        <w:t>)</w:t>
      </w:r>
      <w:r w:rsidRPr="00373072">
        <w:rPr>
          <w:rFonts w:cs="Times New Roman"/>
          <w:szCs w:val="24"/>
        </w:rPr>
        <w:fldChar w:fldCharType="end"/>
      </w:r>
      <w:r w:rsidRPr="00373072">
        <w:rPr>
          <w:rFonts w:cs="Times New Roman"/>
          <w:szCs w:val="24"/>
        </w:rPr>
        <w:t xml:space="preserve">. Kemiğin yerini almak veya etkileşmek için geliştirilen bir başka önemli implant faktörü elastisite modülüdür. Bu modül kemiğin iyileşmesine ve yeniden şekillenmesine yardımcı olmak için kemiğinkine yakın ve düşük olmalıdır. Kortikal kemik, 10 ile 30 GPa arasında bir esneklik modülüne ve ticari olarak saf titanyum, yaklaşık 104 GPa'ya sahiptir. 1985'ten beri, biyouyumlu malzemeler, vanadyum ve alüminyumun muhtemel toksisitesine ve düşük elastik modüllü bir malzemenin kullanılmasının avantajına bağlı olarak, ana titanyum alaşımı Ti-6Al-4V'nin olacak şekilde geliştirilmiştir </w:t>
      </w:r>
      <w:r w:rsidRPr="00373072">
        <w:rPr>
          <w:rFonts w:cs="Times New Roman"/>
          <w:szCs w:val="24"/>
        </w:rPr>
        <w:fldChar w:fldCharType="begin"/>
      </w:r>
      <w:r w:rsidRPr="00373072">
        <w:rPr>
          <w:rFonts w:cs="Times New Roman"/>
          <w:szCs w:val="24"/>
        </w:rPr>
        <w:instrText xml:space="preserve"> ADDIN EN.CITE &lt;EndNote&gt;&lt;Cite&gt;&lt;Author&gt;Ribeiro&lt;/Author&gt;&lt;Year&gt;2009&lt;/Year&gt;&lt;RecNum&gt;100&lt;/RecNum&gt;&lt;DisplayText&gt;(Ribeiro, Junior, Cardoso, Fernandes Filho, &amp;amp; Vaz, 2009)&lt;/DisplayText&gt;&lt;record&gt;&lt;rec-number&gt;100&lt;/rec-number&gt;&lt;foreign-keys&gt;&lt;key app="EN" db-id="sp5ffzxsjdztfzextfzv9t91feaat0er2e9e"&gt;100&lt;/key&gt;&lt;/foreign-keys&gt;&lt;ref-type name="Journal Article"&gt;17&lt;/ref-type&gt;&lt;contributors&gt;&lt;authors&gt;&lt;author&gt;Ribeiro, Ana Lúcia Roselino&lt;/author&gt;&lt;author&gt;Junior, Rubens Caram&lt;/author&gt;&lt;author&gt;Cardoso, Flávia Farias&lt;/author&gt;&lt;author&gt;Fernandes Filho, Romeu Belon&lt;/author&gt;&lt;author&gt;Vaz, Luís Geraldo&lt;/author&gt;&lt;/authors&gt;&lt;/contributors&gt;&lt;titles&gt;&lt;title&gt;Mechanical, physical, and chemical characterization of Ti–35Nb–5Zr and Ti–35Nb–10Zr casting alloys&lt;/title&gt;&lt;secondary-title&gt;Journal of Materials Science: Materials in Medicine&lt;/secondary-title&gt;&lt;/titles&gt;&lt;periodical&gt;&lt;full-title&gt;Journal of Materials Science: Materials in Medicine&lt;/full-title&gt;&lt;/periodical&gt;&lt;pages&gt;1629-1636&lt;/pages&gt;&lt;volume&gt;20&lt;/volume&gt;&lt;number&gt;8&lt;/number&gt;&lt;dates&gt;&lt;year&gt;2009&lt;/year&gt;&lt;/dates&gt;&lt;isbn&gt;0957-4530&lt;/isbn&gt;&lt;urls&gt;&lt;/urls&gt;&lt;/record&gt;&lt;/Cite&gt;&lt;/EndNote&gt;</w:instrText>
      </w:r>
      <w:r w:rsidRPr="00373072">
        <w:rPr>
          <w:rFonts w:cs="Times New Roman"/>
          <w:szCs w:val="24"/>
        </w:rPr>
        <w:fldChar w:fldCharType="separate"/>
      </w:r>
      <w:r w:rsidRPr="00373072">
        <w:rPr>
          <w:rFonts w:cs="Times New Roman"/>
          <w:szCs w:val="24"/>
        </w:rPr>
        <w:t>(</w:t>
      </w:r>
      <w:hyperlink w:anchor="_ENREF_13" w:tooltip="Ribeiro, 2009 #100" w:history="1">
        <w:r w:rsidRPr="00373072">
          <w:rPr>
            <w:rStyle w:val="Kpr"/>
            <w:rFonts w:cs="Times New Roman"/>
            <w:szCs w:val="24"/>
          </w:rPr>
          <w:t>Ribeiro, Junior, Cardoso, Fernandes Filho, &amp; Vaz, 2009</w:t>
        </w:r>
      </w:hyperlink>
      <w:r w:rsidRPr="00373072">
        <w:rPr>
          <w:rFonts w:cs="Times New Roman"/>
          <w:szCs w:val="24"/>
        </w:rPr>
        <w:t>)</w:t>
      </w:r>
      <w:r w:rsidRPr="00373072">
        <w:rPr>
          <w:rFonts w:cs="Times New Roman"/>
          <w:szCs w:val="24"/>
        </w:rPr>
        <w:fldChar w:fldCharType="end"/>
      </w:r>
      <w:r w:rsidRPr="00373072">
        <w:rPr>
          <w:rFonts w:cs="Times New Roman"/>
          <w:szCs w:val="24"/>
        </w:rPr>
        <w:t>.</w:t>
      </w:r>
    </w:p>
    <w:p w:rsidR="00F017F4" w:rsidRPr="00373072" w:rsidRDefault="00F017F4" w:rsidP="00F017F4">
      <w:pPr>
        <w:jc w:val="both"/>
        <w:rPr>
          <w:rFonts w:cs="Times New Roman"/>
          <w:b/>
          <w:szCs w:val="24"/>
        </w:rPr>
      </w:pPr>
      <w:r w:rsidRPr="00373072">
        <w:rPr>
          <w:rFonts w:cs="Times New Roman"/>
          <w:b/>
          <w:szCs w:val="24"/>
        </w:rPr>
        <w:lastRenderedPageBreak/>
        <w:t>METALİK BİYOMALZEMELER</w:t>
      </w:r>
    </w:p>
    <w:p w:rsidR="00F017F4" w:rsidRPr="00373072" w:rsidRDefault="00F017F4" w:rsidP="00F017F4">
      <w:pPr>
        <w:jc w:val="both"/>
        <w:rPr>
          <w:rFonts w:cs="Times New Roman"/>
          <w:szCs w:val="24"/>
        </w:rPr>
      </w:pPr>
      <w:r w:rsidRPr="00373072">
        <w:rPr>
          <w:rFonts w:cs="Times New Roman"/>
          <w:szCs w:val="24"/>
        </w:rPr>
        <w:t xml:space="preserve">Metalik biyomalzemeler kas-iskelet sisteminde mekanik koşullara en iyi uyum gösteren malzemelerin başında gelmektedir. Metalik biyomalzemeler belirli sınırlarda, yüksek, uzun süreli, değişken ve ani yüklemelere karşı özelliklerini kaybetmeyen dayanıklı yapılardır </w:t>
      </w:r>
      <w:r w:rsidRPr="00373072">
        <w:rPr>
          <w:rFonts w:cs="Times New Roman"/>
          <w:szCs w:val="24"/>
        </w:rPr>
        <w:fldChar w:fldCharType="begin"/>
      </w:r>
      <w:r w:rsidRPr="00373072">
        <w:rPr>
          <w:rFonts w:cs="Times New Roman"/>
          <w:szCs w:val="24"/>
        </w:rPr>
        <w:instrText xml:space="preserve"> ADDIN EN.CITE &lt;EndNote&gt;&lt;Cite&gt;&lt;Author&gt;Achiței&lt;/Author&gt;&lt;Year&gt;2017&lt;/Year&gt;&lt;RecNum&gt;109&lt;/RecNum&gt;&lt;DisplayText&gt;(Achiței, Vizureanu, Minciună, Sandu, &amp;amp; Mustafa, 2017)&lt;/DisplayText&gt;&lt;record&gt;&lt;rec-number&gt;109&lt;/rec-number&gt;&lt;foreign-keys&gt;&lt;key app="EN" db-id="sp5ffzxsjdztfzextfzv9t91feaat0er2e9e"&gt;109&lt;/key&gt;&lt;/foreign-keys&gt;&lt;ref-type name="Journal Article"&gt;17&lt;/ref-type&gt;&lt;contributors&gt;&lt;authors&gt;&lt;author&gt;Achiței, Dragoș-Cristian&lt;/author&gt;&lt;author&gt;Vizureanu, Petrică&lt;/author&gt;&lt;author&gt;Minciună, Mirabela-Georgiana&lt;/author&gt;&lt;author&gt;Sandu, Andrei-Victor&lt;/author&gt;&lt;author&gt;Mustafa, Mohd&lt;/author&gt;&lt;/authors&gt;&lt;/contributors&gt;&lt;titles&gt;&lt;title&gt;Introduction to Metallic Biomaterials&lt;/title&gt;&lt;/titles&gt;&lt;dates&gt;&lt;year&gt;2017&lt;/year&gt;&lt;/dates&gt;&lt;urls&gt;&lt;/urls&gt;&lt;/record&gt;&lt;/Cite&gt;&lt;/EndNote&gt;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1" w:tooltip="Achiței, 2017 #109" w:history="1">
        <w:r w:rsidRPr="00373072">
          <w:rPr>
            <w:rStyle w:val="Kpr"/>
            <w:rFonts w:cs="Times New Roman"/>
            <w:szCs w:val="24"/>
          </w:rPr>
          <w:t>Achiței, Vizureanu, Minciună, Sandu, &amp; Mustafa, 2017</w:t>
        </w:r>
      </w:hyperlink>
      <w:r w:rsidRPr="00373072">
        <w:rPr>
          <w:rFonts w:cs="Times New Roman"/>
          <w:szCs w:val="24"/>
        </w:rPr>
        <w:t>)</w:t>
      </w:r>
      <w:r w:rsidRPr="00373072">
        <w:rPr>
          <w:rFonts w:cs="Times New Roman"/>
          <w:szCs w:val="24"/>
        </w:rPr>
        <w:fldChar w:fldCharType="end"/>
      </w:r>
      <w:r w:rsidRPr="00373072">
        <w:rPr>
          <w:rFonts w:cs="Times New Roman"/>
          <w:szCs w:val="24"/>
        </w:rPr>
        <w:t xml:space="preserve">. Kristal yapıları ve sahip oldukları güçlü metalik bağları nedeniyle üstün mekanik özellikler taşıyan metal ve metal alaşımların biyomalzemeler alanındaki payı büyüktür. </w:t>
      </w:r>
    </w:p>
    <w:p w:rsidR="00F017F4" w:rsidRPr="00373072" w:rsidRDefault="00F017F4" w:rsidP="00F017F4">
      <w:pPr>
        <w:jc w:val="both"/>
        <w:rPr>
          <w:rFonts w:cs="Times New Roman"/>
          <w:szCs w:val="24"/>
        </w:rPr>
      </w:pPr>
      <w:r w:rsidRPr="00373072">
        <w:rPr>
          <w:rFonts w:cs="Times New Roman"/>
          <w:szCs w:val="24"/>
        </w:rPr>
        <w:t xml:space="preserve">Bir yandan ortopedik uygulamalarda eklem protezi ve kemik yenileme materyali olarak kullanılırken, diğer yandan yüz ve çene cerrahisinde, örneğin diş implantı gibi veya kalp-damar cerrahisinde yapay kalp parçaları, kateter, kalp kapakçığı olarak da kullanım alanı bulmaktadır </w:t>
      </w:r>
      <w:r w:rsidRPr="00373072">
        <w:rPr>
          <w:rFonts w:cs="Times New Roman"/>
          <w:szCs w:val="24"/>
        </w:rPr>
        <w:fldChar w:fldCharType="begin"/>
      </w:r>
      <w:r w:rsidRPr="00373072">
        <w:rPr>
          <w:rFonts w:cs="Times New Roman"/>
          <w:szCs w:val="24"/>
        </w:rPr>
        <w:instrText xml:space="preserve"> ADDIN EN.CITE &lt;EndNote&gt;&lt;Cite&gt;&lt;Author&gt;Achiței&lt;/Author&gt;&lt;Year&gt;2017&lt;/Year&gt;&lt;RecNum&gt;109&lt;/RecNum&gt;&lt;DisplayText&gt;(Achiței et al., 2017)&lt;/DisplayText&gt;&lt;record&gt;&lt;rec-number&gt;109&lt;/rec-number&gt;&lt;foreign-keys&gt;&lt;key app="EN" db-id="sp5ffzxsjdztfzextfzv9t91feaat0er2e9e"&gt;109&lt;/key&gt;&lt;/foreign-keys&gt;&lt;ref-type name="Journal Article"&gt;17&lt;/ref-type&gt;&lt;contributors&gt;&lt;authors&gt;&lt;author&gt;Achiței, Dragoș-Cristian&lt;/author&gt;&lt;author&gt;Vizureanu, Petrică&lt;/author&gt;&lt;author&gt;Minciună, Mirabela-Georgiana&lt;/author&gt;&lt;author&gt;Sandu, Andrei-Victor&lt;/author&gt;&lt;author&gt;Mustafa, Mohd&lt;/author&gt;&lt;/authors&gt;&lt;/contributors&gt;&lt;titles&gt;&lt;title&gt;Introduction to Metallic Biomaterials&lt;/title&gt;&lt;/titles&gt;&lt;dates&gt;&lt;year&gt;2017&lt;/year&gt;&lt;/dates&gt;&lt;urls&gt;&lt;/urls&gt;&lt;/record&gt;&lt;/Cite&gt;&lt;/EndNote&gt;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1" w:tooltip="Achiței, 2017 #109" w:history="1">
        <w:r w:rsidRPr="00373072">
          <w:rPr>
            <w:rStyle w:val="Kpr"/>
            <w:rFonts w:cs="Times New Roman"/>
            <w:szCs w:val="24"/>
          </w:rPr>
          <w:t>Achiței et al., 2017</w:t>
        </w:r>
      </w:hyperlink>
      <w:r w:rsidRPr="00373072">
        <w:rPr>
          <w:rFonts w:cs="Times New Roman"/>
          <w:szCs w:val="24"/>
        </w:rPr>
        <w:t>)</w:t>
      </w:r>
      <w:r w:rsidRPr="00373072">
        <w:rPr>
          <w:rFonts w:cs="Times New Roman"/>
          <w:szCs w:val="24"/>
        </w:rPr>
        <w:fldChar w:fldCharType="end"/>
      </w:r>
      <w:r w:rsidRPr="00373072">
        <w:rPr>
          <w:rFonts w:cs="Times New Roman"/>
          <w:szCs w:val="24"/>
        </w:rPr>
        <w:t xml:space="preserve">. Protez üretiminde kullanılan demir, krom, kobalt, nikel, titanyum, tantal, molibden, niyobyum ve tungsten gibi çok sayıda metal, az miktarda kullanılmak koşuluyla canlı vücuduna uygunluk göstermektedir </w:t>
      </w:r>
      <w:r w:rsidRPr="00373072">
        <w:rPr>
          <w:rFonts w:cs="Times New Roman"/>
          <w:szCs w:val="24"/>
        </w:rPr>
        <w:fldChar w:fldCharType="begin"/>
      </w:r>
      <w:r w:rsidRPr="00373072">
        <w:rPr>
          <w:rFonts w:cs="Times New Roman"/>
          <w:szCs w:val="24"/>
        </w:rPr>
        <w:instrText xml:space="preserve"> ADDIN EN.CITE &lt;EndNote&gt;&lt;Cite&gt;&lt;Author&gt;Gür&lt;/Author&gt;&lt;Year&gt;2004&lt;/Year&gt;&lt;RecNum&gt;108&lt;/RecNum&gt;&lt;DisplayText&gt;(Gür &amp;amp; Taşkın, 2004)&lt;/DisplayText&gt;&lt;record&gt;&lt;rec-number&gt;108&lt;/rec-number&gt;&lt;foreign-keys&gt;&lt;key app="EN" db-id="sp5ffzxsjdztfzextfzv9t91feaat0er2e9e"&gt;108&lt;/key&gt;&lt;/foreign-keys&gt;&lt;ref-type name="Journal Article"&gt;17&lt;/ref-type&gt;&lt;contributors&gt;&lt;authors&gt;&lt;author&gt;Gür, A Kaya&lt;/author&gt;&lt;author&gt;Taşkın, M&lt;/author&gt;&lt;/authors&gt;&lt;/contributors&gt;&lt;titles&gt;&lt;title&gt;Metalik biyomalzemeler ve biyouyum&lt;/title&gt;&lt;secondary-title&gt;Doğu Anadolu Bölgesi Araştırmaları&lt;/secondary-title&gt;&lt;/titles&gt;&lt;periodical&gt;&lt;full-title&gt;Doğu Anadolu Bölgesi Araştırmaları&lt;/full-title&gt;&lt;/periodical&gt;&lt;pages&gt;106-113&lt;/pages&gt;&lt;volume&gt;2&lt;/volume&gt;&lt;number&gt;2&lt;/number&gt;&lt;dates&gt;&lt;year&gt;2004&lt;/year&gt;&lt;/dates&gt;&lt;urls&gt;&lt;/urls&gt;&lt;/record&gt;&lt;/Cite&gt;&lt;/EndNote&gt;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7" w:tooltip="Gür, 2004 #108" w:history="1">
        <w:r w:rsidRPr="00373072">
          <w:rPr>
            <w:rStyle w:val="Kpr"/>
            <w:rFonts w:cs="Times New Roman"/>
            <w:szCs w:val="24"/>
          </w:rPr>
          <w:t>Gür &amp; Taşkın, 2004</w:t>
        </w:r>
      </w:hyperlink>
      <w:r w:rsidRPr="00373072">
        <w:rPr>
          <w:rFonts w:cs="Times New Roman"/>
          <w:szCs w:val="24"/>
        </w:rPr>
        <w:t>)</w:t>
      </w:r>
      <w:r w:rsidRPr="00373072">
        <w:rPr>
          <w:rFonts w:cs="Times New Roman"/>
          <w:szCs w:val="24"/>
        </w:rPr>
        <w:fldChar w:fldCharType="end"/>
      </w:r>
      <w:r w:rsidRPr="00373072">
        <w:rPr>
          <w:rFonts w:cs="Times New Roman"/>
          <w:szCs w:val="24"/>
        </w:rPr>
        <w:t>.</w:t>
      </w:r>
    </w:p>
    <w:p w:rsidR="00F017F4" w:rsidRPr="00373072" w:rsidRDefault="00F017F4" w:rsidP="00F017F4">
      <w:pPr>
        <w:numPr>
          <w:ilvl w:val="0"/>
          <w:numId w:val="1"/>
        </w:numPr>
        <w:jc w:val="both"/>
        <w:rPr>
          <w:rFonts w:cs="Times New Roman"/>
          <w:szCs w:val="24"/>
        </w:rPr>
      </w:pPr>
      <w:r w:rsidRPr="00373072">
        <w:rPr>
          <w:rFonts w:cs="Times New Roman"/>
          <w:bCs/>
          <w:i/>
          <w:iCs/>
          <w:szCs w:val="24"/>
        </w:rPr>
        <w:t>Paslanmaz çelikler</w:t>
      </w:r>
    </w:p>
    <w:p w:rsidR="00F017F4" w:rsidRPr="00373072" w:rsidRDefault="00F017F4" w:rsidP="00F017F4">
      <w:pPr>
        <w:numPr>
          <w:ilvl w:val="0"/>
          <w:numId w:val="1"/>
        </w:numPr>
        <w:jc w:val="both"/>
        <w:rPr>
          <w:rFonts w:cs="Times New Roman"/>
          <w:szCs w:val="24"/>
        </w:rPr>
      </w:pPr>
      <w:r w:rsidRPr="00373072">
        <w:rPr>
          <w:rFonts w:cs="Times New Roman"/>
          <w:bCs/>
          <w:i/>
          <w:iCs/>
          <w:szCs w:val="24"/>
        </w:rPr>
        <w:t>Kobalt bazlı alaşımlar</w:t>
      </w:r>
    </w:p>
    <w:p w:rsidR="00F017F4" w:rsidRPr="00373072" w:rsidRDefault="00F017F4" w:rsidP="00F017F4">
      <w:pPr>
        <w:numPr>
          <w:ilvl w:val="0"/>
          <w:numId w:val="1"/>
        </w:numPr>
        <w:jc w:val="both"/>
        <w:rPr>
          <w:rFonts w:cs="Times New Roman"/>
          <w:szCs w:val="24"/>
        </w:rPr>
      </w:pPr>
      <w:r w:rsidRPr="00373072">
        <w:rPr>
          <w:rFonts w:cs="Times New Roman"/>
          <w:bCs/>
          <w:i/>
          <w:iCs/>
          <w:szCs w:val="24"/>
        </w:rPr>
        <w:t>Ti bazlı alaşımlar</w:t>
      </w:r>
    </w:p>
    <w:p w:rsidR="00F017F4" w:rsidRPr="00373072" w:rsidRDefault="00F017F4" w:rsidP="00F017F4">
      <w:pPr>
        <w:numPr>
          <w:ilvl w:val="0"/>
          <w:numId w:val="1"/>
        </w:numPr>
        <w:jc w:val="both"/>
        <w:rPr>
          <w:rFonts w:cs="Times New Roman"/>
          <w:szCs w:val="24"/>
        </w:rPr>
      </w:pPr>
      <w:r w:rsidRPr="00373072">
        <w:rPr>
          <w:rFonts w:cs="Times New Roman"/>
          <w:bCs/>
          <w:i/>
          <w:iCs/>
          <w:szCs w:val="24"/>
        </w:rPr>
        <w:t xml:space="preserve">Altın, </w:t>
      </w:r>
    </w:p>
    <w:p w:rsidR="00F017F4" w:rsidRPr="00373072" w:rsidRDefault="00F017F4" w:rsidP="00F017F4">
      <w:pPr>
        <w:numPr>
          <w:ilvl w:val="0"/>
          <w:numId w:val="1"/>
        </w:numPr>
        <w:jc w:val="both"/>
        <w:rPr>
          <w:rFonts w:cs="Times New Roman"/>
          <w:szCs w:val="24"/>
        </w:rPr>
      </w:pPr>
      <w:r w:rsidRPr="00373072">
        <w:rPr>
          <w:rFonts w:cs="Times New Roman"/>
          <w:bCs/>
          <w:i/>
          <w:iCs/>
          <w:szCs w:val="24"/>
        </w:rPr>
        <w:t>Gümüş</w:t>
      </w:r>
    </w:p>
    <w:p w:rsidR="00F017F4" w:rsidRPr="00373072" w:rsidRDefault="00F017F4" w:rsidP="00F017F4">
      <w:pPr>
        <w:numPr>
          <w:ilvl w:val="0"/>
          <w:numId w:val="1"/>
        </w:numPr>
        <w:jc w:val="both"/>
        <w:rPr>
          <w:rFonts w:cs="Times New Roman"/>
          <w:szCs w:val="24"/>
        </w:rPr>
      </w:pPr>
      <w:r w:rsidRPr="00373072">
        <w:rPr>
          <w:rFonts w:cs="Times New Roman"/>
          <w:bCs/>
          <w:i/>
          <w:iCs/>
          <w:szCs w:val="24"/>
        </w:rPr>
        <w:t>Platin</w:t>
      </w:r>
    </w:p>
    <w:p w:rsidR="00F017F4" w:rsidRPr="00373072" w:rsidRDefault="00F017F4" w:rsidP="00F017F4">
      <w:pPr>
        <w:jc w:val="both"/>
        <w:rPr>
          <w:rFonts w:cs="Times New Roman"/>
          <w:b/>
          <w:bCs/>
          <w:szCs w:val="24"/>
        </w:rPr>
      </w:pPr>
    </w:p>
    <w:p w:rsidR="00F017F4" w:rsidRPr="00373072" w:rsidRDefault="00F017F4" w:rsidP="00F017F4">
      <w:pPr>
        <w:jc w:val="both"/>
        <w:rPr>
          <w:rFonts w:cs="Times New Roman"/>
          <w:b/>
          <w:bCs/>
          <w:szCs w:val="24"/>
        </w:rPr>
      </w:pPr>
      <w:r w:rsidRPr="00373072">
        <w:rPr>
          <w:rFonts w:cs="Times New Roman"/>
          <w:b/>
          <w:bCs/>
          <w:szCs w:val="24"/>
        </w:rPr>
        <w:t>Paslanmaz Çelikler</w:t>
      </w:r>
    </w:p>
    <w:p w:rsidR="00F017F4" w:rsidRPr="00373072" w:rsidRDefault="00F017F4" w:rsidP="00F017F4">
      <w:pPr>
        <w:jc w:val="both"/>
        <w:rPr>
          <w:rFonts w:cs="Times New Roman"/>
          <w:szCs w:val="24"/>
        </w:rPr>
      </w:pPr>
      <w:r w:rsidRPr="00373072">
        <w:rPr>
          <w:rFonts w:cs="Times New Roman"/>
          <w:bCs/>
          <w:szCs w:val="24"/>
        </w:rPr>
        <w:t xml:space="preserve">Paslanmaz çelik kullanılarak imal edilmiş ilk metalik biyomalzeme 18/8 Cr/Ni paslanmaz çelik implanttır. Mukavemet ve yüksek korozyon özellikleri istenildiğinden Vanadyum çeliğinden imal edilmesine rağmen Vanadyum çeliği canlı içinde korozyona uğramasından dolayı sağlık açısından uygun olmamıştır </w:t>
      </w:r>
      <w:r w:rsidRPr="00373072">
        <w:rPr>
          <w:rFonts w:cs="Times New Roman"/>
          <w:bCs/>
          <w:szCs w:val="24"/>
        </w:rPr>
        <w:fldChar w:fldCharType="begin"/>
      </w:r>
      <w:r w:rsidRPr="00373072">
        <w:rPr>
          <w:rFonts w:cs="Times New Roman"/>
          <w:bCs/>
          <w:szCs w:val="24"/>
        </w:rPr>
        <w:instrText xml:space="preserve"> ADDIN EN.CITE &lt;EndNote&gt;&lt;Cite&gt;&lt;Author&gt;Gür&lt;/Author&gt;&lt;Year&gt;2004&lt;/Year&gt;&lt;RecNum&gt;108&lt;/RecNum&gt;&lt;DisplayText&gt;(Gür &amp;amp; Taşkın, 2004)&lt;/DisplayText&gt;&lt;record&gt;&lt;rec-number&gt;108&lt;/rec-number&gt;&lt;foreign-keys&gt;&lt;key app="EN" db-id="sp5ffzxsjdztfzextfzv9t91feaat0er2e9e"&gt;108&lt;/key&gt;&lt;/foreign-keys&gt;&lt;ref-type name="Journal Article"&gt;17&lt;/ref-type&gt;&lt;contributors&gt;&lt;authors&gt;&lt;author&gt;Gür, A Kaya&lt;/author&gt;&lt;author&gt;Taşkın, M&lt;/author&gt;&lt;/authors&gt;&lt;/contributors&gt;&lt;titles&gt;&lt;title&gt;Metalik biyomalzemeler ve biyouyum&lt;/title&gt;&lt;secondary-title&gt;Doğu Anadolu Bölgesi Araştırmaları&lt;/secondary-title&gt;&lt;/titles&gt;&lt;periodical&gt;&lt;full-title&gt;Doğu Anadolu Bölgesi Araştırmaları&lt;/full-title&gt;&lt;/periodical&gt;&lt;pages&gt;106-113&lt;/pages&gt;&lt;volume&gt;2&lt;/volume&gt;&lt;number&gt;2&lt;/number&gt;&lt;dates&gt;&lt;year&gt;2004&lt;/year&gt;&lt;/dates&gt;&lt;urls&gt;&lt;/urls&gt;&lt;/record&gt;&lt;/Cite&gt;&lt;/EndNote&gt;</w:instrText>
      </w:r>
      <w:r w:rsidRPr="00373072">
        <w:rPr>
          <w:rFonts w:cs="Times New Roman"/>
          <w:bCs/>
          <w:szCs w:val="24"/>
        </w:rPr>
        <w:fldChar w:fldCharType="separate"/>
      </w:r>
      <w:r w:rsidRPr="00373072">
        <w:rPr>
          <w:rFonts w:cs="Times New Roman"/>
          <w:bCs/>
          <w:szCs w:val="24"/>
        </w:rPr>
        <w:t>(</w:t>
      </w:r>
      <w:hyperlink w:anchor="_ENREF_7" w:tooltip="Gür, 2004 #108" w:history="1">
        <w:r w:rsidRPr="00373072">
          <w:rPr>
            <w:rStyle w:val="Kpr"/>
            <w:rFonts w:cs="Times New Roman"/>
            <w:bCs/>
            <w:szCs w:val="24"/>
          </w:rPr>
          <w:t>Gür &amp; Taşkın, 2004</w:t>
        </w:r>
      </w:hyperlink>
      <w:r w:rsidRPr="00373072">
        <w:rPr>
          <w:rFonts w:cs="Times New Roman"/>
          <w:bCs/>
          <w:szCs w:val="24"/>
        </w:rPr>
        <w:t>)</w:t>
      </w:r>
      <w:r w:rsidRPr="00373072">
        <w:rPr>
          <w:rFonts w:cs="Times New Roman"/>
          <w:szCs w:val="24"/>
        </w:rPr>
        <w:fldChar w:fldCharType="end"/>
      </w:r>
      <w:r w:rsidRPr="00373072">
        <w:rPr>
          <w:rFonts w:cs="Times New Roman"/>
          <w:bCs/>
          <w:szCs w:val="24"/>
        </w:rPr>
        <w:t xml:space="preserve">. Bu alaşımın içine korozyon dayanımını arttırması için Molibden katılmıştır. </w:t>
      </w:r>
      <w:r w:rsidRPr="00373072">
        <w:rPr>
          <w:rFonts w:cs="Times New Roman"/>
          <w:szCs w:val="24"/>
        </w:rPr>
        <w:t xml:space="preserve">Cerrahi amaçlı paslanmaz çelikler Fe-Cr-Ni alaşımlarıdır. Krom hem korozyon direncini arttırır hem de ısıl direnç kazandırır. 316L paslanmaz çelik en yaygın kullanılan türüdür. ASTM standartlarında, “L” karbon içeriğinin düşük olduğunu ifade etmek için eklenmiştir. İmplant malzemesi olarak yaygın biçimde kullanılan 316 ve 316L </w:t>
      </w:r>
      <w:r w:rsidRPr="00373072">
        <w:rPr>
          <w:rFonts w:cs="Times New Roman"/>
          <w:szCs w:val="24"/>
        </w:rPr>
        <w:lastRenderedPageBreak/>
        <w:t xml:space="preserve">alaşımları düşük karbon oranına sahip olmasından dolayı korozyon direnci iyileştirilmiştir. Yüzeyde oluşan kromoksit tabakası pasifleşmeyi sağlayarak, bu çeliğin kullanılabilirliğini yükseltmektedir. Yüzeyde oluşan pasif tabaka, titanyum ve kobalt alaşımlarındaki kadar kuvvetli değildir. </w:t>
      </w:r>
    </w:p>
    <w:p w:rsidR="00F017F4" w:rsidRPr="00373072" w:rsidRDefault="00F017F4" w:rsidP="00F017F4">
      <w:pPr>
        <w:jc w:val="both"/>
        <w:rPr>
          <w:rFonts w:cs="Times New Roman"/>
          <w:b/>
          <w:bCs/>
          <w:szCs w:val="24"/>
        </w:rPr>
      </w:pPr>
    </w:p>
    <w:p w:rsidR="00F017F4" w:rsidRPr="00373072" w:rsidRDefault="00F017F4" w:rsidP="00F017F4">
      <w:pPr>
        <w:jc w:val="both"/>
        <w:rPr>
          <w:rFonts w:cs="Times New Roman"/>
          <w:b/>
          <w:bCs/>
          <w:szCs w:val="24"/>
        </w:rPr>
      </w:pPr>
      <w:r w:rsidRPr="00373072">
        <w:rPr>
          <w:rFonts w:cs="Times New Roman"/>
          <w:b/>
          <w:bCs/>
          <w:szCs w:val="24"/>
        </w:rPr>
        <w:t xml:space="preserve">Kobalt Bazlı Alaşımları </w:t>
      </w:r>
    </w:p>
    <w:p w:rsidR="00F017F4" w:rsidRPr="00373072" w:rsidRDefault="00F017F4" w:rsidP="00F017F4">
      <w:pPr>
        <w:jc w:val="both"/>
        <w:rPr>
          <w:rFonts w:cs="Times New Roman"/>
          <w:szCs w:val="24"/>
        </w:rPr>
      </w:pPr>
      <w:r w:rsidRPr="00373072">
        <w:rPr>
          <w:rFonts w:cs="Times New Roman"/>
          <w:szCs w:val="24"/>
        </w:rPr>
        <w:t>Co-Cr alaşımları başlangıçta altının alternatifi olarak diş hekimliğinde kullanılmıştır. Daha sonra ortopedik ürünlerde özellikle kalça protezlerinde ve vücut içinde kullanılan plakalarda en fazla kullanılan üç temel metalik biyomalzemeden birisi haline gelmiştir. Co-Cr alaşımlarının iki temel tipi vardır. Bunlar dökülebilir CoCrMo alaşımı ile sıcak dövme ile üretilen CoNiCrMo alaşımıdır. CoCrMo alaşımı genellikle dişçilikte kullanılırken özellikle yüksek yüklere maruz kalan kalça ve diz implantlarında kullanılmaktadır.</w:t>
      </w:r>
    </w:p>
    <w:p w:rsidR="00F017F4" w:rsidRPr="00373072" w:rsidRDefault="00F017F4" w:rsidP="00F017F4">
      <w:pPr>
        <w:numPr>
          <w:ilvl w:val="0"/>
          <w:numId w:val="2"/>
        </w:numPr>
        <w:jc w:val="both"/>
        <w:rPr>
          <w:rFonts w:cs="Times New Roman"/>
          <w:szCs w:val="24"/>
        </w:rPr>
      </w:pPr>
      <w:r w:rsidRPr="00373072">
        <w:rPr>
          <w:rFonts w:cs="Times New Roman"/>
          <w:szCs w:val="24"/>
        </w:rPr>
        <w:t>Bu alaşımlar, kobalt-krom ve kobalt-krom-nikel-molibden alaşımlarıdır. Co-Cr alaşımlarının korozyon direncinin büyük oranı (% 65) Co tarafından sağlanmaktadır. Mo ilavesi ile yapıdaki tanelerin küçülmesi sağlanmakta ve malzemenin mekanik özellikleri iyileştirilmektedir. Yapı içerisindeki Cr miktarının artması, alaşımın katı çözeltilere karşı olan korozyon direncini daha da arttırmaktadır.</w:t>
      </w:r>
    </w:p>
    <w:p w:rsidR="00F017F4" w:rsidRPr="00373072" w:rsidRDefault="00F017F4" w:rsidP="00F017F4">
      <w:pPr>
        <w:numPr>
          <w:ilvl w:val="0"/>
          <w:numId w:val="2"/>
        </w:numPr>
        <w:jc w:val="both"/>
        <w:rPr>
          <w:rFonts w:cs="Times New Roman"/>
          <w:szCs w:val="24"/>
        </w:rPr>
      </w:pPr>
      <w:r w:rsidRPr="00373072">
        <w:rPr>
          <w:rFonts w:cs="Times New Roman"/>
          <w:szCs w:val="24"/>
        </w:rPr>
        <w:t>Kobalt alaşımlı biyomalzemeler genel olarak yüksek aşınma, sıcaklık ve korozyon direncine sahiptirler. Kobalt alaşımlarının medikal alanında ilk uygulaması, döküm yöntemiyle diş implantı üretimidir. Co-Cr-Mo alaşımları, uzun yıllardan beri dişçilik alanında, son zamanlarda ise özellikle yapay eklem yapımında kullanılmaktadır. Co-Cr-Ni-Mo alaşımı ise, yükün fazla olduğu (kol ve bacak) eklem bölgelerinde kullanılmaktadır.</w:t>
      </w:r>
    </w:p>
    <w:p w:rsidR="00F017F4" w:rsidRPr="00373072" w:rsidRDefault="00F017F4" w:rsidP="00F017F4">
      <w:pPr>
        <w:jc w:val="both"/>
        <w:rPr>
          <w:rFonts w:cs="Times New Roman"/>
          <w:szCs w:val="24"/>
        </w:rPr>
      </w:pPr>
    </w:p>
    <w:p w:rsidR="00F017F4" w:rsidRPr="00373072" w:rsidRDefault="00F017F4" w:rsidP="00F017F4">
      <w:pPr>
        <w:jc w:val="both"/>
        <w:rPr>
          <w:rFonts w:cs="Times New Roman"/>
          <w:b/>
          <w:bCs/>
          <w:szCs w:val="24"/>
        </w:rPr>
      </w:pPr>
      <w:r w:rsidRPr="00373072">
        <w:rPr>
          <w:rFonts w:cs="Times New Roman"/>
          <w:b/>
          <w:bCs/>
          <w:szCs w:val="24"/>
        </w:rPr>
        <w:t>Titanyum Bazlı Alaşımlar</w:t>
      </w:r>
    </w:p>
    <w:p w:rsidR="00F017F4" w:rsidRPr="00373072" w:rsidRDefault="00F017F4" w:rsidP="00F017F4">
      <w:pPr>
        <w:jc w:val="both"/>
        <w:rPr>
          <w:rFonts w:cs="Times New Roman"/>
          <w:szCs w:val="24"/>
        </w:rPr>
      </w:pPr>
      <w:r w:rsidRPr="00373072">
        <w:rPr>
          <w:rFonts w:cs="Times New Roman"/>
          <w:szCs w:val="24"/>
        </w:rPr>
        <w:t xml:space="preserve">Son yıllarda en yaygın kullanılan metalik biyomalzemelerden titanyum çok reaktif bir metal olup, korozyona karşı yüksek direncini, hızla yüzeyinde oluşan koruyucu oksit tabakasına borçludur. Yüksek reaksiyona meyilli olma özelliği aynı zamanda titanyumun arzu edilen birçok özelliğinin oluşumuna neden olmaktadır. Ti’nin yüzeyinde yaklaşık nanometre kalınlığında dirençli ve stabil oksit katmanı oluşur. Bu oksit katmanı Ti’ye yüksek biyouyumlu bir yüzey ve korozyona karşın direnç özelliği sağlar. Titanyum kemik içi implantı olarak </w:t>
      </w:r>
      <w:r w:rsidRPr="00373072">
        <w:rPr>
          <w:rFonts w:cs="Times New Roman"/>
          <w:szCs w:val="24"/>
        </w:rPr>
        <w:lastRenderedPageBreak/>
        <w:t>kullanılan bir metaldir. Kemik içi implantlar çubuk, post ve blade şeklinde saf veya alaşımlı titanyumdan yapılmaktadır. İmplant yüzeyindeki oksit tabakasının inert etkisi, sert ve yumuşak dokunun metal yüzeyini kavramasını sağlar. Kemikle bağlanması iyi olan ve doku tarafından kabul edilirliği yüksek olan titanyum, yerleştirildikten sonra vücudun bir parçası haline gelir. Bu da implanta maksimum dayanım sağlamaktadır.</w:t>
      </w:r>
    </w:p>
    <w:p w:rsidR="00F017F4" w:rsidRPr="00373072" w:rsidRDefault="00F017F4" w:rsidP="00F017F4">
      <w:pPr>
        <w:jc w:val="both"/>
        <w:rPr>
          <w:rFonts w:cs="Times New Roman"/>
          <w:szCs w:val="24"/>
        </w:rPr>
      </w:pPr>
      <w:r w:rsidRPr="00373072">
        <w:rPr>
          <w:rFonts w:cs="Times New Roman"/>
          <w:szCs w:val="24"/>
        </w:rPr>
        <w:t>Titanyumun avantajları:</w:t>
      </w:r>
    </w:p>
    <w:p w:rsidR="00F017F4" w:rsidRPr="00373072" w:rsidRDefault="00F017F4" w:rsidP="00F017F4">
      <w:pPr>
        <w:numPr>
          <w:ilvl w:val="0"/>
          <w:numId w:val="3"/>
        </w:numPr>
        <w:jc w:val="both"/>
        <w:rPr>
          <w:rFonts w:cs="Times New Roman"/>
          <w:szCs w:val="24"/>
        </w:rPr>
      </w:pPr>
      <w:r w:rsidRPr="00373072">
        <w:rPr>
          <w:rFonts w:cs="Times New Roman"/>
          <w:szCs w:val="24"/>
        </w:rPr>
        <w:t>Mekanik özelliklerinin iyi olması</w:t>
      </w:r>
    </w:p>
    <w:p w:rsidR="00F017F4" w:rsidRPr="00373072" w:rsidRDefault="00F017F4" w:rsidP="00F017F4">
      <w:pPr>
        <w:numPr>
          <w:ilvl w:val="0"/>
          <w:numId w:val="3"/>
        </w:numPr>
        <w:jc w:val="both"/>
        <w:rPr>
          <w:rFonts w:cs="Times New Roman"/>
          <w:szCs w:val="24"/>
        </w:rPr>
      </w:pPr>
      <w:r w:rsidRPr="00373072">
        <w:rPr>
          <w:rFonts w:cs="Times New Roman"/>
          <w:szCs w:val="24"/>
        </w:rPr>
        <w:t>Hafif ve yoğunluğuna göre yüksek mukavemete sahip olması</w:t>
      </w:r>
    </w:p>
    <w:p w:rsidR="00F017F4" w:rsidRPr="00373072" w:rsidRDefault="00F017F4" w:rsidP="00F017F4">
      <w:pPr>
        <w:numPr>
          <w:ilvl w:val="0"/>
          <w:numId w:val="3"/>
        </w:numPr>
        <w:jc w:val="both"/>
        <w:rPr>
          <w:rFonts w:cs="Times New Roman"/>
          <w:szCs w:val="24"/>
        </w:rPr>
      </w:pPr>
      <w:r w:rsidRPr="00373072">
        <w:rPr>
          <w:rFonts w:cs="Times New Roman"/>
          <w:szCs w:val="24"/>
        </w:rPr>
        <w:t>İşlenebilirliğinin kolay olması</w:t>
      </w:r>
    </w:p>
    <w:p w:rsidR="00F017F4" w:rsidRPr="00373072" w:rsidRDefault="00F017F4" w:rsidP="00F017F4">
      <w:pPr>
        <w:numPr>
          <w:ilvl w:val="0"/>
          <w:numId w:val="3"/>
        </w:numPr>
        <w:jc w:val="both"/>
        <w:rPr>
          <w:rFonts w:cs="Times New Roman"/>
          <w:szCs w:val="24"/>
        </w:rPr>
      </w:pPr>
      <w:r w:rsidRPr="00373072">
        <w:rPr>
          <w:rFonts w:cs="Times New Roman"/>
          <w:szCs w:val="24"/>
        </w:rPr>
        <w:t>Biyouyumluluğunun yüksek olması</w:t>
      </w:r>
    </w:p>
    <w:p w:rsidR="00F017F4" w:rsidRPr="00373072" w:rsidRDefault="00F017F4" w:rsidP="00F017F4">
      <w:pPr>
        <w:numPr>
          <w:ilvl w:val="0"/>
          <w:numId w:val="3"/>
        </w:numPr>
        <w:jc w:val="both"/>
        <w:rPr>
          <w:rFonts w:cs="Times New Roman"/>
          <w:szCs w:val="24"/>
        </w:rPr>
      </w:pPr>
      <w:r w:rsidRPr="00373072">
        <w:rPr>
          <w:rFonts w:cs="Times New Roman"/>
          <w:szCs w:val="24"/>
        </w:rPr>
        <w:t>Korozyona karşı dirençli olması</w:t>
      </w:r>
    </w:p>
    <w:p w:rsidR="00F017F4" w:rsidRPr="00373072" w:rsidRDefault="00F017F4" w:rsidP="00F017F4">
      <w:pPr>
        <w:numPr>
          <w:ilvl w:val="0"/>
          <w:numId w:val="3"/>
        </w:numPr>
        <w:jc w:val="both"/>
        <w:rPr>
          <w:rFonts w:cs="Times New Roman"/>
          <w:szCs w:val="24"/>
        </w:rPr>
      </w:pPr>
      <w:r w:rsidRPr="00373072">
        <w:rPr>
          <w:rFonts w:cs="Times New Roman"/>
          <w:szCs w:val="24"/>
        </w:rPr>
        <w:t>Nontoksik yapıya sahip olması</w:t>
      </w:r>
    </w:p>
    <w:p w:rsidR="00F017F4" w:rsidRPr="00373072" w:rsidRDefault="00F017F4" w:rsidP="00F017F4">
      <w:pPr>
        <w:numPr>
          <w:ilvl w:val="0"/>
          <w:numId w:val="3"/>
        </w:numPr>
        <w:jc w:val="both"/>
        <w:rPr>
          <w:rFonts w:cs="Times New Roman"/>
          <w:szCs w:val="24"/>
        </w:rPr>
      </w:pPr>
      <w:r w:rsidRPr="00373072">
        <w:rPr>
          <w:rFonts w:cs="Times New Roman"/>
          <w:szCs w:val="24"/>
        </w:rPr>
        <w:t>Elastisite modülünün kemiğinkine çok yakın olması</w:t>
      </w:r>
    </w:p>
    <w:p w:rsidR="00F017F4" w:rsidRPr="00373072" w:rsidRDefault="00F017F4" w:rsidP="00F017F4">
      <w:pPr>
        <w:jc w:val="both"/>
        <w:rPr>
          <w:rFonts w:cs="Times New Roman"/>
          <w:szCs w:val="24"/>
        </w:rPr>
      </w:pPr>
    </w:p>
    <w:p w:rsidR="00F017F4" w:rsidRPr="00373072" w:rsidRDefault="00F017F4" w:rsidP="00F017F4">
      <w:pPr>
        <w:jc w:val="both"/>
        <w:rPr>
          <w:rFonts w:cs="Times New Roman"/>
          <w:b/>
          <w:szCs w:val="24"/>
        </w:rPr>
      </w:pPr>
      <w:r w:rsidRPr="00373072">
        <w:rPr>
          <w:rFonts w:cs="Times New Roman"/>
          <w:b/>
          <w:szCs w:val="24"/>
        </w:rPr>
        <w:t>TİTANYUM ALAŞIMLI METALLERİN SAĞLIKTA UYGULAMALARI</w:t>
      </w:r>
    </w:p>
    <w:p w:rsidR="00F017F4" w:rsidRPr="00373072" w:rsidRDefault="00F017F4" w:rsidP="00F017F4">
      <w:pPr>
        <w:jc w:val="both"/>
        <w:rPr>
          <w:rFonts w:cs="Times New Roman"/>
          <w:szCs w:val="24"/>
        </w:rPr>
      </w:pPr>
      <w:r w:rsidRPr="00373072">
        <w:rPr>
          <w:rFonts w:cs="Times New Roman"/>
          <w:szCs w:val="24"/>
        </w:rPr>
        <w:t xml:space="preserve">Biyomalzemelerin geliştirilmesi ile insanların yaşam kalitelerinin yükseleceği öngörülmektedir. Şekil 1.’de görüldüğü üzere 1900’lü yıllarda insanların yaşam süreleri 70 yıldan az olmasına rağmen çeşitli ilaçların (antibiyotik, aşı vb.) kullanımıyla yaşam koşullarının iyileşmesi ile 2000’li yıllardan başlayarak günümüze kadar olan süreçte ortalama yaşam ömrü 90-100 yaşına kadar uzadığı tespit edilmiştir </w:t>
      </w:r>
      <w:r w:rsidRPr="00373072">
        <w:rPr>
          <w:rFonts w:cs="Times New Roman"/>
          <w:szCs w:val="24"/>
        </w:rPr>
        <w:fldChar w:fldCharType="begin"/>
      </w:r>
      <w:r w:rsidRPr="00373072">
        <w:rPr>
          <w:rFonts w:cs="Times New Roman"/>
          <w:szCs w:val="24"/>
        </w:rPr>
        <w:instrText xml:space="preserve"> ADDIN EN.CITE &lt;EndNote&gt;&lt;Cite&gt;&lt;Author&gt;Hench&lt;/Author&gt;&lt;Year&gt;1999&lt;/Year&gt;&lt;RecNum&gt;104&lt;/RecNum&gt;&lt;DisplayText&gt;(Hench, 1999)&lt;/DisplayText&gt;&lt;record&gt;&lt;rec-number&gt;104&lt;/rec-number&gt;&lt;foreign-keys&gt;&lt;key app="EN" db-id="sp5ffzxsjdztfzextfzv9t91feaat0er2e9e"&gt;104&lt;/key&gt;&lt;/foreign-keys&gt;&lt;ref-type name="Journal Article"&gt;17&lt;/ref-type&gt;&lt;contributors&gt;&lt;authors&gt;&lt;author&gt;Hench, Larry L&lt;/author&gt;&lt;/authors&gt;&lt;/contributors&gt;&lt;titles&gt;&lt;title&gt;Medical materials for the next millennium&lt;/title&gt;&lt;secondary-title&gt;Mrs Bulletin&lt;/secondary-title&gt;&lt;/titles&gt;&lt;periodical&gt;&lt;full-title&gt;Mrs Bulletin&lt;/full-title&gt;&lt;/periodical&gt;&lt;pages&gt;13-20&lt;/pages&gt;&lt;volume&gt;24&lt;/volume&gt;&lt;number&gt;5&lt;/number&gt;&lt;dates&gt;&lt;year&gt;1999&lt;/year&gt;&lt;/dates&gt;&lt;isbn&gt;0883-7694&lt;/isbn&gt;&lt;urls&gt;&lt;/urls&gt;&lt;/record&gt;&lt;/Cite&gt;&lt;/EndNote&gt;</w:instrText>
      </w:r>
      <w:r w:rsidRPr="00373072">
        <w:rPr>
          <w:rFonts w:cs="Times New Roman"/>
          <w:szCs w:val="24"/>
        </w:rPr>
        <w:fldChar w:fldCharType="separate"/>
      </w:r>
      <w:r w:rsidRPr="00373072">
        <w:rPr>
          <w:rFonts w:cs="Times New Roman"/>
          <w:szCs w:val="24"/>
        </w:rPr>
        <w:t>(</w:t>
      </w:r>
      <w:hyperlink w:anchor="_ENREF_8" w:tooltip="Hench, 1999 #104" w:history="1">
        <w:r w:rsidRPr="00373072">
          <w:rPr>
            <w:rStyle w:val="Kpr"/>
            <w:rFonts w:cs="Times New Roman"/>
            <w:szCs w:val="24"/>
          </w:rPr>
          <w:t>Hench, 1999</w:t>
        </w:r>
      </w:hyperlink>
      <w:r w:rsidRPr="00373072">
        <w:rPr>
          <w:rFonts w:cs="Times New Roman"/>
          <w:szCs w:val="24"/>
        </w:rPr>
        <w:t>)</w:t>
      </w:r>
      <w:r w:rsidRPr="00373072">
        <w:rPr>
          <w:rFonts w:cs="Times New Roman"/>
          <w:szCs w:val="24"/>
        </w:rPr>
        <w:fldChar w:fldCharType="end"/>
      </w:r>
      <w:r w:rsidRPr="00373072">
        <w:rPr>
          <w:rFonts w:cs="Times New Roman"/>
          <w:szCs w:val="24"/>
        </w:rPr>
        <w:t>. Yaşam süresindeki bu artış 21. yüzyılda, insanların sağlıklı olarak yaşam koşulları düşmeden yaşayabilmesi için biyomalzemelere olan ihtiyacın artacağı düşünülmektedir. İnsanlar yaşlandıkça vücut yapıları ve bağ dokularının yapısı (özellikle de iskelet kas sistemi dokularının) bozularak, kemiklerin dayanıklılığı da azalır. Bu da biyomalzemelerin önemini vurgulamaktadır.</w:t>
      </w:r>
    </w:p>
    <w:p w:rsidR="00F017F4" w:rsidRPr="00373072" w:rsidRDefault="00F017F4" w:rsidP="00F017F4">
      <w:pPr>
        <w:jc w:val="both"/>
        <w:rPr>
          <w:rFonts w:cs="Times New Roman"/>
          <w:szCs w:val="24"/>
        </w:rPr>
      </w:pPr>
      <w:r w:rsidRPr="00373072">
        <w:rPr>
          <w:rFonts w:cs="Times New Roman"/>
          <w:noProof/>
          <w:szCs w:val="24"/>
          <w:lang w:eastAsia="tr-TR"/>
        </w:rPr>
        <w:lastRenderedPageBreak/>
        <w:drawing>
          <wp:inline distT="0" distB="0" distL="0" distR="0" wp14:anchorId="20EA800E" wp14:editId="5F3F51A8">
            <wp:extent cx="4812129" cy="2731477"/>
            <wp:effectExtent l="0" t="0" r="7620" b="0"/>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5617" cy="2750485"/>
                    </a:xfrm>
                    <a:prstGeom prst="rect">
                      <a:avLst/>
                    </a:prstGeom>
                    <a:noFill/>
                    <a:ln>
                      <a:noFill/>
                    </a:ln>
                  </pic:spPr>
                </pic:pic>
              </a:graphicData>
            </a:graphic>
          </wp:inline>
        </w:drawing>
      </w:r>
    </w:p>
    <w:p w:rsidR="00F017F4" w:rsidRPr="00373072" w:rsidRDefault="00F017F4" w:rsidP="00F017F4">
      <w:pPr>
        <w:jc w:val="both"/>
        <w:rPr>
          <w:rFonts w:cs="Times New Roman"/>
          <w:bCs/>
          <w:szCs w:val="24"/>
        </w:rPr>
      </w:pPr>
      <w:r w:rsidRPr="00373072">
        <w:rPr>
          <w:rFonts w:cs="Times New Roman"/>
          <w:bCs/>
          <w:szCs w:val="24"/>
        </w:rPr>
        <w:t xml:space="preserve">Şekil 1. 1900 ile 2000 yıllarında insanların ortalama yaşam süreleri </w:t>
      </w:r>
      <w:r w:rsidRPr="00373072">
        <w:rPr>
          <w:rFonts w:cs="Times New Roman"/>
          <w:bCs/>
          <w:szCs w:val="24"/>
        </w:rPr>
        <w:fldChar w:fldCharType="begin"/>
      </w:r>
      <w:r w:rsidRPr="00373072">
        <w:rPr>
          <w:rFonts w:cs="Times New Roman"/>
          <w:bCs/>
          <w:szCs w:val="24"/>
        </w:rPr>
        <w:instrText xml:space="preserve"> ADDIN EN.CITE &lt;EndNote&gt;&lt;Cite&gt;&lt;Author&gt;Hench&lt;/Author&gt;&lt;Year&gt;1999&lt;/Year&gt;&lt;RecNum&gt;104&lt;/RecNum&gt;&lt;DisplayText&gt;(Hench, 1999)&lt;/DisplayText&gt;&lt;record&gt;&lt;rec-number&gt;104&lt;/rec-number&gt;&lt;foreign-keys&gt;&lt;key app="EN" db-id="sp5ffzxsjdztfzextfzv9t91feaat0er2e9e"&gt;104&lt;/key&gt;&lt;/foreign-keys&gt;&lt;ref-type name="Journal Article"&gt;17&lt;/ref-type&gt;&lt;contributors&gt;&lt;authors&gt;&lt;author&gt;Hench, Larry L&lt;/author&gt;&lt;/authors&gt;&lt;/contributors&gt;&lt;titles&gt;&lt;title&gt;Medical materials for the next millennium&lt;/title&gt;&lt;secondary-title&gt;Mrs Bulletin&lt;/secondary-title&gt;&lt;/titles&gt;&lt;periodical&gt;&lt;full-title&gt;Mrs Bulletin&lt;/full-title&gt;&lt;/periodical&gt;&lt;pages&gt;13-20&lt;/pages&gt;&lt;volume&gt;24&lt;/volume&gt;&lt;number&gt;5&lt;/number&gt;&lt;dates&gt;&lt;year&gt;1999&lt;/year&gt;&lt;/dates&gt;&lt;isbn&gt;0883-7694&lt;/isbn&gt;&lt;urls&gt;&lt;/urls&gt;&lt;/record&gt;&lt;/Cite&gt;&lt;/EndNote&gt;</w:instrText>
      </w:r>
      <w:r w:rsidRPr="00373072">
        <w:rPr>
          <w:rFonts w:cs="Times New Roman"/>
          <w:bCs/>
          <w:szCs w:val="24"/>
        </w:rPr>
        <w:fldChar w:fldCharType="separate"/>
      </w:r>
      <w:r w:rsidRPr="00373072">
        <w:rPr>
          <w:rFonts w:cs="Times New Roman"/>
          <w:bCs/>
          <w:szCs w:val="24"/>
        </w:rPr>
        <w:t>(</w:t>
      </w:r>
      <w:hyperlink w:anchor="_ENREF_8" w:tooltip="Hench, 1999 #104" w:history="1">
        <w:r w:rsidRPr="00373072">
          <w:rPr>
            <w:rStyle w:val="Kpr"/>
            <w:rFonts w:cs="Times New Roman"/>
            <w:bCs/>
            <w:szCs w:val="24"/>
          </w:rPr>
          <w:t>Hench, 1999</w:t>
        </w:r>
      </w:hyperlink>
      <w:r w:rsidRPr="00373072">
        <w:rPr>
          <w:rFonts w:cs="Times New Roman"/>
          <w:bCs/>
          <w:szCs w:val="24"/>
        </w:rPr>
        <w:t>)</w:t>
      </w:r>
      <w:r w:rsidRPr="00373072">
        <w:rPr>
          <w:rFonts w:cs="Times New Roman"/>
          <w:szCs w:val="24"/>
        </w:rPr>
        <w:fldChar w:fldCharType="end"/>
      </w:r>
    </w:p>
    <w:p w:rsidR="00F017F4" w:rsidRDefault="00F017F4" w:rsidP="00F017F4">
      <w:pPr>
        <w:jc w:val="both"/>
        <w:rPr>
          <w:rFonts w:cs="Times New Roman"/>
          <w:b/>
          <w:bCs/>
          <w:szCs w:val="24"/>
        </w:rPr>
      </w:pPr>
    </w:p>
    <w:p w:rsidR="00F017F4" w:rsidRPr="00373072" w:rsidRDefault="00F017F4" w:rsidP="00F017F4">
      <w:pPr>
        <w:jc w:val="both"/>
        <w:rPr>
          <w:rFonts w:cs="Times New Roman"/>
          <w:b/>
          <w:szCs w:val="24"/>
        </w:rPr>
      </w:pPr>
      <w:r w:rsidRPr="00373072">
        <w:rPr>
          <w:rFonts w:cs="Times New Roman"/>
          <w:b/>
          <w:bCs/>
          <w:szCs w:val="24"/>
        </w:rPr>
        <w:t>Kalp-damar hastalıkları:</w:t>
      </w:r>
    </w:p>
    <w:p w:rsidR="00F017F4" w:rsidRPr="00373072" w:rsidRDefault="00F017F4" w:rsidP="00F017F4">
      <w:pPr>
        <w:jc w:val="both"/>
        <w:rPr>
          <w:rFonts w:cs="Times New Roman"/>
          <w:szCs w:val="24"/>
        </w:rPr>
      </w:pPr>
      <w:r w:rsidRPr="00373072">
        <w:rPr>
          <w:rFonts w:cs="Times New Roman"/>
          <w:szCs w:val="24"/>
        </w:rPr>
        <w:t xml:space="preserve">Kalp krizi görülen vakalarda hasta aktif hayatını devam ettirebilmesi için geçici ve sürekli elektronik kalp pili olarak isimlendirilen bir sisteme ihtiyaç duymak zorunda kalabilmektedir. Bu sistem, lityum-iyon güç kaynağı ve Titanyum kılıf tarafından korunan elektronik devreden meydana gelir (Şekil 2) </w:t>
      </w:r>
      <w:r w:rsidRPr="00373072">
        <w:rPr>
          <w:rFonts w:cs="Times New Roman"/>
          <w:szCs w:val="24"/>
        </w:rPr>
        <w:fldChar w:fldCharType="begin"/>
      </w:r>
      <w:r w:rsidRPr="00373072">
        <w:rPr>
          <w:rFonts w:cs="Times New Roman"/>
          <w:szCs w:val="24"/>
        </w:rPr>
        <w:instrText xml:space="preserve"> ADDIN EN.CITE &lt;EndNote&gt;&lt;Cite&gt;&lt;Author&gt;Findik&lt;/Author&gt;&lt;Year&gt;2017&lt;/Year&gt;&lt;RecNum&gt;107&lt;/RecNum&gt;&lt;DisplayText&gt;(Findik, 2017)&lt;/DisplayText&gt;&lt;record&gt;&lt;rec-number&gt;107&lt;/rec-number&gt;&lt;foreign-keys&gt;&lt;key app="EN" db-id="sp5ffzxsjdztfzextfzv9t91feaat0er2e9e"&gt;107&lt;/key&gt;&lt;/foreign-keys&gt;&lt;ref-type name="Journal Article"&gt;17&lt;/ref-type&gt;&lt;contributors&gt;&lt;authors&gt;&lt;author&gt;Findik, Fehim&lt;/author&gt;&lt;/authors&gt;&lt;/contributors&gt;&lt;titles&gt;&lt;title&gt;Titanium Based Biomaterials&lt;/title&gt;&lt;secondary-title&gt;Eng. Biosci&lt;/secondary-title&gt;&lt;/titles&gt;&lt;periodical&gt;&lt;full-title&gt;Eng. Biosci&lt;/full-title&gt;&lt;/periodical&gt;&lt;pages&gt;1-3&lt;/pages&gt;&lt;volume&gt;7&lt;/volume&gt;&lt;number&gt;3&lt;/number&gt;&lt;dates&gt;&lt;year&gt;2017&lt;/year&gt;&lt;/dates&gt;&lt;urls&gt;&lt;/urls&gt;&lt;/record&gt;&lt;/Cite&gt;&lt;/EndNote&gt;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6" w:tooltip="Findik, 2017 #107" w:history="1">
        <w:r w:rsidRPr="00373072">
          <w:rPr>
            <w:rStyle w:val="Kpr"/>
            <w:rFonts w:cs="Times New Roman"/>
            <w:szCs w:val="24"/>
          </w:rPr>
          <w:t>Findik, 2017</w:t>
        </w:r>
      </w:hyperlink>
      <w:r w:rsidRPr="00373072">
        <w:rPr>
          <w:rFonts w:cs="Times New Roman"/>
          <w:szCs w:val="24"/>
        </w:rPr>
        <w:t>)</w:t>
      </w:r>
      <w:r w:rsidRPr="00373072">
        <w:rPr>
          <w:rFonts w:cs="Times New Roman"/>
          <w:szCs w:val="24"/>
        </w:rPr>
        <w:fldChar w:fldCharType="end"/>
      </w:r>
      <w:r w:rsidRPr="00373072">
        <w:rPr>
          <w:rFonts w:cs="Times New Roman"/>
          <w:szCs w:val="24"/>
        </w:rPr>
        <w:t xml:space="preserve">. </w:t>
      </w:r>
    </w:p>
    <w:p w:rsidR="00F017F4" w:rsidRPr="00373072" w:rsidRDefault="00F017F4" w:rsidP="00F017F4">
      <w:pPr>
        <w:jc w:val="both"/>
        <w:rPr>
          <w:rFonts w:cs="Times New Roman"/>
          <w:szCs w:val="24"/>
        </w:rPr>
      </w:pPr>
      <w:r w:rsidRPr="00373072">
        <w:rPr>
          <w:rFonts w:cs="Times New Roman"/>
          <w:szCs w:val="24"/>
        </w:rPr>
        <w:t>Bu cihaz karın boşluğuna yerleştirilir ve elektrotlarla kalp kaslarına bağlanarak çalışır. Bu uygulama için Titanyum kılıf seçilmesinin nedeni; yüksek korozyon direncine, hafifliğe ve üretim kolaylığına sahip olmasıdır.</w:t>
      </w:r>
    </w:p>
    <w:p w:rsidR="00F017F4" w:rsidRPr="00373072" w:rsidRDefault="00F017F4" w:rsidP="00F017F4">
      <w:pPr>
        <w:jc w:val="both"/>
        <w:rPr>
          <w:rFonts w:cs="Times New Roman"/>
          <w:b/>
          <w:szCs w:val="24"/>
        </w:rPr>
      </w:pPr>
      <w:r w:rsidRPr="00373072">
        <w:rPr>
          <w:rFonts w:cs="Times New Roman"/>
          <w:b/>
          <w:noProof/>
          <w:szCs w:val="24"/>
          <w:lang w:eastAsia="tr-TR"/>
        </w:rPr>
        <w:drawing>
          <wp:inline distT="0" distB="0" distL="0" distR="0" wp14:anchorId="1B2C7931" wp14:editId="14321A81">
            <wp:extent cx="3726389" cy="2303585"/>
            <wp:effectExtent l="0" t="0" r="7620" b="1905"/>
            <wp:docPr id="3074" name="Picture 2" descr="kalp pil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kalp pili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821" cy="2323016"/>
                    </a:xfrm>
                    <a:prstGeom prst="rect">
                      <a:avLst/>
                    </a:prstGeom>
                    <a:noFill/>
                    <a:extLst/>
                  </pic:spPr>
                </pic:pic>
              </a:graphicData>
            </a:graphic>
          </wp:inline>
        </w:drawing>
      </w:r>
    </w:p>
    <w:p w:rsidR="00F017F4" w:rsidRPr="00373072" w:rsidRDefault="00F017F4" w:rsidP="00F017F4">
      <w:pPr>
        <w:jc w:val="both"/>
        <w:rPr>
          <w:rFonts w:cs="Times New Roman"/>
          <w:szCs w:val="24"/>
        </w:rPr>
      </w:pPr>
      <w:r w:rsidRPr="00373072">
        <w:rPr>
          <w:rFonts w:cs="Times New Roman"/>
          <w:szCs w:val="24"/>
        </w:rPr>
        <w:t>Şekil 2. Kalp pili</w:t>
      </w:r>
    </w:p>
    <w:p w:rsidR="00F017F4" w:rsidRPr="00373072" w:rsidRDefault="00F017F4" w:rsidP="00F017F4">
      <w:pPr>
        <w:jc w:val="both"/>
        <w:rPr>
          <w:rFonts w:cs="Times New Roman"/>
          <w:b/>
          <w:szCs w:val="24"/>
        </w:rPr>
      </w:pPr>
      <w:r w:rsidRPr="00373072">
        <w:rPr>
          <w:rFonts w:cs="Times New Roman"/>
          <w:b/>
          <w:bCs/>
          <w:szCs w:val="24"/>
        </w:rPr>
        <w:lastRenderedPageBreak/>
        <w:t>Omurga Cerrahisi:</w:t>
      </w:r>
    </w:p>
    <w:p w:rsidR="00F017F4" w:rsidRPr="00373072" w:rsidRDefault="00F017F4" w:rsidP="00F017F4">
      <w:pPr>
        <w:jc w:val="both"/>
        <w:rPr>
          <w:rFonts w:cs="Times New Roman"/>
          <w:szCs w:val="24"/>
        </w:rPr>
      </w:pPr>
      <w:r w:rsidRPr="00373072">
        <w:rPr>
          <w:rFonts w:cs="Times New Roman"/>
          <w:szCs w:val="24"/>
        </w:rPr>
        <w:t xml:space="preserve">Skolyoz, ergenlikten hemen önce ortaya çıkan büyüme sırasında en sık görülen omurganın yana doğru eğriliğidir. Skolyoz, serebral palsi ve müsküler distrofi gibi durumlardan kaynaklanabilirken, çoğu skolyoz nedeni bilinmemektedir. Skolyoz vakalarının çoğu hafif olmakla birlikte bazı çocuklar büyüdükçe daha şiddetli olmaya devam eden omurga eğrilikleri geliştirirler. Özellikle şiddetli bir spinal eğri, göğsün içindeki boşluğu azaltabilir ve bu da akciğerlerin düzgün çalışmasını zorlaştırabilir. Hafif skolyoz olan çocuklar, eğrinin kötüye gittiğini görmek için genellikle X-ışınları ile yakından izlenir. Çoğu durumda, tedaviye gerek yoktur. Ama omurga eğriliği 45-50 derece üzeri ve bel bölgesi eğrilikler için 40 derece üzerinde olan hastalar için cerrahi müdahale edilerek düzeltilmeye çalışmaktadır (Şekil 3). Bu müdehale Titanyum ve alaşımlarının mekanik özellikleri ve biyouyumlu olmasından dolayı Ti kablo, vida vb. malzemeler kullanılarak gerçekleştirilmektedir </w:t>
      </w:r>
      <w:r w:rsidRPr="00373072">
        <w:rPr>
          <w:rFonts w:cs="Times New Roman"/>
          <w:szCs w:val="24"/>
        </w:rPr>
        <w:fldChar w:fldCharType="begin"/>
      </w:r>
      <w:r w:rsidRPr="00373072">
        <w:rPr>
          <w:rFonts w:cs="Times New Roman"/>
          <w:szCs w:val="24"/>
        </w:rPr>
        <w:instrText xml:space="preserve"> ADDIN EN.CITE &lt;EndNote&gt;&lt;Cite&gt;&lt;Author&gt;Angelliaume&lt;/Author&gt;&lt;Year&gt;2017&lt;/Year&gt;&lt;RecNum&gt;106&lt;/RecNum&gt;&lt;DisplayText&gt;(Angelliaume et al., 2017)&lt;/DisplayText&gt;&lt;record&gt;&lt;rec-number&gt;106&lt;/rec-number&gt;&lt;foreign-keys&gt;&lt;key app="EN" db-id="sp5ffzxsjdztfzextfzv9t91feaat0er2e9e"&gt;106&lt;/key&gt;&lt;/foreign-keys&gt;&lt;ref-type name="Journal Article"&gt;17&lt;/ref-type&gt;&lt;contributors&gt;&lt;authors&gt;&lt;author&gt;Angelliaume, Audrey&lt;/author&gt;&lt;author&gt;Ferrero, E&lt;/author&gt;&lt;author&gt;Mazda, K&lt;/author&gt;&lt;author&gt;Le Hanneur, M&lt;/author&gt;&lt;author&gt;Accabled, F&lt;/author&gt;&lt;author&gt;de Gauzy, J Sales&lt;/author&gt;&lt;author&gt;Ilharreborde, B&lt;/author&gt;&lt;/authors&gt;&lt;/contributors&gt;&lt;titles&gt;&lt;title&gt;Titanium vs cobalt chromium: what is the best rod material to enhance adolescent idiopathic scoliosis correction with sublaminar bands?&lt;/title&gt;&lt;secondary-title&gt;European Spine Journal&lt;/secondary-title&gt;&lt;/titles&gt;&lt;periodical&gt;&lt;full-title&gt;European Spine Journal&lt;/full-title&gt;&lt;/periodical&gt;&lt;pages&gt;1732-1738&lt;/pages&gt;&lt;volume&gt;26&lt;/volume&gt;&lt;number&gt;6&lt;/number&gt;&lt;dates&gt;&lt;year&gt;2017&lt;/year&gt;&lt;/dates&gt;&lt;isbn&gt;0940-6719&lt;/isbn&gt;&lt;urls&gt;&lt;/urls&gt;&lt;/record&gt;&lt;/Cite&gt;&lt;/EndNote&gt;</w:instrText>
      </w:r>
      <w:r w:rsidRPr="00373072">
        <w:rPr>
          <w:rFonts w:cs="Times New Roman"/>
          <w:szCs w:val="24"/>
        </w:rPr>
        <w:fldChar w:fldCharType="separate"/>
      </w:r>
      <w:r w:rsidRPr="00373072">
        <w:rPr>
          <w:rFonts w:cs="Times New Roman"/>
          <w:szCs w:val="24"/>
        </w:rPr>
        <w:t>(</w:t>
      </w:r>
      <w:hyperlink w:anchor="_ENREF_2" w:tooltip="Angelliaume, 2017 #106" w:history="1">
        <w:r w:rsidRPr="00373072">
          <w:rPr>
            <w:rStyle w:val="Kpr"/>
            <w:rFonts w:cs="Times New Roman"/>
            <w:szCs w:val="24"/>
          </w:rPr>
          <w:t>Angelliaume et al., 2017</w:t>
        </w:r>
      </w:hyperlink>
      <w:r w:rsidRPr="00373072">
        <w:rPr>
          <w:rFonts w:cs="Times New Roman"/>
          <w:szCs w:val="24"/>
        </w:rPr>
        <w:t>)</w:t>
      </w:r>
      <w:r w:rsidRPr="00373072">
        <w:rPr>
          <w:rFonts w:cs="Times New Roman"/>
          <w:szCs w:val="24"/>
        </w:rPr>
        <w:fldChar w:fldCharType="end"/>
      </w:r>
      <w:r w:rsidRPr="00373072">
        <w:rPr>
          <w:rFonts w:cs="Times New Roman"/>
          <w:szCs w:val="24"/>
        </w:rPr>
        <w:t xml:space="preserve">. Şekil 3’te de skolyoz hastasının omurgasının ve cerrahi müdahale edildikten sonraki röntgen görüntüleri verilmiştir. </w:t>
      </w:r>
    </w:p>
    <w:p w:rsidR="00F017F4" w:rsidRPr="00373072" w:rsidRDefault="00F017F4" w:rsidP="00F017F4">
      <w:pPr>
        <w:jc w:val="both"/>
        <w:rPr>
          <w:rFonts w:cs="Times New Roman"/>
          <w:b/>
          <w:szCs w:val="24"/>
        </w:rPr>
      </w:pPr>
      <w:r w:rsidRPr="00373072">
        <w:rPr>
          <w:rFonts w:cs="Times New Roman"/>
          <w:b/>
          <w:noProof/>
          <w:szCs w:val="24"/>
          <w:lang w:eastAsia="tr-TR"/>
        </w:rPr>
        <w:drawing>
          <wp:inline distT="0" distB="0" distL="0" distR="0" wp14:anchorId="612F8833" wp14:editId="7788F559">
            <wp:extent cx="4962767" cy="3722077"/>
            <wp:effectExtent l="0" t="0" r="0" b="0"/>
            <wp:docPr id="2050" name="Picture 2"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Ä°lgili resi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797" cy="3758099"/>
                    </a:xfrm>
                    <a:prstGeom prst="rect">
                      <a:avLst/>
                    </a:prstGeom>
                    <a:noFill/>
                    <a:extLst/>
                  </pic:spPr>
                </pic:pic>
              </a:graphicData>
            </a:graphic>
          </wp:inline>
        </w:drawing>
      </w:r>
    </w:p>
    <w:p w:rsidR="00F017F4" w:rsidRPr="00373072" w:rsidRDefault="00F017F4" w:rsidP="00F017F4">
      <w:pPr>
        <w:jc w:val="both"/>
        <w:rPr>
          <w:rFonts w:cs="Times New Roman"/>
          <w:szCs w:val="24"/>
        </w:rPr>
      </w:pPr>
      <w:r w:rsidRPr="00373072">
        <w:rPr>
          <w:rFonts w:cs="Times New Roman"/>
          <w:szCs w:val="24"/>
        </w:rPr>
        <w:t>Şekil 3. Skolyoz hastasının omurga eğriliği ve tedavi edilmiş hali</w:t>
      </w:r>
    </w:p>
    <w:p w:rsidR="00F017F4" w:rsidRDefault="00F017F4" w:rsidP="00F017F4">
      <w:pPr>
        <w:jc w:val="both"/>
        <w:rPr>
          <w:rFonts w:cs="Times New Roman"/>
          <w:szCs w:val="24"/>
        </w:rPr>
      </w:pPr>
    </w:p>
    <w:p w:rsidR="00F017F4" w:rsidRPr="00373072" w:rsidRDefault="00F017F4" w:rsidP="00F017F4">
      <w:pPr>
        <w:jc w:val="both"/>
        <w:rPr>
          <w:rFonts w:cs="Times New Roman"/>
          <w:szCs w:val="24"/>
        </w:rPr>
      </w:pPr>
    </w:p>
    <w:p w:rsidR="00F017F4" w:rsidRPr="00373072" w:rsidRDefault="00F017F4" w:rsidP="00F017F4">
      <w:pPr>
        <w:jc w:val="both"/>
        <w:rPr>
          <w:rFonts w:cs="Times New Roman"/>
          <w:szCs w:val="24"/>
        </w:rPr>
      </w:pPr>
      <w:r w:rsidRPr="00373072">
        <w:rPr>
          <w:rFonts w:cs="Times New Roman"/>
          <w:b/>
          <w:bCs/>
          <w:szCs w:val="24"/>
        </w:rPr>
        <w:lastRenderedPageBreak/>
        <w:t>Ortopedik implantlar</w:t>
      </w:r>
    </w:p>
    <w:p w:rsidR="00F017F4" w:rsidRPr="00373072" w:rsidRDefault="00F017F4" w:rsidP="00F017F4">
      <w:pPr>
        <w:jc w:val="both"/>
        <w:rPr>
          <w:rFonts w:cs="Times New Roman"/>
          <w:szCs w:val="24"/>
        </w:rPr>
      </w:pPr>
      <w:r w:rsidRPr="00373072">
        <w:rPr>
          <w:rFonts w:cs="Times New Roman"/>
          <w:noProof/>
          <w:szCs w:val="24"/>
          <w:lang w:eastAsia="tr-TR"/>
        </w:rPr>
        <mc:AlternateContent>
          <mc:Choice Requires="wps">
            <w:drawing>
              <wp:anchor distT="45720" distB="45720" distL="114300" distR="114300" simplePos="0" relativeHeight="251660288" behindDoc="0" locked="0" layoutInCell="1" allowOverlap="1" wp14:anchorId="5C395BF4" wp14:editId="1F898CF7">
                <wp:simplePos x="0" y="0"/>
                <wp:positionH relativeFrom="column">
                  <wp:posOffset>3652419</wp:posOffset>
                </wp:positionH>
                <wp:positionV relativeFrom="paragraph">
                  <wp:posOffset>1016940</wp:posOffset>
                </wp:positionV>
                <wp:extent cx="321310" cy="1404620"/>
                <wp:effectExtent l="0" t="0" r="0" b="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404620"/>
                        </a:xfrm>
                        <a:prstGeom prst="rect">
                          <a:avLst/>
                        </a:prstGeom>
                        <a:noFill/>
                        <a:ln w="9525">
                          <a:noFill/>
                          <a:miter lim="800000"/>
                          <a:headEnd/>
                          <a:tailEnd/>
                        </a:ln>
                      </wps:spPr>
                      <wps:txbx>
                        <w:txbxContent>
                          <w:p w:rsidR="00F017F4" w:rsidRDefault="00F017F4" w:rsidP="00F017F4">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95BF4" id="_x0000_t202" coordsize="21600,21600" o:spt="202" path="m,l,21600r21600,l21600,xe">
                <v:stroke joinstyle="miter"/>
                <v:path gradientshapeok="t" o:connecttype="rect"/>
              </v:shapetype>
              <v:shape id="Metin Kutusu 2" o:spid="_x0000_s1026" type="#_x0000_t202" style="position:absolute;left:0;text-align:left;margin-left:287.6pt;margin-top:80.05pt;width:25.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" filled="f" stroked="f">
                <v:textbox style="mso-fit-shape-to-text:t">
                  <w:txbxContent>
                    <w:p w:rsidR="00F017F4" w:rsidRDefault="00F017F4" w:rsidP="00F017F4">
                      <w:r>
                        <w:t>b</w:t>
                      </w:r>
                    </w:p>
                  </w:txbxContent>
                </v:textbox>
              </v:shape>
            </w:pict>
          </mc:Fallback>
        </mc:AlternateContent>
      </w:r>
      <w:r w:rsidRPr="00373072">
        <w:rPr>
          <w:rFonts w:cs="Times New Roman"/>
          <w:szCs w:val="24"/>
        </w:rPr>
        <w:t xml:space="preserve">Ti ortopedik implantların en yaygın kullanımının mafsal (eklem) sakatlıklarında, özellikle romatizmalı veya dejenere olmuş bölgelerde olduğu belirtilmektedir. Ti alaşım protezler özellikle komple kalça, burun, dirsek ve parmak eklemi implantlarında, kırıkları sabitleştiren aparatlarda kullanılmaktadır (Şekil 4).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3116"/>
      </w:tblGrid>
      <w:tr w:rsidR="00F017F4" w:rsidRPr="00373072" w:rsidTr="00EE5AB4">
        <w:trPr>
          <w:trHeight w:val="2835"/>
        </w:trPr>
        <w:tc>
          <w:tcPr>
            <w:tcW w:w="4531" w:type="dxa"/>
          </w:tcPr>
          <w:p w:rsidR="00F017F4" w:rsidRPr="00373072" w:rsidRDefault="00F017F4" w:rsidP="00EE5AB4">
            <w:pPr>
              <w:spacing w:after="160"/>
              <w:rPr>
                <w:rFonts w:cs="Times New Roman"/>
                <w:szCs w:val="24"/>
              </w:rPr>
            </w:pPr>
            <w:r w:rsidRPr="00373072">
              <w:rPr>
                <w:rFonts w:cs="Times New Roman"/>
                <w:noProof/>
                <w:szCs w:val="24"/>
                <w:lang w:eastAsia="tr-TR"/>
              </w:rPr>
              <mc:AlternateContent>
                <mc:Choice Requires="wps">
                  <w:drawing>
                    <wp:anchor distT="45720" distB="45720" distL="114300" distR="114300" simplePos="0" relativeHeight="251659264" behindDoc="0" locked="0" layoutInCell="1" allowOverlap="1" wp14:anchorId="7AF193BA" wp14:editId="20BD4906">
                      <wp:simplePos x="0" y="0"/>
                      <wp:positionH relativeFrom="column">
                        <wp:posOffset>-3810</wp:posOffset>
                      </wp:positionH>
                      <wp:positionV relativeFrom="paragraph">
                        <wp:posOffset>-4445</wp:posOffset>
                      </wp:positionV>
                      <wp:extent cx="321310" cy="1404620"/>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404620"/>
                              </a:xfrm>
                              <a:prstGeom prst="rect">
                                <a:avLst/>
                              </a:prstGeom>
                              <a:noFill/>
                              <a:ln w="9525">
                                <a:noFill/>
                                <a:miter lim="800000"/>
                                <a:headEnd/>
                                <a:tailEnd/>
                              </a:ln>
                            </wps:spPr>
                            <wps:txbx>
                              <w:txbxContent>
                                <w:p w:rsidR="00F017F4" w:rsidRDefault="00F017F4" w:rsidP="00F017F4">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F193BA" id="_x0000_s1027" type="#_x0000_t202" style="position:absolute;left:0;text-align:left;margin-left:-.3pt;margin-top:-.35pt;width:2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" filled="f" stroked="f">
                      <v:textbox style="mso-fit-shape-to-text:t">
                        <w:txbxContent>
                          <w:p w:rsidR="00F017F4" w:rsidRDefault="00F017F4" w:rsidP="00F017F4">
                            <w:r>
                              <w:t>a</w:t>
                            </w:r>
                          </w:p>
                        </w:txbxContent>
                      </v:textbox>
                    </v:shape>
                  </w:pict>
                </mc:Fallback>
              </mc:AlternateContent>
            </w:r>
            <w:r w:rsidRPr="00373072">
              <w:rPr>
                <w:rFonts w:cs="Times New Roman"/>
                <w:noProof/>
                <w:szCs w:val="24"/>
                <w:lang w:eastAsia="tr-TR"/>
              </w:rPr>
              <w:drawing>
                <wp:inline distT="0" distB="0" distL="0" distR="0" wp14:anchorId="18A727CD" wp14:editId="5FAE94EC">
                  <wp:extent cx="3645181" cy="2050415"/>
                  <wp:effectExtent l="0" t="0" r="0" b="6985"/>
                  <wp:docPr id="2" name="Picture 2" descr="kalÃ§a implant nedir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kalÃ§a implant nedir ile ilgili gÃ¶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8231" cy="2057756"/>
                          </a:xfrm>
                          <a:prstGeom prst="rect">
                            <a:avLst/>
                          </a:prstGeom>
                          <a:noFill/>
                          <a:extLst/>
                        </pic:spPr>
                      </pic:pic>
                    </a:graphicData>
                  </a:graphic>
                </wp:inline>
              </w:drawing>
            </w:r>
          </w:p>
        </w:tc>
        <w:tc>
          <w:tcPr>
            <w:tcW w:w="4531" w:type="dxa"/>
          </w:tcPr>
          <w:p w:rsidR="00F017F4" w:rsidRPr="00373072" w:rsidRDefault="00F017F4" w:rsidP="00EE5AB4">
            <w:pPr>
              <w:spacing w:after="160"/>
              <w:rPr>
                <w:rFonts w:cs="Times New Roman"/>
                <w:szCs w:val="24"/>
              </w:rPr>
            </w:pPr>
            <w:r w:rsidRPr="00373072">
              <w:rPr>
                <w:rFonts w:cs="Times New Roman"/>
                <w:noProof/>
                <w:szCs w:val="24"/>
                <w:lang w:eastAsia="tr-TR"/>
              </w:rPr>
              <w:drawing>
                <wp:inline distT="0" distB="0" distL="0" distR="0" wp14:anchorId="47941D71" wp14:editId="183A4D9F">
                  <wp:extent cx="1602029" cy="2050823"/>
                  <wp:effectExtent l="0" t="0" r="0" b="6985"/>
                  <wp:docPr id="3076" name="Picture 4" descr="finger implant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finger implant ile ilgili gÃ¶rsel sonuc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230" cy="2084364"/>
                          </a:xfrm>
                          <a:prstGeom prst="rect">
                            <a:avLst/>
                          </a:prstGeom>
                          <a:noFill/>
                          <a:extLst/>
                        </pic:spPr>
                      </pic:pic>
                    </a:graphicData>
                  </a:graphic>
                </wp:inline>
              </w:drawing>
            </w:r>
          </w:p>
        </w:tc>
      </w:tr>
    </w:tbl>
    <w:p w:rsidR="00F017F4" w:rsidRPr="00373072" w:rsidRDefault="00F017F4" w:rsidP="00F017F4">
      <w:pPr>
        <w:jc w:val="both"/>
        <w:rPr>
          <w:rFonts w:cs="Times New Roman"/>
          <w:szCs w:val="24"/>
        </w:rPr>
      </w:pPr>
      <w:r w:rsidRPr="00373072">
        <w:rPr>
          <w:rFonts w:cs="Times New Roman"/>
          <w:szCs w:val="24"/>
        </w:rPr>
        <w:t>Şekil 4. a) Kalça implantı b) El ve parmak eklemi implantları</w:t>
      </w:r>
    </w:p>
    <w:p w:rsidR="00F017F4" w:rsidRPr="00373072" w:rsidRDefault="00F017F4" w:rsidP="00F017F4">
      <w:pPr>
        <w:jc w:val="both"/>
        <w:rPr>
          <w:rFonts w:cs="Times New Roman"/>
          <w:szCs w:val="24"/>
        </w:rPr>
      </w:pPr>
      <w:r w:rsidRPr="00373072">
        <w:rPr>
          <w:rFonts w:cs="Times New Roman"/>
          <w:szCs w:val="24"/>
        </w:rPr>
        <w:t xml:space="preserve"> </w:t>
      </w:r>
    </w:p>
    <w:p w:rsidR="00F017F4" w:rsidRPr="00373072" w:rsidRDefault="00F017F4" w:rsidP="00F017F4">
      <w:pPr>
        <w:jc w:val="both"/>
        <w:rPr>
          <w:rFonts w:cs="Times New Roman"/>
          <w:szCs w:val="24"/>
        </w:rPr>
      </w:pPr>
      <w:r w:rsidRPr="00373072">
        <w:rPr>
          <w:rFonts w:cs="Times New Roman"/>
          <w:szCs w:val="24"/>
        </w:rPr>
        <w:t xml:space="preserve">Total diz replasmanı için protezler, femoral, tibial ve/veya patellar komponentlerden oluşur (Şekil 5a) </w:t>
      </w:r>
      <w:r w:rsidRPr="00373072">
        <w:rPr>
          <w:rFonts w:cs="Times New Roman"/>
          <w:szCs w:val="24"/>
        </w:rPr>
        <w:fldChar w:fldCharType="begin"/>
      </w:r>
      <w:r w:rsidRPr="00373072">
        <w:rPr>
          <w:rFonts w:cs="Times New Roman"/>
          <w:szCs w:val="24"/>
        </w:rPr>
        <w:instrText xml:space="preserve"> ADDIN EN.CITE &lt;EndNote&gt;&lt;Cite&gt;&lt;Author&gt;Li&lt;/Author&gt;&lt;Year&gt;2014&lt;/Year&gt;&lt;RecNum&gt;105&lt;/RecNum&gt;&lt;DisplayText&gt;(Li et al., 2014)&lt;/DisplayText&gt;&lt;record&gt;&lt;rec-number&gt;105&lt;/rec-number&gt;&lt;foreign-keys&gt;&lt;key app="EN" db-id="sp5ffzxsjdztfzextfzv9t91feaat0er2e9e"&gt;105&lt;/key&gt;&lt;/foreign-keys&gt;&lt;ref-type name="Journal Article"&gt;17&lt;/ref-type&gt;&lt;contributors&gt;&lt;authors&gt;&lt;author&gt;Li, Yuhua&lt;/author&gt;&lt;author&gt;Yang, Chao&lt;/author&gt;&lt;author&gt;Zhao, Haidong&lt;/author&gt;&lt;author&gt;Qu, Shengguan&lt;/author&gt;&lt;author&gt;Li, Xiaoqiang&lt;/author&gt;&lt;author&gt;Li, Yuanyuan&lt;/author&gt;&lt;/authors&gt;&lt;/contributors&gt;&lt;titles&gt;&lt;title&gt;New developments of Ti-based alloys for biomedical applications&lt;/title&gt;&lt;secondary-title&gt;Materials&lt;/secondary-title&gt;&lt;/titles&gt;&lt;periodical&gt;&lt;full-title&gt;Materials&lt;/full-title&gt;&lt;/periodical&gt;&lt;pages&gt;1709-1800&lt;/pages&gt;&lt;volume&gt;7&lt;/volume&gt;&lt;number&gt;3&lt;/number&gt;&lt;dates&gt;&lt;year&gt;2014&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9" w:tooltip="Li, 2014 #99" w:history="1">
        <w:r w:rsidRPr="00373072">
          <w:rPr>
            <w:rStyle w:val="Kpr"/>
            <w:rFonts w:cs="Times New Roman"/>
            <w:szCs w:val="24"/>
          </w:rPr>
          <w:t>Li et al., 2014</w:t>
        </w:r>
      </w:hyperlink>
      <w:r w:rsidRPr="00373072">
        <w:rPr>
          <w:rFonts w:cs="Times New Roman"/>
          <w:szCs w:val="24"/>
        </w:rPr>
        <w:t>)</w:t>
      </w:r>
      <w:r w:rsidRPr="00373072">
        <w:rPr>
          <w:rFonts w:cs="Times New Roman"/>
          <w:szCs w:val="24"/>
        </w:rPr>
        <w:fldChar w:fldCharType="end"/>
      </w:r>
      <w:r w:rsidRPr="00373072">
        <w:rPr>
          <w:rFonts w:cs="Times New Roman"/>
          <w:szCs w:val="24"/>
        </w:rPr>
        <w:t>. Kalça eklemi ile karşılaştırıldığında diz eklemi daha karmaşık bir geometriye ve hareket mekaniğine sahiptir ve içsel olarak stabil değildir. Dizin eksantrik hareketi, yükün tüm eklem yüzeyi boyunca dağılmasına yardımcı olur. Total diz replasmanı, kemik çimentosu ile veya kemik çimentosu olmadan implante edilebilir ve sabitleme için gözenekli kaplamaya ihtiyaç duyulmaktadır. Femoral bileşenler tipik olarak Co-Cr alaşımından yapılır ve monolitik tibial bileşenler ultra yüksek moleküler ağırlıklı polietilenden (UHMWPE) yapılır. Modüler bileşenlerde, tibial polietilen bileşeni bir Ti bazlı alaşımlı tibial tepsi üzerine monte edilir. Patellar bileşeni UHMWPE'den üretilmiştir ve birleştirilmiş kullanım için tasarlanan bileşenlere bir Ti-bazlı alaşım geri eklenmiştir.</w:t>
      </w:r>
    </w:p>
    <w:p w:rsidR="00F017F4" w:rsidRPr="00373072" w:rsidRDefault="00F017F4" w:rsidP="00F017F4">
      <w:pPr>
        <w:jc w:val="both"/>
        <w:rPr>
          <w:rFonts w:cs="Times New Roman"/>
          <w:szCs w:val="24"/>
        </w:rPr>
      </w:pPr>
      <w:r w:rsidRPr="00373072">
        <w:rPr>
          <w:rFonts w:cs="Times New Roman"/>
          <w:szCs w:val="24"/>
        </w:rPr>
        <w:t xml:space="preserve">Total kalça replasmanı için endoprotez bir femoral komponent ve bir asetabular komponentten oluşmaktadır (Şekil 5b) </w:t>
      </w:r>
      <w:r w:rsidRPr="00373072">
        <w:rPr>
          <w:rFonts w:cs="Times New Roman"/>
          <w:szCs w:val="24"/>
        </w:rPr>
        <w:fldChar w:fldCharType="begin"/>
      </w:r>
      <w:r w:rsidRPr="00373072">
        <w:rPr>
          <w:rFonts w:cs="Times New Roman"/>
          <w:szCs w:val="24"/>
        </w:rPr>
        <w:instrText xml:space="preserve"> ADDIN EN.CITE &lt;EndNote&gt;&lt;Cite&gt;&lt;Author&gt;Li&lt;/Author&gt;&lt;Year&gt;2014&lt;/Year&gt;&lt;RecNum&gt;105&lt;/RecNum&gt;&lt;DisplayText&gt;(Li et al., 2014)&lt;/DisplayText&gt;&lt;record&gt;&lt;rec-number&gt;105&lt;/rec-number&gt;&lt;foreign-keys&gt;&lt;key app="EN" db-id="sp5ffzxsjdztfzextfzv9t91feaat0er2e9e"&gt;105&lt;/key&gt;&lt;/foreign-keys&gt;&lt;ref-type name="Journal Article"&gt;17&lt;/ref-type&gt;&lt;contributors&gt;&lt;authors&gt;&lt;author&gt;Li, Yuhua&lt;/author&gt;&lt;author&gt;Yang, Chao&lt;/author&gt;&lt;author&gt;Zhao, Haidong&lt;/author&gt;&lt;author&gt;Qu, Shengguan&lt;/author&gt;&lt;author&gt;Li, Xiaoqiang&lt;/author&gt;&lt;author&gt;Li, Yuanyuan&lt;/author&gt;&lt;/authors&gt;&lt;/contributors&gt;&lt;titles&gt;&lt;title&gt;New developments of Ti-based alloys for biomedical applications&lt;/title&gt;&lt;secondary-title&gt;Materials&lt;/secondary-title&gt;&lt;/titles&gt;&lt;periodical&gt;&lt;full-title&gt;Materials&lt;/full-title&gt;&lt;/periodical&gt;&lt;pages&gt;1709-1800&lt;/pages&gt;&lt;volume&gt;7&lt;/volume&gt;&lt;number&gt;3&lt;/number&gt;&lt;dates&gt;&lt;year&gt;2014&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9" w:tooltip="Li, 2014 #99" w:history="1">
        <w:r w:rsidRPr="00373072">
          <w:rPr>
            <w:rStyle w:val="Kpr"/>
            <w:rFonts w:cs="Times New Roman"/>
            <w:szCs w:val="24"/>
          </w:rPr>
          <w:t>Li et al., 2014</w:t>
        </w:r>
      </w:hyperlink>
      <w:r w:rsidRPr="00373072">
        <w:rPr>
          <w:rFonts w:cs="Times New Roman"/>
          <w:szCs w:val="24"/>
        </w:rPr>
        <w:t>)</w:t>
      </w:r>
      <w:r w:rsidRPr="00373072">
        <w:rPr>
          <w:rFonts w:cs="Times New Roman"/>
          <w:szCs w:val="24"/>
        </w:rPr>
        <w:fldChar w:fldCharType="end"/>
      </w:r>
      <w:r w:rsidRPr="00373072">
        <w:rPr>
          <w:rFonts w:cs="Times New Roman"/>
          <w:szCs w:val="24"/>
        </w:rPr>
        <w:t>. Femoral gövde Ti bazlı alaşım veya Co-Cr alaşımından yapılmıştır. Femur başı Co-Cr alaşımı, alüminyum veya zirkonyumdan yapılmıştır. Ti bazlı alaşım kafaları temiz artikülasyon koşullarında iyi işlev görmesine rağmen, kemik veya çimento partiküllerine karşı düşük aşınma direncinden ötürü kullanılmamışlardır. Asetabular bileşen genellikle UHMWPE'den yapılır.</w:t>
      </w:r>
    </w:p>
    <w:p w:rsidR="00F017F4" w:rsidRPr="00373072" w:rsidRDefault="00F017F4" w:rsidP="00F017F4">
      <w:pPr>
        <w:jc w:val="both"/>
        <w:rPr>
          <w:rFonts w:cs="Times New Roman"/>
          <w:szCs w:val="24"/>
        </w:rPr>
      </w:pPr>
      <w:r w:rsidRPr="00373072">
        <w:rPr>
          <w:rFonts w:cs="Times New Roman"/>
          <w:noProof/>
          <w:szCs w:val="24"/>
          <w:lang w:eastAsia="tr-TR"/>
        </w:rPr>
        <w:lastRenderedPageBreak/>
        <w:drawing>
          <wp:inline distT="0" distB="0" distL="0" distR="0" wp14:anchorId="0FC090E0" wp14:editId="6982991F">
            <wp:extent cx="3994150" cy="2903855"/>
            <wp:effectExtent l="0" t="0" r="635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150" cy="2903855"/>
                    </a:xfrm>
                    <a:prstGeom prst="rect">
                      <a:avLst/>
                    </a:prstGeom>
                    <a:noFill/>
                    <a:ln>
                      <a:noFill/>
                    </a:ln>
                  </pic:spPr>
                </pic:pic>
              </a:graphicData>
            </a:graphic>
          </wp:inline>
        </w:drawing>
      </w:r>
    </w:p>
    <w:p w:rsidR="00F017F4" w:rsidRPr="00373072" w:rsidRDefault="00F017F4" w:rsidP="00F017F4">
      <w:pPr>
        <w:jc w:val="both"/>
        <w:rPr>
          <w:rFonts w:cs="Times New Roman"/>
          <w:szCs w:val="24"/>
        </w:rPr>
      </w:pPr>
      <w:r w:rsidRPr="00373072">
        <w:rPr>
          <w:rFonts w:cs="Times New Roman"/>
          <w:szCs w:val="24"/>
        </w:rPr>
        <w:t xml:space="preserve">Şekil 5. Titanyum ortopedi tıbbi cihazlar: (a) Total diz replasmanı; (b) Toplam kalça replasmanı </w:t>
      </w:r>
      <w:r w:rsidRPr="00373072">
        <w:rPr>
          <w:rFonts w:cs="Times New Roman"/>
          <w:szCs w:val="24"/>
        </w:rPr>
        <w:fldChar w:fldCharType="begin"/>
      </w:r>
      <w:r w:rsidRPr="00373072">
        <w:rPr>
          <w:rFonts w:cs="Times New Roman"/>
          <w:szCs w:val="24"/>
        </w:rPr>
        <w:instrText xml:space="preserve"> ADDIN EN.CITE &lt;EndNote&gt;&lt;Cite&gt;&lt;Author&gt;Li&lt;/Author&gt;&lt;Year&gt;2014&lt;/Year&gt;&lt;RecNum&gt;105&lt;/RecNum&gt;&lt;DisplayText&gt;(Li et al., 2014)&lt;/DisplayText&gt;&lt;record&gt;&lt;rec-number&gt;105&lt;/rec-number&gt;&lt;foreign-keys&gt;&lt;key app="EN" db-id="sp5ffzxsjdztfzextfzv9t91feaat0er2e9e"&gt;105&lt;/key&gt;&lt;/foreign-keys&gt;&lt;ref-type name="Journal Article"&gt;17&lt;/ref-type&gt;&lt;contributors&gt;&lt;authors&gt;&lt;author&gt;Li, Yuhua&lt;/author&gt;&lt;author&gt;Yang, Chao&lt;/author&gt;&lt;author&gt;Zhao, Haidong&lt;/author&gt;&lt;author&gt;Qu, Shengguan&lt;/author&gt;&lt;author&gt;Li, Xiaoqiang&lt;/author&gt;&lt;author&gt;Li, Yuanyuan&lt;/author&gt;&lt;/authors&gt;&lt;/contributors&gt;&lt;titles&gt;&lt;title&gt;New developments of Ti-based alloys for biomedical applications&lt;/title&gt;&lt;secondary-title&gt;Materials&lt;/secondary-title&gt;&lt;/titles&gt;&lt;periodical&gt;&lt;full-title&gt;Materials&lt;/full-title&gt;&lt;/periodical&gt;&lt;pages&gt;1709-1800&lt;/pages&gt;&lt;volume&gt;7&lt;/volume&gt;&lt;number&gt;3&lt;/number&gt;&lt;dates&gt;&lt;year&gt;2014&lt;/year&gt;&lt;/dates&gt;&lt;urls&gt;&lt;/urls&gt;&lt;/record&gt;&lt;/Cite&gt;&lt;/EndNote&gt;</w:instrText>
      </w:r>
      <w:r w:rsidRPr="00373072">
        <w:rPr>
          <w:rFonts w:cs="Times New Roman"/>
          <w:szCs w:val="24"/>
        </w:rPr>
        <w:fldChar w:fldCharType="separate"/>
      </w:r>
      <w:r w:rsidRPr="00373072">
        <w:rPr>
          <w:rFonts w:cs="Times New Roman"/>
          <w:szCs w:val="24"/>
        </w:rPr>
        <w:t>(</w:t>
      </w:r>
      <w:hyperlink w:anchor="_ENREF_9" w:tooltip="Li, 2014 #99" w:history="1">
        <w:r w:rsidRPr="00373072">
          <w:rPr>
            <w:rStyle w:val="Kpr"/>
            <w:rFonts w:cs="Times New Roman"/>
            <w:szCs w:val="24"/>
          </w:rPr>
          <w:t>Li et al., 2014</w:t>
        </w:r>
      </w:hyperlink>
      <w:r w:rsidRPr="00373072">
        <w:rPr>
          <w:rFonts w:cs="Times New Roman"/>
          <w:szCs w:val="24"/>
        </w:rPr>
        <w:t>)</w:t>
      </w:r>
      <w:r w:rsidRPr="00373072">
        <w:rPr>
          <w:rFonts w:cs="Times New Roman"/>
          <w:szCs w:val="24"/>
        </w:rPr>
        <w:fldChar w:fldCharType="end"/>
      </w:r>
    </w:p>
    <w:p w:rsidR="00F017F4" w:rsidRPr="00373072" w:rsidRDefault="00F017F4" w:rsidP="00F017F4">
      <w:pPr>
        <w:jc w:val="both"/>
        <w:rPr>
          <w:rFonts w:cs="Times New Roman"/>
          <w:szCs w:val="24"/>
        </w:rPr>
      </w:pPr>
    </w:p>
    <w:p w:rsidR="00F017F4" w:rsidRPr="00373072" w:rsidRDefault="00F017F4" w:rsidP="00F017F4">
      <w:pPr>
        <w:jc w:val="both"/>
        <w:rPr>
          <w:rFonts w:cs="Times New Roman"/>
          <w:szCs w:val="24"/>
        </w:rPr>
      </w:pPr>
      <w:r w:rsidRPr="00373072">
        <w:rPr>
          <w:rFonts w:cs="Times New Roman"/>
          <w:b/>
          <w:bCs/>
          <w:szCs w:val="24"/>
        </w:rPr>
        <w:t xml:space="preserve">Diş implantları </w:t>
      </w:r>
    </w:p>
    <w:p w:rsidR="00F017F4" w:rsidRPr="00373072" w:rsidRDefault="00F017F4" w:rsidP="00F017F4">
      <w:pPr>
        <w:jc w:val="both"/>
        <w:rPr>
          <w:rFonts w:cs="Times New Roman"/>
          <w:szCs w:val="24"/>
        </w:rPr>
      </w:pPr>
      <w:r w:rsidRPr="00373072">
        <w:rPr>
          <w:rFonts w:cs="Times New Roman"/>
          <w:szCs w:val="24"/>
        </w:rPr>
        <w:t>Titanyum ve alaşımlarının diş implantlarında kullanımlar oldukça yaygındır. Şekil 6’da de kaybedilmiş dişlerin yerine konan titanyum alaşımından yapılmış yapay diş kökleri ve implantın parçaları gösterilmektedir. Bu implantlar dişlerin tedavisinde ve takma dişlerin yapımında kişiye özgü tasarımlar kullanılarak insanların dişlerinde oluşan sorunları çözmektedir. Kişiye özgü tasarımlarda teknolojinin de gelişmesiyle 3boyutlu yazıcıların kullanımları da son yıllarda oldukça artmaktadır.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284"/>
      </w:tblGrid>
      <w:tr w:rsidR="00F017F4" w:rsidRPr="00373072" w:rsidTr="00EE5AB4">
        <w:tc>
          <w:tcPr>
            <w:tcW w:w="4531" w:type="dxa"/>
          </w:tcPr>
          <w:p w:rsidR="00F017F4" w:rsidRPr="00373072" w:rsidRDefault="00F017F4" w:rsidP="00EE5AB4">
            <w:pPr>
              <w:spacing w:after="160"/>
              <w:rPr>
                <w:rFonts w:cs="Times New Roman"/>
                <w:szCs w:val="24"/>
              </w:rPr>
            </w:pPr>
            <w:r w:rsidRPr="00373072">
              <w:rPr>
                <w:rFonts w:cs="Times New Roman"/>
                <w:noProof/>
                <w:szCs w:val="24"/>
                <w:lang w:eastAsia="tr-TR"/>
              </w:rPr>
              <w:drawing>
                <wp:inline distT="0" distB="0" distL="0" distR="0" wp14:anchorId="5239197F" wp14:editId="7393F1CE">
                  <wp:extent cx="2903225" cy="1800000"/>
                  <wp:effectExtent l="0" t="0" r="0" b="0"/>
                  <wp:docPr id="4102" name="Picture 6"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Ä°lgili resi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5" cy="1800000"/>
                          </a:xfrm>
                          <a:prstGeom prst="rect">
                            <a:avLst/>
                          </a:prstGeom>
                          <a:noFill/>
                          <a:extLst/>
                        </pic:spPr>
                      </pic:pic>
                    </a:graphicData>
                  </a:graphic>
                </wp:inline>
              </w:drawing>
            </w:r>
          </w:p>
        </w:tc>
        <w:tc>
          <w:tcPr>
            <w:tcW w:w="4531" w:type="dxa"/>
          </w:tcPr>
          <w:p w:rsidR="00F017F4" w:rsidRPr="00373072" w:rsidRDefault="00F017F4" w:rsidP="00EE5AB4">
            <w:pPr>
              <w:spacing w:after="160"/>
              <w:rPr>
                <w:rFonts w:cs="Times New Roman"/>
                <w:szCs w:val="24"/>
              </w:rPr>
            </w:pPr>
            <w:r w:rsidRPr="00373072">
              <w:rPr>
                <w:rFonts w:cs="Times New Roman"/>
                <w:noProof/>
                <w:szCs w:val="24"/>
                <w:lang w:eastAsia="tr-TR"/>
              </w:rPr>
              <w:drawing>
                <wp:inline distT="0" distB="0" distL="0" distR="0" wp14:anchorId="0DB04F6B" wp14:editId="3FE37EC8">
                  <wp:extent cx="2347826" cy="1800000"/>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rotWithShape="1">
                          <a:blip r:embed="rId14"/>
                          <a:srcRect l="40950" t="46667" r="27551" b="10401"/>
                          <a:stretch/>
                        </pic:blipFill>
                        <pic:spPr>
                          <a:xfrm>
                            <a:off x="0" y="0"/>
                            <a:ext cx="2347826" cy="1800000"/>
                          </a:xfrm>
                          <a:prstGeom prst="rect">
                            <a:avLst/>
                          </a:prstGeom>
                        </pic:spPr>
                      </pic:pic>
                    </a:graphicData>
                  </a:graphic>
                </wp:inline>
              </w:drawing>
            </w:r>
          </w:p>
        </w:tc>
      </w:tr>
    </w:tbl>
    <w:p w:rsidR="00F017F4" w:rsidRPr="00373072" w:rsidRDefault="00F017F4" w:rsidP="00F017F4">
      <w:pPr>
        <w:jc w:val="both"/>
        <w:rPr>
          <w:rFonts w:cs="Times New Roman"/>
          <w:szCs w:val="24"/>
        </w:rPr>
      </w:pPr>
      <w:r w:rsidRPr="00373072">
        <w:rPr>
          <w:rFonts w:cs="Times New Roman"/>
          <w:szCs w:val="24"/>
        </w:rPr>
        <w:t>Şekil 6. Titanyum diş implantı uygulaması</w:t>
      </w:r>
    </w:p>
    <w:p w:rsidR="00F017F4" w:rsidRDefault="00F017F4" w:rsidP="00F017F4">
      <w:pPr>
        <w:jc w:val="both"/>
        <w:rPr>
          <w:rFonts w:cs="Times New Roman"/>
          <w:b/>
          <w:szCs w:val="24"/>
        </w:rPr>
      </w:pPr>
    </w:p>
    <w:p w:rsidR="00F017F4" w:rsidRPr="00373072" w:rsidRDefault="00F017F4" w:rsidP="00F017F4">
      <w:pPr>
        <w:jc w:val="both"/>
        <w:rPr>
          <w:rFonts w:cs="Times New Roman"/>
          <w:b/>
          <w:szCs w:val="24"/>
        </w:rPr>
      </w:pPr>
      <w:r w:rsidRPr="00373072">
        <w:rPr>
          <w:rFonts w:cs="Times New Roman"/>
          <w:b/>
          <w:szCs w:val="24"/>
        </w:rPr>
        <w:lastRenderedPageBreak/>
        <w:t>SONUÇ</w:t>
      </w:r>
    </w:p>
    <w:p w:rsidR="00F017F4" w:rsidRPr="00373072" w:rsidRDefault="00F017F4" w:rsidP="00F017F4">
      <w:pPr>
        <w:jc w:val="both"/>
        <w:rPr>
          <w:rFonts w:cs="Times New Roman"/>
          <w:szCs w:val="24"/>
        </w:rPr>
      </w:pPr>
      <w:r w:rsidRPr="00373072">
        <w:rPr>
          <w:rFonts w:cs="Times New Roman"/>
          <w:szCs w:val="24"/>
        </w:rPr>
        <w:t>Gelişmiş ülkelerde, özellikle sağlık sektöründeki teknolojik gelişmelerle birlikte malzeme gruplarının geliştirilmesi hızla artmaktadır. Bunun sebeplerinden bir tanesi de daha kaliteli ve konforlu bir yaşamdır. Ülkemizde bu malzeme gruplarının özellikle Ti ve alaşımlarının kullanımları oldukça yaygındır. Sağlık alanında Mersin ilinin gelişmişlik oranı, Mersin Üniversitesi Araştırma Hastanesi, Şehir Hastanesi ve Ulusal ve Uluslararası alanda kendini ispatlamış özel sağlık kuruluşlarında bulunan başarılı hekimlerin kullanmış olduğu yöntemlerle oldukça yüksektir. Mersin ilimizde bulunan hekimlerimizin gelişen teknolojileri yakından takip etmesinin bir sonucu olarak da başta Diş Sağlığı ve Ortopedik Cerrahi konuları olmak üzere Ti ve alaşımlarının kullanımının oldukça yaygın olduğu görülmektedir.</w:t>
      </w:r>
    </w:p>
    <w:p w:rsidR="00F017F4" w:rsidRPr="00373072" w:rsidRDefault="00F017F4" w:rsidP="00F017F4">
      <w:pPr>
        <w:jc w:val="both"/>
        <w:rPr>
          <w:rFonts w:cs="Times New Roman"/>
          <w:szCs w:val="24"/>
        </w:rPr>
      </w:pPr>
    </w:p>
    <w:p w:rsidR="00F017F4" w:rsidRDefault="00F017F4" w:rsidP="00F017F4">
      <w:pPr>
        <w:rPr>
          <w:rFonts w:cs="Times New Roman"/>
          <w:b/>
          <w:szCs w:val="24"/>
        </w:rPr>
      </w:pPr>
      <w:r>
        <w:rPr>
          <w:rFonts w:cs="Times New Roman"/>
          <w:b/>
          <w:szCs w:val="24"/>
        </w:rPr>
        <w:br w:type="page"/>
      </w:r>
    </w:p>
    <w:p w:rsidR="00F017F4" w:rsidRPr="00373072" w:rsidRDefault="00F017F4" w:rsidP="00F017F4">
      <w:pPr>
        <w:jc w:val="both"/>
        <w:rPr>
          <w:rFonts w:cs="Times New Roman"/>
          <w:b/>
          <w:szCs w:val="24"/>
        </w:rPr>
      </w:pPr>
      <w:r w:rsidRPr="00373072">
        <w:rPr>
          <w:rFonts w:cs="Times New Roman"/>
          <w:b/>
          <w:szCs w:val="24"/>
        </w:rPr>
        <w:lastRenderedPageBreak/>
        <w:t>KAYNAKÇA</w:t>
      </w:r>
    </w:p>
    <w:p w:rsidR="00F017F4" w:rsidRPr="00373072" w:rsidRDefault="00F017F4" w:rsidP="00F017F4">
      <w:pPr>
        <w:jc w:val="both"/>
        <w:rPr>
          <w:rFonts w:cs="Times New Roman"/>
          <w:szCs w:val="24"/>
        </w:rPr>
      </w:pPr>
      <w:r w:rsidRPr="00373072">
        <w:rPr>
          <w:rFonts w:cs="Times New Roman"/>
          <w:szCs w:val="24"/>
        </w:rPr>
        <w:fldChar w:fldCharType="begin"/>
      </w:r>
      <w:r w:rsidRPr="00373072">
        <w:rPr>
          <w:rFonts w:cs="Times New Roman"/>
          <w:szCs w:val="24"/>
        </w:rPr>
        <w:instrText xml:space="preserve"> ADDIN EN.REFLIST </w:instrText>
      </w:r>
      <w:r w:rsidRPr="00373072">
        <w:rPr>
          <w:rFonts w:cs="Times New Roman"/>
          <w:szCs w:val="24"/>
        </w:rPr>
        <w:fldChar w:fldCharType="separate"/>
      </w:r>
      <w:bookmarkStart w:id="1" w:name="_ENREF_1"/>
      <w:r w:rsidRPr="00373072">
        <w:rPr>
          <w:rFonts w:cs="Times New Roman"/>
          <w:b/>
          <w:szCs w:val="24"/>
        </w:rPr>
        <w:t>Achiței, D.-C., Vizureanu, P., Minciună, M.-G., Sandu, A.-V., &amp; Mustafa, M.</w:t>
      </w:r>
      <w:r w:rsidRPr="00373072">
        <w:rPr>
          <w:rFonts w:cs="Times New Roman"/>
          <w:szCs w:val="24"/>
        </w:rPr>
        <w:t xml:space="preserve"> (2017). Introduction to Metallic Biomaterials. </w:t>
      </w:r>
      <w:r w:rsidRPr="00373072">
        <w:rPr>
          <w:rFonts w:cs="Times New Roman"/>
          <w:szCs w:val="24"/>
        </w:rPr>
        <w:tab/>
      </w:r>
      <w:bookmarkEnd w:id="1"/>
    </w:p>
    <w:p w:rsidR="00F017F4" w:rsidRPr="00373072" w:rsidRDefault="00F017F4" w:rsidP="00F017F4">
      <w:pPr>
        <w:jc w:val="both"/>
        <w:rPr>
          <w:rFonts w:cs="Times New Roman"/>
          <w:szCs w:val="24"/>
        </w:rPr>
      </w:pPr>
      <w:bookmarkStart w:id="2" w:name="_ENREF_2"/>
      <w:r w:rsidRPr="00373072">
        <w:rPr>
          <w:rFonts w:cs="Times New Roman"/>
          <w:b/>
          <w:szCs w:val="24"/>
        </w:rPr>
        <w:t xml:space="preserve">Angelliaume, A., Ferrero, E., Mazda, K., Le Hanneur, M., Accabled, F., de Gauzy, J. S., &amp; Ilharreborde, B. </w:t>
      </w:r>
      <w:r w:rsidRPr="00373072">
        <w:rPr>
          <w:rFonts w:cs="Times New Roman"/>
          <w:szCs w:val="24"/>
        </w:rPr>
        <w:t xml:space="preserve">(2017). Titanium vs cobalt chromium: what is the best rod material to enhance adolescent idiopathic scoliosis correction with sublaminar bands? </w:t>
      </w:r>
      <w:r w:rsidRPr="00373072">
        <w:rPr>
          <w:rFonts w:cs="Times New Roman"/>
          <w:i/>
          <w:szCs w:val="24"/>
        </w:rPr>
        <w:t>European Spine Journal, 26</w:t>
      </w:r>
      <w:r w:rsidRPr="00373072">
        <w:rPr>
          <w:rFonts w:cs="Times New Roman"/>
          <w:szCs w:val="24"/>
        </w:rPr>
        <w:t xml:space="preserve">(6), 1732-1738. </w:t>
      </w:r>
      <w:r w:rsidRPr="00373072">
        <w:rPr>
          <w:rFonts w:cs="Times New Roman"/>
          <w:szCs w:val="24"/>
        </w:rPr>
        <w:tab/>
      </w:r>
      <w:bookmarkEnd w:id="2"/>
    </w:p>
    <w:p w:rsidR="00F017F4" w:rsidRPr="00373072" w:rsidRDefault="00F017F4" w:rsidP="00F017F4">
      <w:pPr>
        <w:jc w:val="both"/>
        <w:rPr>
          <w:rFonts w:cs="Times New Roman"/>
          <w:szCs w:val="24"/>
        </w:rPr>
      </w:pPr>
      <w:bookmarkStart w:id="3" w:name="_ENREF_3"/>
      <w:r w:rsidRPr="00373072">
        <w:rPr>
          <w:rFonts w:cs="Times New Roman"/>
          <w:b/>
          <w:szCs w:val="24"/>
        </w:rPr>
        <w:t>Cagan, &amp; Buldum.</w:t>
      </w:r>
      <w:r w:rsidRPr="00373072">
        <w:rPr>
          <w:rFonts w:cs="Times New Roman"/>
          <w:szCs w:val="24"/>
        </w:rPr>
        <w:t xml:space="preserve"> (2017). Investigation of the effect of minimum quantity lubrication (mql) on the machining of titanium and its alloys a revıew. </w:t>
      </w:r>
      <w:r w:rsidRPr="00373072">
        <w:rPr>
          <w:rFonts w:cs="Times New Roman"/>
          <w:i/>
          <w:szCs w:val="24"/>
        </w:rPr>
        <w:t xml:space="preserve">International Journal of Mechanical and Production Engineering Research and Development, </w:t>
      </w:r>
      <w:r w:rsidRPr="00373072">
        <w:rPr>
          <w:rFonts w:cs="Times New Roman"/>
          <w:szCs w:val="24"/>
        </w:rPr>
        <w:t>7, 453-462.</w:t>
      </w:r>
    </w:p>
    <w:p w:rsidR="00F017F4" w:rsidRPr="00373072" w:rsidRDefault="00F017F4" w:rsidP="00F017F4">
      <w:pPr>
        <w:jc w:val="both"/>
        <w:rPr>
          <w:rFonts w:cs="Times New Roman"/>
          <w:szCs w:val="24"/>
        </w:rPr>
      </w:pPr>
      <w:bookmarkStart w:id="4" w:name="_ENREF_4"/>
      <w:bookmarkEnd w:id="3"/>
      <w:r w:rsidRPr="00373072">
        <w:rPr>
          <w:rFonts w:cs="Times New Roman"/>
          <w:b/>
          <w:szCs w:val="24"/>
        </w:rPr>
        <w:t>Cao, F., Kumar, P., Koopman, M., Lin, C., Fang, Z. Z., &amp; Chandran, K. R.</w:t>
      </w:r>
      <w:r w:rsidRPr="00373072">
        <w:rPr>
          <w:rFonts w:cs="Times New Roman"/>
          <w:szCs w:val="24"/>
        </w:rPr>
        <w:t xml:space="preserve"> (2015). Understanding competing fatigue mechanisms in powder metallurgy Ti–6Al–4V alloy: role of crack initiation and duality of fatigue response. </w:t>
      </w:r>
      <w:r w:rsidRPr="00373072">
        <w:rPr>
          <w:rFonts w:cs="Times New Roman"/>
          <w:i/>
          <w:szCs w:val="24"/>
        </w:rPr>
        <w:t>Materials Science and Engineering: A, 630</w:t>
      </w:r>
      <w:r w:rsidRPr="00373072">
        <w:rPr>
          <w:rFonts w:cs="Times New Roman"/>
          <w:szCs w:val="24"/>
        </w:rPr>
        <w:t xml:space="preserve">, 139-145. </w:t>
      </w:r>
      <w:r w:rsidRPr="00373072">
        <w:rPr>
          <w:rFonts w:cs="Times New Roman"/>
          <w:szCs w:val="24"/>
        </w:rPr>
        <w:tab/>
      </w:r>
      <w:bookmarkEnd w:id="4"/>
    </w:p>
    <w:p w:rsidR="00F017F4" w:rsidRPr="00373072" w:rsidRDefault="00F017F4" w:rsidP="00F017F4">
      <w:pPr>
        <w:jc w:val="both"/>
        <w:rPr>
          <w:rFonts w:cs="Times New Roman"/>
          <w:szCs w:val="24"/>
        </w:rPr>
      </w:pPr>
      <w:bookmarkStart w:id="5" w:name="_ENREF_5"/>
      <w:r w:rsidRPr="00373072">
        <w:rPr>
          <w:rFonts w:cs="Times New Roman"/>
          <w:b/>
          <w:szCs w:val="24"/>
        </w:rPr>
        <w:t>Çağan, S. Ç.</w:t>
      </w:r>
      <w:r w:rsidRPr="00373072">
        <w:rPr>
          <w:rFonts w:cs="Times New Roman"/>
          <w:szCs w:val="24"/>
        </w:rPr>
        <w:t xml:space="preserve"> (2015). Çinko katkılı antibakteriyel özellikte hidroksiapatit üretimi ve karakterizasyonu. </w:t>
      </w:r>
      <w:r w:rsidRPr="00373072">
        <w:rPr>
          <w:rFonts w:cs="Times New Roman"/>
          <w:i/>
          <w:szCs w:val="24"/>
        </w:rPr>
        <w:t>Mersin Üniversitesi Fen Bilimleri Enstitüsü, Y.lisans tezi.</w:t>
      </w:r>
      <w:r w:rsidRPr="00373072">
        <w:rPr>
          <w:rFonts w:cs="Times New Roman"/>
          <w:szCs w:val="24"/>
        </w:rPr>
        <w:tab/>
      </w:r>
      <w:bookmarkEnd w:id="5"/>
    </w:p>
    <w:p w:rsidR="00F017F4" w:rsidRPr="00373072" w:rsidRDefault="00F017F4" w:rsidP="00F017F4">
      <w:pPr>
        <w:jc w:val="both"/>
        <w:rPr>
          <w:rFonts w:cs="Times New Roman"/>
          <w:szCs w:val="24"/>
        </w:rPr>
      </w:pPr>
      <w:bookmarkStart w:id="6" w:name="_ENREF_6"/>
      <w:r w:rsidRPr="00373072">
        <w:rPr>
          <w:rFonts w:cs="Times New Roman"/>
          <w:b/>
          <w:szCs w:val="24"/>
        </w:rPr>
        <w:t xml:space="preserve">Findik, F. </w:t>
      </w:r>
      <w:r w:rsidRPr="00373072">
        <w:rPr>
          <w:rFonts w:cs="Times New Roman"/>
          <w:szCs w:val="24"/>
        </w:rPr>
        <w:t xml:space="preserve">(2017). Titanium Based Biomaterials. </w:t>
      </w:r>
      <w:r w:rsidRPr="00373072">
        <w:rPr>
          <w:rFonts w:cs="Times New Roman"/>
          <w:i/>
          <w:szCs w:val="24"/>
        </w:rPr>
        <w:t>Eng. Biosci, 7</w:t>
      </w:r>
      <w:r w:rsidRPr="00373072">
        <w:rPr>
          <w:rFonts w:cs="Times New Roman"/>
          <w:szCs w:val="24"/>
        </w:rPr>
        <w:t xml:space="preserve">(3), 1-3. </w:t>
      </w:r>
      <w:r w:rsidRPr="00373072">
        <w:rPr>
          <w:rFonts w:cs="Times New Roman"/>
          <w:szCs w:val="24"/>
        </w:rPr>
        <w:tab/>
      </w:r>
      <w:bookmarkEnd w:id="6"/>
    </w:p>
    <w:p w:rsidR="00F017F4" w:rsidRPr="00373072" w:rsidRDefault="00F017F4" w:rsidP="00F017F4">
      <w:pPr>
        <w:jc w:val="both"/>
        <w:rPr>
          <w:rFonts w:cs="Times New Roman"/>
          <w:szCs w:val="24"/>
        </w:rPr>
      </w:pPr>
      <w:bookmarkStart w:id="7" w:name="_ENREF_7"/>
      <w:r w:rsidRPr="00373072">
        <w:rPr>
          <w:rFonts w:cs="Times New Roman"/>
          <w:b/>
          <w:szCs w:val="24"/>
        </w:rPr>
        <w:t>Gür, A. K., &amp; Taşkın, M.</w:t>
      </w:r>
      <w:r w:rsidRPr="00373072">
        <w:rPr>
          <w:rFonts w:cs="Times New Roman"/>
          <w:szCs w:val="24"/>
        </w:rPr>
        <w:t xml:space="preserve"> (2004). Metalik biyomalzemeler ve biyouyum. </w:t>
      </w:r>
      <w:r w:rsidRPr="00373072">
        <w:rPr>
          <w:rFonts w:cs="Times New Roman"/>
          <w:i/>
          <w:szCs w:val="24"/>
        </w:rPr>
        <w:t>Doğu Anadolu Bölgesi Araştırmaları, 2</w:t>
      </w:r>
      <w:r w:rsidRPr="00373072">
        <w:rPr>
          <w:rFonts w:cs="Times New Roman"/>
          <w:szCs w:val="24"/>
        </w:rPr>
        <w:t xml:space="preserve">(2), 106-113. </w:t>
      </w:r>
      <w:r w:rsidRPr="00373072">
        <w:rPr>
          <w:rFonts w:cs="Times New Roman"/>
          <w:szCs w:val="24"/>
        </w:rPr>
        <w:tab/>
      </w:r>
      <w:bookmarkEnd w:id="7"/>
    </w:p>
    <w:p w:rsidR="00F017F4" w:rsidRPr="00373072" w:rsidRDefault="00F017F4" w:rsidP="00F017F4">
      <w:pPr>
        <w:jc w:val="both"/>
        <w:rPr>
          <w:rFonts w:cs="Times New Roman"/>
          <w:szCs w:val="24"/>
        </w:rPr>
      </w:pPr>
      <w:bookmarkStart w:id="8" w:name="_ENREF_8"/>
      <w:r w:rsidRPr="00373072">
        <w:rPr>
          <w:rFonts w:cs="Times New Roman"/>
          <w:b/>
          <w:szCs w:val="24"/>
        </w:rPr>
        <w:t xml:space="preserve">Hench, L. L. (1999). </w:t>
      </w:r>
      <w:r w:rsidRPr="00373072">
        <w:rPr>
          <w:rFonts w:cs="Times New Roman"/>
          <w:szCs w:val="24"/>
        </w:rPr>
        <w:t xml:space="preserve">Medical materials for the next millennium. </w:t>
      </w:r>
      <w:r w:rsidRPr="00373072">
        <w:rPr>
          <w:rFonts w:cs="Times New Roman"/>
          <w:i/>
          <w:szCs w:val="24"/>
        </w:rPr>
        <w:t>Mrs Bulletin, 24</w:t>
      </w:r>
      <w:r w:rsidRPr="00373072">
        <w:rPr>
          <w:rFonts w:cs="Times New Roman"/>
          <w:szCs w:val="24"/>
        </w:rPr>
        <w:t xml:space="preserve">(5), 13-20. </w:t>
      </w:r>
      <w:bookmarkEnd w:id="8"/>
    </w:p>
    <w:p w:rsidR="00F017F4" w:rsidRPr="00373072" w:rsidRDefault="00F017F4" w:rsidP="00F017F4">
      <w:pPr>
        <w:jc w:val="both"/>
        <w:rPr>
          <w:rFonts w:cs="Times New Roman"/>
          <w:szCs w:val="24"/>
        </w:rPr>
      </w:pPr>
      <w:bookmarkStart w:id="9" w:name="_ENREF_9"/>
      <w:r w:rsidRPr="00373072">
        <w:rPr>
          <w:rFonts w:cs="Times New Roman"/>
          <w:b/>
          <w:szCs w:val="24"/>
        </w:rPr>
        <w:t xml:space="preserve">Li, Y., Yang, C., Zhao, H., Qu, S., Li, X., &amp; Li, Y. </w:t>
      </w:r>
      <w:r w:rsidRPr="00373072">
        <w:rPr>
          <w:rFonts w:cs="Times New Roman"/>
          <w:szCs w:val="24"/>
        </w:rPr>
        <w:t xml:space="preserve">(2014). New developments of Ti-based alloys for biomedical applications. </w:t>
      </w:r>
      <w:r w:rsidRPr="00373072">
        <w:rPr>
          <w:rFonts w:cs="Times New Roman"/>
          <w:i/>
          <w:szCs w:val="24"/>
        </w:rPr>
        <w:t>Materials, 7</w:t>
      </w:r>
      <w:r w:rsidRPr="00373072">
        <w:rPr>
          <w:rFonts w:cs="Times New Roman"/>
          <w:szCs w:val="24"/>
        </w:rPr>
        <w:t xml:space="preserve">(3), 1709-1800. </w:t>
      </w:r>
      <w:r w:rsidRPr="00373072">
        <w:rPr>
          <w:rFonts w:cs="Times New Roman"/>
          <w:szCs w:val="24"/>
        </w:rPr>
        <w:tab/>
      </w:r>
      <w:bookmarkEnd w:id="9"/>
    </w:p>
    <w:p w:rsidR="00F017F4" w:rsidRPr="00373072" w:rsidRDefault="00F017F4" w:rsidP="00F017F4">
      <w:pPr>
        <w:jc w:val="both"/>
        <w:rPr>
          <w:rFonts w:cs="Times New Roman"/>
          <w:szCs w:val="24"/>
        </w:rPr>
      </w:pPr>
      <w:bookmarkStart w:id="10" w:name="_ENREF_10"/>
      <w:r w:rsidRPr="00373072">
        <w:rPr>
          <w:rFonts w:cs="Times New Roman"/>
          <w:b/>
          <w:szCs w:val="24"/>
        </w:rPr>
        <w:t>Markets and Markets.</w:t>
      </w:r>
      <w:r w:rsidRPr="00373072">
        <w:rPr>
          <w:rFonts w:cs="Times New Roman"/>
          <w:szCs w:val="24"/>
        </w:rPr>
        <w:t xml:space="preserve"> (2018). Markets and Markets, Global Biomaterial Market (2016-2021), Report Description, https://</w:t>
      </w:r>
      <w:hyperlink r:id="rId15" w:history="1">
        <w:r w:rsidRPr="00373072">
          <w:rPr>
            <w:rStyle w:val="Kpr"/>
            <w:rFonts w:cs="Times New Roman"/>
            <w:szCs w:val="24"/>
          </w:rPr>
          <w:t>www.marketsandmarkets.com/PressReleases/global-biomaterials.asp</w:t>
        </w:r>
      </w:hyperlink>
      <w:r w:rsidRPr="00373072">
        <w:rPr>
          <w:rFonts w:cs="Times New Roman"/>
          <w:szCs w:val="24"/>
        </w:rPr>
        <w:t xml:space="preserve">, (2018). </w:t>
      </w:r>
      <w:r w:rsidRPr="00373072">
        <w:rPr>
          <w:rFonts w:cs="Times New Roman"/>
          <w:szCs w:val="24"/>
        </w:rPr>
        <w:tab/>
      </w:r>
      <w:bookmarkEnd w:id="10"/>
    </w:p>
    <w:p w:rsidR="00F017F4" w:rsidRPr="00373072" w:rsidRDefault="00F017F4" w:rsidP="00F017F4">
      <w:pPr>
        <w:jc w:val="both"/>
        <w:rPr>
          <w:rFonts w:cs="Times New Roman"/>
          <w:szCs w:val="24"/>
        </w:rPr>
      </w:pPr>
      <w:bookmarkStart w:id="11" w:name="_ENREF_11"/>
      <w:r w:rsidRPr="00373072">
        <w:rPr>
          <w:rFonts w:cs="Times New Roman"/>
          <w:b/>
          <w:szCs w:val="24"/>
        </w:rPr>
        <w:t xml:space="preserve">Niinomi, M. </w:t>
      </w:r>
      <w:r w:rsidRPr="00373072">
        <w:rPr>
          <w:rFonts w:cs="Times New Roman"/>
          <w:szCs w:val="24"/>
        </w:rPr>
        <w:t xml:space="preserve">(2008). Mechanical biocompatibilities of titanium alloys for biomedical applications. </w:t>
      </w:r>
      <w:r w:rsidRPr="00373072">
        <w:rPr>
          <w:rFonts w:cs="Times New Roman"/>
          <w:i/>
          <w:szCs w:val="24"/>
        </w:rPr>
        <w:t>Journal of the mechanical behavior of biomedical materials, 1</w:t>
      </w:r>
      <w:r w:rsidRPr="00373072">
        <w:rPr>
          <w:rFonts w:cs="Times New Roman"/>
          <w:szCs w:val="24"/>
        </w:rPr>
        <w:t xml:space="preserve">(1), 30-42. </w:t>
      </w:r>
      <w:bookmarkEnd w:id="11"/>
    </w:p>
    <w:p w:rsidR="00F017F4" w:rsidRPr="00373072" w:rsidRDefault="00F017F4" w:rsidP="00F017F4">
      <w:pPr>
        <w:jc w:val="both"/>
        <w:rPr>
          <w:rFonts w:cs="Times New Roman"/>
          <w:szCs w:val="24"/>
        </w:rPr>
      </w:pPr>
      <w:bookmarkStart w:id="12" w:name="_ENREF_12"/>
      <w:r w:rsidRPr="00373072">
        <w:rPr>
          <w:rFonts w:cs="Times New Roman"/>
          <w:b/>
          <w:szCs w:val="24"/>
        </w:rPr>
        <w:t xml:space="preserve">Ratner, B. D., Hoffman, A. S., Schoen, F. J., &amp; Lemons, J. E. </w:t>
      </w:r>
      <w:r w:rsidRPr="00373072">
        <w:rPr>
          <w:rFonts w:cs="Times New Roman"/>
          <w:szCs w:val="24"/>
        </w:rPr>
        <w:t xml:space="preserve">(2004). </w:t>
      </w:r>
      <w:r w:rsidRPr="00373072">
        <w:rPr>
          <w:rFonts w:cs="Times New Roman"/>
          <w:i/>
          <w:szCs w:val="24"/>
        </w:rPr>
        <w:t>Biomaterials science: an introduction to materials in medicine</w:t>
      </w:r>
      <w:r w:rsidRPr="00373072">
        <w:rPr>
          <w:rFonts w:cs="Times New Roman"/>
          <w:szCs w:val="24"/>
        </w:rPr>
        <w:t>: Elsevier.</w:t>
      </w:r>
    </w:p>
    <w:p w:rsidR="00F017F4" w:rsidRPr="00373072" w:rsidRDefault="00F017F4" w:rsidP="00F017F4">
      <w:pPr>
        <w:jc w:val="both"/>
        <w:rPr>
          <w:rFonts w:cs="Times New Roman"/>
          <w:szCs w:val="24"/>
        </w:rPr>
      </w:pPr>
      <w:bookmarkStart w:id="13" w:name="_ENREF_13"/>
      <w:bookmarkEnd w:id="12"/>
      <w:r w:rsidRPr="00373072">
        <w:rPr>
          <w:rFonts w:cs="Times New Roman"/>
          <w:b/>
          <w:szCs w:val="24"/>
        </w:rPr>
        <w:lastRenderedPageBreak/>
        <w:t xml:space="preserve">Ribeiro, A. L. R., Junior, R. C., Cardoso, F. F., Fernandes Filho, R. B., &amp; Vaz, L. G. </w:t>
      </w:r>
      <w:r w:rsidRPr="00373072">
        <w:rPr>
          <w:rFonts w:cs="Times New Roman"/>
          <w:szCs w:val="24"/>
        </w:rPr>
        <w:t xml:space="preserve">(2009). Mechanical, physical, and chemical characterization of Ti–35Nb–5Zr and Ti–35Nb–10Zr casting alloys. </w:t>
      </w:r>
      <w:r w:rsidRPr="00373072">
        <w:rPr>
          <w:rFonts w:cs="Times New Roman"/>
          <w:i/>
          <w:szCs w:val="24"/>
        </w:rPr>
        <w:t>Journal of Materials Science: Materials in Medicine, 20</w:t>
      </w:r>
      <w:r w:rsidRPr="00373072">
        <w:rPr>
          <w:rFonts w:cs="Times New Roman"/>
          <w:szCs w:val="24"/>
        </w:rPr>
        <w:t xml:space="preserve">(8), 1629-1636. </w:t>
      </w:r>
      <w:r w:rsidRPr="00373072">
        <w:rPr>
          <w:rFonts w:cs="Times New Roman"/>
          <w:szCs w:val="24"/>
        </w:rPr>
        <w:tab/>
      </w:r>
      <w:bookmarkEnd w:id="13"/>
    </w:p>
    <w:p w:rsidR="00F017F4" w:rsidRDefault="00F017F4" w:rsidP="00F017F4">
      <w:pPr>
        <w:rPr>
          <w:rFonts w:cs="Times New Roman"/>
          <w:szCs w:val="24"/>
        </w:rPr>
      </w:pPr>
      <w:r>
        <w:rPr>
          <w:rFonts w:cs="Times New Roman"/>
          <w:szCs w:val="24"/>
        </w:rPr>
        <w:br w:type="page"/>
      </w:r>
    </w:p>
    <w:p w:rsidR="00F017F4" w:rsidRPr="00373072" w:rsidRDefault="00F017F4" w:rsidP="00F017F4">
      <w:pPr>
        <w:jc w:val="both"/>
        <w:rPr>
          <w:rFonts w:cs="Times New Roman"/>
          <w:szCs w:val="24"/>
        </w:rPr>
      </w:pPr>
    </w:p>
    <w:p w:rsidR="00A72E4B" w:rsidRDefault="00F017F4" w:rsidP="00F017F4">
      <w:r w:rsidRPr="00373072">
        <w:rPr>
          <w:rFonts w:cs="Times New Roman"/>
          <w:szCs w:val="24"/>
        </w:rPr>
        <w:fldChar w:fldCharType="end"/>
      </w:r>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7F4" w:rsidRDefault="00F017F4" w:rsidP="00F017F4">
      <w:pPr>
        <w:spacing w:after="0" w:line="240" w:lineRule="auto"/>
      </w:pPr>
      <w:r>
        <w:separator/>
      </w:r>
    </w:p>
  </w:endnote>
  <w:endnote w:type="continuationSeparator" w:id="0">
    <w:p w:rsidR="00F017F4" w:rsidRDefault="00F017F4" w:rsidP="00F0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7F4" w:rsidRDefault="00F017F4" w:rsidP="00F017F4">
      <w:pPr>
        <w:spacing w:after="0" w:line="240" w:lineRule="auto"/>
      </w:pPr>
      <w:r>
        <w:separator/>
      </w:r>
    </w:p>
  </w:footnote>
  <w:footnote w:type="continuationSeparator" w:id="0">
    <w:p w:rsidR="00F017F4" w:rsidRDefault="00F017F4" w:rsidP="00F017F4">
      <w:pPr>
        <w:spacing w:after="0" w:line="240" w:lineRule="auto"/>
      </w:pPr>
      <w:r>
        <w:continuationSeparator/>
      </w:r>
    </w:p>
  </w:footnote>
  <w:footnote w:id="1">
    <w:p w:rsidR="00F017F4" w:rsidRPr="005D2D89" w:rsidRDefault="00F017F4" w:rsidP="00F017F4">
      <w:pPr>
        <w:pStyle w:val="Balk1"/>
        <w:spacing w:before="0" w:after="0" w:line="240" w:lineRule="auto"/>
        <w:ind w:firstLine="0"/>
        <w:rPr>
          <w:sz w:val="18"/>
          <w:szCs w:val="18"/>
          <w:lang w:val="tr-TR"/>
        </w:rPr>
      </w:pPr>
      <w:r w:rsidRPr="00ED0EA7">
        <w:rPr>
          <w:rStyle w:val="DipnotBavurusu"/>
          <w:sz w:val="18"/>
          <w:szCs w:val="18"/>
        </w:rPr>
        <w:footnoteRef/>
      </w:r>
      <w:r w:rsidRPr="005D2D89">
        <w:rPr>
          <w:sz w:val="18"/>
          <w:szCs w:val="18"/>
          <w:lang w:val="tr-TR"/>
        </w:rPr>
        <w:t xml:space="preserve"> </w:t>
      </w:r>
      <w:r w:rsidRPr="005D2D89">
        <w:rPr>
          <w:b w:val="0"/>
          <w:sz w:val="18"/>
          <w:szCs w:val="18"/>
          <w:lang w:val="tr-TR"/>
        </w:rPr>
        <w:t>Mersin Üniversitesi, Mühendislik Fakültesi, Makine Mühendisliği bölümü araştırma görevlisi</w:t>
      </w:r>
    </w:p>
    <w:p w:rsidR="00F017F4" w:rsidRPr="005D2D89" w:rsidRDefault="00F017F4" w:rsidP="00F017F4">
      <w:pPr>
        <w:pStyle w:val="Balk1"/>
        <w:tabs>
          <w:tab w:val="left" w:pos="7305"/>
        </w:tabs>
        <w:spacing w:before="0" w:after="0" w:line="240" w:lineRule="auto"/>
        <w:ind w:firstLine="0"/>
        <w:rPr>
          <w:b w:val="0"/>
          <w:sz w:val="18"/>
          <w:szCs w:val="18"/>
          <w:lang w:val="tr-TR"/>
        </w:rPr>
      </w:pPr>
      <w:r w:rsidRPr="005D2D89">
        <w:rPr>
          <w:sz w:val="18"/>
          <w:szCs w:val="18"/>
          <w:lang w:val="tr-TR"/>
        </w:rPr>
        <w:t>Adres:</w:t>
      </w:r>
      <w:r w:rsidRPr="005D2D89">
        <w:rPr>
          <w:b w:val="0"/>
          <w:sz w:val="18"/>
          <w:szCs w:val="18"/>
          <w:lang w:val="tr-TR"/>
        </w:rPr>
        <w:t xml:space="preserve"> Mersin Üniversitesi, Mühendislik Fakültesi, Makine Mühendisliği bölümü, Çiftlikköy Kampusu, </w:t>
      </w:r>
    </w:p>
    <w:p w:rsidR="00F017F4" w:rsidRPr="00ED0EA7" w:rsidRDefault="00F017F4" w:rsidP="00F017F4">
      <w:pPr>
        <w:pStyle w:val="Balk1"/>
        <w:tabs>
          <w:tab w:val="left" w:pos="7305"/>
        </w:tabs>
        <w:spacing w:before="0" w:after="0" w:line="240" w:lineRule="auto"/>
        <w:ind w:firstLine="0"/>
        <w:rPr>
          <w:b w:val="0"/>
          <w:sz w:val="18"/>
          <w:szCs w:val="18"/>
        </w:rPr>
      </w:pPr>
      <w:r w:rsidRPr="00ED0EA7">
        <w:rPr>
          <w:b w:val="0"/>
          <w:sz w:val="18"/>
          <w:szCs w:val="18"/>
        </w:rPr>
        <w:t xml:space="preserve">33343-Mersin / TÜRKİYE, </w:t>
      </w:r>
    </w:p>
    <w:p w:rsidR="00F017F4" w:rsidRPr="00ED0EA7" w:rsidRDefault="00F017F4" w:rsidP="00F017F4">
      <w:pPr>
        <w:spacing w:after="0" w:line="240" w:lineRule="auto"/>
        <w:jc w:val="both"/>
        <w:rPr>
          <w:sz w:val="18"/>
          <w:szCs w:val="18"/>
        </w:rPr>
      </w:pPr>
      <w:r w:rsidRPr="00ED0EA7">
        <w:rPr>
          <w:b/>
          <w:sz w:val="18"/>
          <w:szCs w:val="18"/>
          <w:lang w:val="de-DE"/>
        </w:rPr>
        <w:t>E-posta</w:t>
      </w:r>
      <w:r w:rsidRPr="00ED0EA7">
        <w:rPr>
          <w:sz w:val="18"/>
          <w:szCs w:val="18"/>
          <w:lang w:val="de-DE"/>
        </w:rPr>
        <w:t xml:space="preserve">: </w:t>
      </w:r>
      <w:r w:rsidRPr="00126EFF">
        <w:rPr>
          <w:sz w:val="18"/>
        </w:rPr>
        <w:t>cinarcagan@mersin.edu.tr</w:t>
      </w:r>
      <w:r w:rsidRPr="00126EFF">
        <w:rPr>
          <w:sz w:val="12"/>
          <w:szCs w:val="18"/>
        </w:rPr>
        <w:t xml:space="preserve"> </w:t>
      </w:r>
    </w:p>
  </w:footnote>
  <w:footnote w:id="2">
    <w:p w:rsidR="00F017F4" w:rsidRPr="005D2D89" w:rsidRDefault="00F017F4" w:rsidP="00F017F4">
      <w:pPr>
        <w:pStyle w:val="Balk1"/>
        <w:spacing w:before="0" w:after="0" w:line="240" w:lineRule="auto"/>
        <w:ind w:firstLine="0"/>
        <w:rPr>
          <w:sz w:val="18"/>
          <w:szCs w:val="18"/>
          <w:lang w:val="tr-TR"/>
        </w:rPr>
      </w:pPr>
      <w:r w:rsidRPr="00ED0EA7">
        <w:rPr>
          <w:rStyle w:val="DipnotBavurusu"/>
          <w:sz w:val="18"/>
          <w:szCs w:val="18"/>
        </w:rPr>
        <w:footnoteRef/>
      </w:r>
      <w:r w:rsidRPr="005D2D89">
        <w:rPr>
          <w:b w:val="0"/>
          <w:sz w:val="18"/>
          <w:szCs w:val="18"/>
          <w:lang w:val="tr-TR"/>
        </w:rPr>
        <w:t xml:space="preserve"> Mersin Üniversitesi, Mühendislik Fakültesi, Makine Mühendisliği bölümü öğretim üyesi.</w:t>
      </w:r>
    </w:p>
    <w:p w:rsidR="00F017F4" w:rsidRPr="005D2D89" w:rsidRDefault="00F017F4" w:rsidP="00F017F4">
      <w:pPr>
        <w:pStyle w:val="Balk1"/>
        <w:tabs>
          <w:tab w:val="left" w:pos="7305"/>
        </w:tabs>
        <w:spacing w:before="0" w:after="0" w:line="240" w:lineRule="auto"/>
        <w:ind w:firstLine="0"/>
        <w:rPr>
          <w:b w:val="0"/>
          <w:sz w:val="18"/>
          <w:szCs w:val="18"/>
          <w:lang w:val="tr-TR"/>
        </w:rPr>
      </w:pPr>
      <w:r w:rsidRPr="005D2D89">
        <w:rPr>
          <w:sz w:val="18"/>
          <w:szCs w:val="18"/>
          <w:lang w:val="tr-TR"/>
        </w:rPr>
        <w:t>Adres:</w:t>
      </w:r>
      <w:r w:rsidRPr="005D2D89">
        <w:rPr>
          <w:b w:val="0"/>
          <w:sz w:val="18"/>
          <w:szCs w:val="18"/>
          <w:lang w:val="tr-TR"/>
        </w:rPr>
        <w:t xml:space="preserve"> Mersin Üniversitesi, Mühendislik Fakültesi, Makine Mühendisliği bölümü, Çiftlikköy Kampusu, </w:t>
      </w:r>
    </w:p>
    <w:p w:rsidR="00F017F4" w:rsidRPr="00ED0EA7" w:rsidRDefault="00F017F4" w:rsidP="00F017F4">
      <w:pPr>
        <w:pStyle w:val="Balk1"/>
        <w:tabs>
          <w:tab w:val="left" w:pos="7305"/>
        </w:tabs>
        <w:spacing w:before="0" w:after="0" w:line="240" w:lineRule="auto"/>
        <w:ind w:firstLine="0"/>
        <w:rPr>
          <w:b w:val="0"/>
          <w:sz w:val="18"/>
          <w:szCs w:val="18"/>
        </w:rPr>
      </w:pPr>
      <w:r w:rsidRPr="00ED0EA7">
        <w:rPr>
          <w:b w:val="0"/>
          <w:sz w:val="18"/>
          <w:szCs w:val="18"/>
        </w:rPr>
        <w:t xml:space="preserve">33343-Mersin / TÜRKİYE, </w:t>
      </w:r>
    </w:p>
    <w:p w:rsidR="00F017F4" w:rsidRPr="00ED0EA7" w:rsidRDefault="00F017F4" w:rsidP="00F017F4">
      <w:pPr>
        <w:spacing w:after="0" w:line="240" w:lineRule="auto"/>
        <w:jc w:val="both"/>
        <w:rPr>
          <w:sz w:val="18"/>
          <w:szCs w:val="18"/>
        </w:rPr>
      </w:pPr>
      <w:r w:rsidRPr="00ED0EA7">
        <w:rPr>
          <w:b/>
          <w:sz w:val="18"/>
          <w:szCs w:val="18"/>
          <w:lang w:val="de-DE"/>
        </w:rPr>
        <w:t>E-posta</w:t>
      </w:r>
      <w:r w:rsidRPr="00ED0EA7">
        <w:rPr>
          <w:sz w:val="18"/>
          <w:szCs w:val="18"/>
          <w:lang w:val="de-DE"/>
        </w:rPr>
        <w:t xml:space="preserve">: </w:t>
      </w:r>
      <w:r>
        <w:rPr>
          <w:sz w:val="18"/>
          <w:szCs w:val="18"/>
          <w:lang w:val="de-DE"/>
        </w:rPr>
        <w:t>barisbuldum@mersin.edu.tr</w:t>
      </w:r>
    </w:p>
    <w:p w:rsidR="00F017F4" w:rsidRPr="008F6A1D" w:rsidRDefault="00F017F4" w:rsidP="00F017F4">
      <w:pPr>
        <w:pStyle w:val="DipnotMetni"/>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63C7"/>
    <w:multiLevelType w:val="hybridMultilevel"/>
    <w:tmpl w:val="0AFEF9CE"/>
    <w:lvl w:ilvl="0" w:tplc="DC48644E">
      <w:start w:val="1"/>
      <w:numFmt w:val="bullet"/>
      <w:lvlText w:val=""/>
      <w:lvlJc w:val="left"/>
      <w:pPr>
        <w:tabs>
          <w:tab w:val="num" w:pos="720"/>
        </w:tabs>
        <w:ind w:left="720" w:hanging="360"/>
      </w:pPr>
      <w:rPr>
        <w:rFonts w:ascii="Wingdings" w:hAnsi="Wingdings" w:hint="default"/>
      </w:rPr>
    </w:lvl>
    <w:lvl w:ilvl="1" w:tplc="8AC65D2A" w:tentative="1">
      <w:start w:val="1"/>
      <w:numFmt w:val="bullet"/>
      <w:lvlText w:val=""/>
      <w:lvlJc w:val="left"/>
      <w:pPr>
        <w:tabs>
          <w:tab w:val="num" w:pos="1440"/>
        </w:tabs>
        <w:ind w:left="1440" w:hanging="360"/>
      </w:pPr>
      <w:rPr>
        <w:rFonts w:ascii="Wingdings" w:hAnsi="Wingdings" w:hint="default"/>
      </w:rPr>
    </w:lvl>
    <w:lvl w:ilvl="2" w:tplc="7FE602BE" w:tentative="1">
      <w:start w:val="1"/>
      <w:numFmt w:val="bullet"/>
      <w:lvlText w:val=""/>
      <w:lvlJc w:val="left"/>
      <w:pPr>
        <w:tabs>
          <w:tab w:val="num" w:pos="2160"/>
        </w:tabs>
        <w:ind w:left="2160" w:hanging="360"/>
      </w:pPr>
      <w:rPr>
        <w:rFonts w:ascii="Wingdings" w:hAnsi="Wingdings" w:hint="default"/>
      </w:rPr>
    </w:lvl>
    <w:lvl w:ilvl="3" w:tplc="8EBA0E54" w:tentative="1">
      <w:start w:val="1"/>
      <w:numFmt w:val="bullet"/>
      <w:lvlText w:val=""/>
      <w:lvlJc w:val="left"/>
      <w:pPr>
        <w:tabs>
          <w:tab w:val="num" w:pos="2880"/>
        </w:tabs>
        <w:ind w:left="2880" w:hanging="360"/>
      </w:pPr>
      <w:rPr>
        <w:rFonts w:ascii="Wingdings" w:hAnsi="Wingdings" w:hint="default"/>
      </w:rPr>
    </w:lvl>
    <w:lvl w:ilvl="4" w:tplc="F046386C" w:tentative="1">
      <w:start w:val="1"/>
      <w:numFmt w:val="bullet"/>
      <w:lvlText w:val=""/>
      <w:lvlJc w:val="left"/>
      <w:pPr>
        <w:tabs>
          <w:tab w:val="num" w:pos="3600"/>
        </w:tabs>
        <w:ind w:left="3600" w:hanging="360"/>
      </w:pPr>
      <w:rPr>
        <w:rFonts w:ascii="Wingdings" w:hAnsi="Wingdings" w:hint="default"/>
      </w:rPr>
    </w:lvl>
    <w:lvl w:ilvl="5" w:tplc="D3749B54" w:tentative="1">
      <w:start w:val="1"/>
      <w:numFmt w:val="bullet"/>
      <w:lvlText w:val=""/>
      <w:lvlJc w:val="left"/>
      <w:pPr>
        <w:tabs>
          <w:tab w:val="num" w:pos="4320"/>
        </w:tabs>
        <w:ind w:left="4320" w:hanging="360"/>
      </w:pPr>
      <w:rPr>
        <w:rFonts w:ascii="Wingdings" w:hAnsi="Wingdings" w:hint="default"/>
      </w:rPr>
    </w:lvl>
    <w:lvl w:ilvl="6" w:tplc="8E942782" w:tentative="1">
      <w:start w:val="1"/>
      <w:numFmt w:val="bullet"/>
      <w:lvlText w:val=""/>
      <w:lvlJc w:val="left"/>
      <w:pPr>
        <w:tabs>
          <w:tab w:val="num" w:pos="5040"/>
        </w:tabs>
        <w:ind w:left="5040" w:hanging="360"/>
      </w:pPr>
      <w:rPr>
        <w:rFonts w:ascii="Wingdings" w:hAnsi="Wingdings" w:hint="default"/>
      </w:rPr>
    </w:lvl>
    <w:lvl w:ilvl="7" w:tplc="07ACD426" w:tentative="1">
      <w:start w:val="1"/>
      <w:numFmt w:val="bullet"/>
      <w:lvlText w:val=""/>
      <w:lvlJc w:val="left"/>
      <w:pPr>
        <w:tabs>
          <w:tab w:val="num" w:pos="5760"/>
        </w:tabs>
        <w:ind w:left="5760" w:hanging="360"/>
      </w:pPr>
      <w:rPr>
        <w:rFonts w:ascii="Wingdings" w:hAnsi="Wingdings" w:hint="default"/>
      </w:rPr>
    </w:lvl>
    <w:lvl w:ilvl="8" w:tplc="77685AE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508AB"/>
    <w:multiLevelType w:val="hybridMultilevel"/>
    <w:tmpl w:val="71D22608"/>
    <w:lvl w:ilvl="0" w:tplc="446E9DAA">
      <w:start w:val="1"/>
      <w:numFmt w:val="bullet"/>
      <w:lvlText w:val=""/>
      <w:lvlJc w:val="left"/>
      <w:pPr>
        <w:tabs>
          <w:tab w:val="num" w:pos="720"/>
        </w:tabs>
        <w:ind w:left="720" w:hanging="360"/>
      </w:pPr>
      <w:rPr>
        <w:rFonts w:ascii="Wingdings" w:hAnsi="Wingdings" w:hint="default"/>
      </w:rPr>
    </w:lvl>
    <w:lvl w:ilvl="1" w:tplc="03D2C6C2" w:tentative="1">
      <w:start w:val="1"/>
      <w:numFmt w:val="bullet"/>
      <w:lvlText w:val=""/>
      <w:lvlJc w:val="left"/>
      <w:pPr>
        <w:tabs>
          <w:tab w:val="num" w:pos="1440"/>
        </w:tabs>
        <w:ind w:left="1440" w:hanging="360"/>
      </w:pPr>
      <w:rPr>
        <w:rFonts w:ascii="Wingdings" w:hAnsi="Wingdings" w:hint="default"/>
      </w:rPr>
    </w:lvl>
    <w:lvl w:ilvl="2" w:tplc="98EC2054" w:tentative="1">
      <w:start w:val="1"/>
      <w:numFmt w:val="bullet"/>
      <w:lvlText w:val=""/>
      <w:lvlJc w:val="left"/>
      <w:pPr>
        <w:tabs>
          <w:tab w:val="num" w:pos="2160"/>
        </w:tabs>
        <w:ind w:left="2160" w:hanging="360"/>
      </w:pPr>
      <w:rPr>
        <w:rFonts w:ascii="Wingdings" w:hAnsi="Wingdings" w:hint="default"/>
      </w:rPr>
    </w:lvl>
    <w:lvl w:ilvl="3" w:tplc="874E645C" w:tentative="1">
      <w:start w:val="1"/>
      <w:numFmt w:val="bullet"/>
      <w:lvlText w:val=""/>
      <w:lvlJc w:val="left"/>
      <w:pPr>
        <w:tabs>
          <w:tab w:val="num" w:pos="2880"/>
        </w:tabs>
        <w:ind w:left="2880" w:hanging="360"/>
      </w:pPr>
      <w:rPr>
        <w:rFonts w:ascii="Wingdings" w:hAnsi="Wingdings" w:hint="default"/>
      </w:rPr>
    </w:lvl>
    <w:lvl w:ilvl="4" w:tplc="B5889CEE" w:tentative="1">
      <w:start w:val="1"/>
      <w:numFmt w:val="bullet"/>
      <w:lvlText w:val=""/>
      <w:lvlJc w:val="left"/>
      <w:pPr>
        <w:tabs>
          <w:tab w:val="num" w:pos="3600"/>
        </w:tabs>
        <w:ind w:left="3600" w:hanging="360"/>
      </w:pPr>
      <w:rPr>
        <w:rFonts w:ascii="Wingdings" w:hAnsi="Wingdings" w:hint="default"/>
      </w:rPr>
    </w:lvl>
    <w:lvl w:ilvl="5" w:tplc="FCBEAA26" w:tentative="1">
      <w:start w:val="1"/>
      <w:numFmt w:val="bullet"/>
      <w:lvlText w:val=""/>
      <w:lvlJc w:val="left"/>
      <w:pPr>
        <w:tabs>
          <w:tab w:val="num" w:pos="4320"/>
        </w:tabs>
        <w:ind w:left="4320" w:hanging="360"/>
      </w:pPr>
      <w:rPr>
        <w:rFonts w:ascii="Wingdings" w:hAnsi="Wingdings" w:hint="default"/>
      </w:rPr>
    </w:lvl>
    <w:lvl w:ilvl="6" w:tplc="0D8633EA" w:tentative="1">
      <w:start w:val="1"/>
      <w:numFmt w:val="bullet"/>
      <w:lvlText w:val=""/>
      <w:lvlJc w:val="left"/>
      <w:pPr>
        <w:tabs>
          <w:tab w:val="num" w:pos="5040"/>
        </w:tabs>
        <w:ind w:left="5040" w:hanging="360"/>
      </w:pPr>
      <w:rPr>
        <w:rFonts w:ascii="Wingdings" w:hAnsi="Wingdings" w:hint="default"/>
      </w:rPr>
    </w:lvl>
    <w:lvl w:ilvl="7" w:tplc="106086E4" w:tentative="1">
      <w:start w:val="1"/>
      <w:numFmt w:val="bullet"/>
      <w:lvlText w:val=""/>
      <w:lvlJc w:val="left"/>
      <w:pPr>
        <w:tabs>
          <w:tab w:val="num" w:pos="5760"/>
        </w:tabs>
        <w:ind w:left="5760" w:hanging="360"/>
      </w:pPr>
      <w:rPr>
        <w:rFonts w:ascii="Wingdings" w:hAnsi="Wingdings" w:hint="default"/>
      </w:rPr>
    </w:lvl>
    <w:lvl w:ilvl="8" w:tplc="727808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760FCA"/>
    <w:multiLevelType w:val="hybridMultilevel"/>
    <w:tmpl w:val="CD3AA5AA"/>
    <w:lvl w:ilvl="0" w:tplc="0D3AA5AC">
      <w:start w:val="1"/>
      <w:numFmt w:val="bullet"/>
      <w:lvlText w:val=""/>
      <w:lvlJc w:val="left"/>
      <w:pPr>
        <w:tabs>
          <w:tab w:val="num" w:pos="720"/>
        </w:tabs>
        <w:ind w:left="720" w:hanging="360"/>
      </w:pPr>
      <w:rPr>
        <w:rFonts w:ascii="Wingdings" w:hAnsi="Wingdings" w:hint="default"/>
      </w:rPr>
    </w:lvl>
    <w:lvl w:ilvl="1" w:tplc="37168F04" w:tentative="1">
      <w:start w:val="1"/>
      <w:numFmt w:val="bullet"/>
      <w:lvlText w:val=""/>
      <w:lvlJc w:val="left"/>
      <w:pPr>
        <w:tabs>
          <w:tab w:val="num" w:pos="1440"/>
        </w:tabs>
        <w:ind w:left="1440" w:hanging="360"/>
      </w:pPr>
      <w:rPr>
        <w:rFonts w:ascii="Wingdings" w:hAnsi="Wingdings" w:hint="default"/>
      </w:rPr>
    </w:lvl>
    <w:lvl w:ilvl="2" w:tplc="39223454" w:tentative="1">
      <w:start w:val="1"/>
      <w:numFmt w:val="bullet"/>
      <w:lvlText w:val=""/>
      <w:lvlJc w:val="left"/>
      <w:pPr>
        <w:tabs>
          <w:tab w:val="num" w:pos="2160"/>
        </w:tabs>
        <w:ind w:left="2160" w:hanging="360"/>
      </w:pPr>
      <w:rPr>
        <w:rFonts w:ascii="Wingdings" w:hAnsi="Wingdings" w:hint="default"/>
      </w:rPr>
    </w:lvl>
    <w:lvl w:ilvl="3" w:tplc="DF22CD52" w:tentative="1">
      <w:start w:val="1"/>
      <w:numFmt w:val="bullet"/>
      <w:lvlText w:val=""/>
      <w:lvlJc w:val="left"/>
      <w:pPr>
        <w:tabs>
          <w:tab w:val="num" w:pos="2880"/>
        </w:tabs>
        <w:ind w:left="2880" w:hanging="360"/>
      </w:pPr>
      <w:rPr>
        <w:rFonts w:ascii="Wingdings" w:hAnsi="Wingdings" w:hint="default"/>
      </w:rPr>
    </w:lvl>
    <w:lvl w:ilvl="4" w:tplc="58CE2D8C" w:tentative="1">
      <w:start w:val="1"/>
      <w:numFmt w:val="bullet"/>
      <w:lvlText w:val=""/>
      <w:lvlJc w:val="left"/>
      <w:pPr>
        <w:tabs>
          <w:tab w:val="num" w:pos="3600"/>
        </w:tabs>
        <w:ind w:left="3600" w:hanging="360"/>
      </w:pPr>
      <w:rPr>
        <w:rFonts w:ascii="Wingdings" w:hAnsi="Wingdings" w:hint="default"/>
      </w:rPr>
    </w:lvl>
    <w:lvl w:ilvl="5" w:tplc="A3A44252" w:tentative="1">
      <w:start w:val="1"/>
      <w:numFmt w:val="bullet"/>
      <w:lvlText w:val=""/>
      <w:lvlJc w:val="left"/>
      <w:pPr>
        <w:tabs>
          <w:tab w:val="num" w:pos="4320"/>
        </w:tabs>
        <w:ind w:left="4320" w:hanging="360"/>
      </w:pPr>
      <w:rPr>
        <w:rFonts w:ascii="Wingdings" w:hAnsi="Wingdings" w:hint="default"/>
      </w:rPr>
    </w:lvl>
    <w:lvl w:ilvl="6" w:tplc="C9A41248" w:tentative="1">
      <w:start w:val="1"/>
      <w:numFmt w:val="bullet"/>
      <w:lvlText w:val=""/>
      <w:lvlJc w:val="left"/>
      <w:pPr>
        <w:tabs>
          <w:tab w:val="num" w:pos="5040"/>
        </w:tabs>
        <w:ind w:left="5040" w:hanging="360"/>
      </w:pPr>
      <w:rPr>
        <w:rFonts w:ascii="Wingdings" w:hAnsi="Wingdings" w:hint="default"/>
      </w:rPr>
    </w:lvl>
    <w:lvl w:ilvl="7" w:tplc="9460A798" w:tentative="1">
      <w:start w:val="1"/>
      <w:numFmt w:val="bullet"/>
      <w:lvlText w:val=""/>
      <w:lvlJc w:val="left"/>
      <w:pPr>
        <w:tabs>
          <w:tab w:val="num" w:pos="5760"/>
        </w:tabs>
        <w:ind w:left="5760" w:hanging="360"/>
      </w:pPr>
      <w:rPr>
        <w:rFonts w:ascii="Wingdings" w:hAnsi="Wingdings" w:hint="default"/>
      </w:rPr>
    </w:lvl>
    <w:lvl w:ilvl="8" w:tplc="1CF4101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F4"/>
    <w:rsid w:val="00A72E4B"/>
    <w:rsid w:val="00F01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D2C33-F641-44D5-914C-E9C44592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F4"/>
  </w:style>
  <w:style w:type="paragraph" w:styleId="Balk1">
    <w:name w:val="heading 1"/>
    <w:basedOn w:val="Normal"/>
    <w:next w:val="Normal"/>
    <w:link w:val="Balk1Char"/>
    <w:autoRedefine/>
    <w:uiPriority w:val="9"/>
    <w:qFormat/>
    <w:rsid w:val="00F017F4"/>
    <w:pPr>
      <w:keepNext/>
      <w:keepLines/>
      <w:spacing w:before="120" w:after="120"/>
      <w:ind w:firstLine="709"/>
      <w:jc w:val="both"/>
      <w:outlineLvl w:val="0"/>
    </w:pPr>
    <w:rPr>
      <w:rFonts w:eastAsiaTheme="majorEastAsia" w:cstheme="majorBidi"/>
      <w:b/>
      <w:szCs w:val="32"/>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17F4"/>
    <w:rPr>
      <w:rFonts w:eastAsiaTheme="majorEastAsia" w:cstheme="majorBidi"/>
      <w:b/>
      <w:szCs w:val="32"/>
      <w:lang w:val="en"/>
    </w:rPr>
  </w:style>
  <w:style w:type="table" w:styleId="TabloKlavuzu">
    <w:name w:val="Table Grid"/>
    <w:basedOn w:val="NormalTablo"/>
    <w:uiPriority w:val="59"/>
    <w:rsid w:val="00F017F4"/>
    <w:pPr>
      <w:spacing w:after="0" w:line="240" w:lineRule="auto"/>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F017F4"/>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F017F4"/>
    <w:rPr>
      <w:rFonts w:eastAsia="Times New Roman" w:cs="Times New Roman"/>
      <w:sz w:val="20"/>
      <w:szCs w:val="20"/>
    </w:rPr>
  </w:style>
  <w:style w:type="character" w:styleId="DipnotBavurusu">
    <w:name w:val="footnote reference"/>
    <w:basedOn w:val="VarsaylanParagrafYazTipi"/>
    <w:unhideWhenUsed/>
    <w:rsid w:val="00F017F4"/>
    <w:rPr>
      <w:vertAlign w:val="superscript"/>
    </w:rPr>
  </w:style>
  <w:style w:type="character" w:styleId="Kpr">
    <w:name w:val="Hyperlink"/>
    <w:basedOn w:val="VarsaylanParagrafYazTipi"/>
    <w:uiPriority w:val="99"/>
    <w:unhideWhenUsed/>
    <w:rsid w:val="00F017F4"/>
    <w:rPr>
      <w:color w:val="0563C1" w:themeColor="hyperlink"/>
      <w:u w:val="single"/>
    </w:rPr>
  </w:style>
  <w:style w:type="paragraph" w:customStyle="1" w:styleId="AltKonuBal">
    <w:name w:val="Alt Konu Başlığı"/>
    <w:basedOn w:val="Normal"/>
    <w:link w:val="AltKonuBalChar"/>
    <w:qFormat/>
    <w:rsid w:val="00F017F4"/>
    <w:pPr>
      <w:spacing w:after="0" w:line="240" w:lineRule="auto"/>
      <w:jc w:val="both"/>
    </w:pPr>
    <w:rPr>
      <w:rFonts w:ascii="Garamond" w:eastAsia="Times New Roman" w:hAnsi="Garamond" w:cs="Times New Roman"/>
      <w:b/>
      <w:bCs/>
      <w:szCs w:val="24"/>
      <w:lang w:eastAsia="tr-TR"/>
    </w:rPr>
  </w:style>
  <w:style w:type="character" w:customStyle="1" w:styleId="AltKonuBalChar">
    <w:name w:val="Alt Konu Başlığı Char"/>
    <w:link w:val="AltKonuBal"/>
    <w:rsid w:val="00F017F4"/>
    <w:rPr>
      <w:rFonts w:ascii="Garamond" w:eastAsia="Times New Roman" w:hAnsi="Garamond" w:cs="Times New Roman"/>
      <w:b/>
      <w:bCs/>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marketsandmarkets.com/PressReleases/global-biomaterials.asp"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5368</Words>
  <Characters>30599</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2020-02-26T06:38:00Z</dcterms:created>
  <dcterms:modified xsi:type="dcterms:W3CDTF">2020-02-26T06:39:00Z</dcterms:modified>
</cp:coreProperties>
</file>