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23" w:rsidRPr="009B725B" w:rsidRDefault="00622F23" w:rsidP="00622F23">
      <w:pPr>
        <w:shd w:val="clear" w:color="auto" w:fill="FFFFFF"/>
        <w:spacing w:after="0" w:line="240" w:lineRule="auto"/>
        <w:jc w:val="right"/>
        <w:rPr>
          <w:rFonts w:ascii="Helvetica" w:eastAsia="Times New Roman" w:hAnsi="Helvetica" w:cs="Helvetica"/>
          <w:color w:val="002060"/>
          <w:sz w:val="24"/>
          <w:szCs w:val="24"/>
          <w:lang w:eastAsia="tr-TR"/>
        </w:rPr>
      </w:pPr>
      <w:r w:rsidRPr="009B725B">
        <w:rPr>
          <w:rFonts w:ascii="Helvetica" w:eastAsia="Times New Roman" w:hAnsi="Helvetica" w:cs="Helvetica"/>
          <w:b/>
          <w:bCs/>
          <w:color w:val="002060"/>
          <w:sz w:val="24"/>
          <w:szCs w:val="24"/>
          <w:lang w:eastAsia="tr-TR"/>
        </w:rPr>
        <w:t xml:space="preserve">ISSN:    </w:t>
      </w:r>
      <w:r w:rsidRPr="009B725B">
        <w:rPr>
          <w:rFonts w:ascii="Helvetica" w:eastAsia="Times New Roman" w:hAnsi="Helvetica" w:cs="Helvetica"/>
          <w:color w:val="002060"/>
          <w:sz w:val="24"/>
          <w:szCs w:val="24"/>
          <w:lang w:eastAsia="tr-TR"/>
        </w:rPr>
        <w:t>2548-0383</w:t>
      </w:r>
    </w:p>
    <w:p w:rsidR="00622F23" w:rsidRDefault="00622F23" w:rsidP="00622F23">
      <w:pPr>
        <w:spacing w:after="0" w:line="240" w:lineRule="auto"/>
        <w:ind w:left="113" w:right="113"/>
        <w:jc w:val="center"/>
        <w:rPr>
          <w:rFonts w:ascii="Century" w:hAnsi="Century"/>
          <w:b/>
          <w:color w:val="002060"/>
          <w:sz w:val="60"/>
          <w:szCs w:val="60"/>
        </w:rPr>
      </w:pPr>
    </w:p>
    <w:p w:rsidR="00622F23" w:rsidRPr="009B725B" w:rsidRDefault="00622F23" w:rsidP="00622F23">
      <w:pPr>
        <w:spacing w:after="0" w:line="240" w:lineRule="auto"/>
        <w:ind w:left="113" w:right="113"/>
        <w:jc w:val="center"/>
        <w:rPr>
          <w:rFonts w:ascii="Century" w:hAnsi="Century" w:cs="Arial"/>
          <w:b/>
          <w:color w:val="002060"/>
          <w:sz w:val="24"/>
          <w:szCs w:val="24"/>
        </w:rPr>
      </w:pPr>
      <w:r w:rsidRPr="009B725B">
        <w:rPr>
          <w:rFonts w:ascii="Century" w:hAnsi="Century"/>
          <w:b/>
          <w:color w:val="002060"/>
          <w:sz w:val="60"/>
          <w:szCs w:val="60"/>
        </w:rPr>
        <w:t>GAZ</w:t>
      </w:r>
      <w:r w:rsidRPr="009B725B">
        <w:rPr>
          <w:rFonts w:ascii="Century" w:hAnsi="Century" w:cs="Arial"/>
          <w:b/>
          <w:color w:val="002060"/>
          <w:sz w:val="60"/>
          <w:szCs w:val="60"/>
        </w:rPr>
        <w:t>İ</w:t>
      </w:r>
      <w:r>
        <w:rPr>
          <w:rFonts w:ascii="Century" w:hAnsi="Century" w:cs="Arial"/>
          <w:b/>
          <w:color w:val="002060"/>
          <w:sz w:val="60"/>
          <w:szCs w:val="60"/>
        </w:rPr>
        <w:br/>
      </w:r>
    </w:p>
    <w:p w:rsidR="00622F23" w:rsidRPr="009B725B" w:rsidRDefault="00622F23" w:rsidP="00622F23">
      <w:pPr>
        <w:spacing w:after="0" w:line="240" w:lineRule="auto"/>
        <w:ind w:left="113" w:right="113"/>
        <w:jc w:val="center"/>
        <w:rPr>
          <w:rFonts w:ascii="Century" w:hAnsi="Century" w:cs="Arial"/>
          <w:b/>
          <w:color w:val="002060"/>
          <w:sz w:val="60"/>
          <w:szCs w:val="60"/>
        </w:rPr>
      </w:pPr>
      <w:r w:rsidRPr="009B725B">
        <w:rPr>
          <w:rFonts w:ascii="Century" w:hAnsi="Century" w:cs="Arial"/>
          <w:b/>
          <w:color w:val="002060"/>
          <w:sz w:val="60"/>
          <w:szCs w:val="60"/>
        </w:rPr>
        <w:t>SAĞLIK BİLİMLERİ DERGİSİ</w:t>
      </w:r>
    </w:p>
    <w:p w:rsidR="00622F23" w:rsidRDefault="00622F23" w:rsidP="00622F23"/>
    <w:p w:rsidR="00622F23" w:rsidRDefault="00622F23" w:rsidP="00622F23"/>
    <w:p w:rsidR="00622F23" w:rsidRPr="009B725B" w:rsidRDefault="00622F23" w:rsidP="00622F23">
      <w:pPr>
        <w:jc w:val="center"/>
        <w:rPr>
          <w:b/>
          <w:color w:val="002060"/>
          <w:sz w:val="32"/>
          <w:szCs w:val="32"/>
        </w:rPr>
      </w:pPr>
      <w:r>
        <w:rPr>
          <w:b/>
          <w:color w:val="002060"/>
          <w:sz w:val="32"/>
          <w:szCs w:val="32"/>
        </w:rPr>
        <w:t>Cilt</w:t>
      </w:r>
      <w:r w:rsidRPr="009B725B">
        <w:rPr>
          <w:b/>
          <w:color w:val="002060"/>
          <w:sz w:val="32"/>
          <w:szCs w:val="32"/>
        </w:rPr>
        <w:t>:</w:t>
      </w:r>
      <w:proofErr w:type="gramStart"/>
      <w:r w:rsidRPr="009B725B">
        <w:rPr>
          <w:b/>
          <w:color w:val="002060"/>
          <w:sz w:val="32"/>
          <w:szCs w:val="32"/>
        </w:rPr>
        <w:t>1    S</w:t>
      </w:r>
      <w:r>
        <w:rPr>
          <w:b/>
          <w:color w:val="002060"/>
          <w:sz w:val="32"/>
          <w:szCs w:val="32"/>
        </w:rPr>
        <w:t>ayı</w:t>
      </w:r>
      <w:proofErr w:type="gramEnd"/>
      <w:r w:rsidRPr="009B725B">
        <w:rPr>
          <w:b/>
          <w:color w:val="002060"/>
          <w:sz w:val="32"/>
          <w:szCs w:val="32"/>
        </w:rPr>
        <w:t>:1    Y</w:t>
      </w:r>
      <w:r>
        <w:rPr>
          <w:b/>
          <w:color w:val="002060"/>
          <w:sz w:val="32"/>
          <w:szCs w:val="32"/>
        </w:rPr>
        <w:t>ıl</w:t>
      </w:r>
      <w:r w:rsidRPr="009B725B">
        <w:rPr>
          <w:b/>
          <w:color w:val="002060"/>
          <w:sz w:val="32"/>
          <w:szCs w:val="32"/>
        </w:rPr>
        <w:t>: 2017</w:t>
      </w:r>
    </w:p>
    <w:tbl>
      <w:tblPr>
        <w:tblW w:w="9498" w:type="dxa"/>
        <w:tblLook w:val="04A0" w:firstRow="1" w:lastRow="0" w:firstColumn="1" w:lastColumn="0" w:noHBand="0" w:noVBand="1"/>
      </w:tblPr>
      <w:tblGrid>
        <w:gridCol w:w="9498"/>
      </w:tblGrid>
      <w:tr w:rsidR="00622F23" w:rsidRPr="00C82EAB" w:rsidTr="00517147">
        <w:tc>
          <w:tcPr>
            <w:tcW w:w="9498" w:type="dxa"/>
          </w:tcPr>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p>
          <w:p w:rsidR="00622F23" w:rsidRDefault="00622F23" w:rsidP="00517147">
            <w:pPr>
              <w:autoSpaceDE w:val="0"/>
              <w:autoSpaceDN w:val="0"/>
              <w:adjustRightInd w:val="0"/>
              <w:spacing w:after="0" w:line="276" w:lineRule="auto"/>
              <w:jc w:val="both"/>
              <w:rPr>
                <w:b/>
                <w:color w:val="002060"/>
              </w:rPr>
            </w:pPr>
            <w:r w:rsidRPr="009B725B">
              <w:rPr>
                <w:b/>
                <w:color w:val="002060"/>
              </w:rPr>
              <w:t>DERLEME/REVİEW</w:t>
            </w:r>
          </w:p>
          <w:p w:rsidR="00622F23" w:rsidRPr="009B725B" w:rsidRDefault="00622F23" w:rsidP="00517147">
            <w:pPr>
              <w:autoSpaceDE w:val="0"/>
              <w:autoSpaceDN w:val="0"/>
              <w:adjustRightInd w:val="0"/>
              <w:spacing w:after="0" w:line="276" w:lineRule="auto"/>
              <w:jc w:val="both"/>
              <w:rPr>
                <w:rFonts w:ascii="Times New Roman" w:hAnsi="Times New Roman"/>
                <w:b/>
                <w:color w:val="000000"/>
              </w:rPr>
            </w:pPr>
          </w:p>
          <w:p w:rsidR="00622F23" w:rsidRPr="009B725B" w:rsidRDefault="00622F23" w:rsidP="00517147">
            <w:pPr>
              <w:numPr>
                <w:ilvl w:val="0"/>
                <w:numId w:val="1"/>
              </w:numPr>
              <w:autoSpaceDE w:val="0"/>
              <w:autoSpaceDN w:val="0"/>
              <w:adjustRightInd w:val="0"/>
              <w:spacing w:after="0" w:line="276" w:lineRule="auto"/>
              <w:ind w:left="317" w:hanging="317"/>
              <w:jc w:val="both"/>
              <w:rPr>
                <w:rFonts w:ascii="Times New Roman" w:hAnsi="Times New Roman"/>
                <w:b/>
                <w:color w:val="000000"/>
              </w:rPr>
            </w:pPr>
            <w:r w:rsidRPr="009B725B">
              <w:rPr>
                <w:rFonts w:ascii="Times New Roman" w:hAnsi="Times New Roman"/>
                <w:b/>
                <w:color w:val="000000"/>
              </w:rPr>
              <w:t>Bebek Gıdalarında Aflatoksin Varlığının Önemi</w:t>
            </w:r>
          </w:p>
          <w:p w:rsidR="00622F23" w:rsidRPr="009B725B" w:rsidRDefault="00622F23" w:rsidP="00517147">
            <w:pPr>
              <w:autoSpaceDE w:val="0"/>
              <w:autoSpaceDN w:val="0"/>
              <w:adjustRightInd w:val="0"/>
              <w:spacing w:after="0"/>
              <w:ind w:left="317"/>
              <w:jc w:val="both"/>
              <w:rPr>
                <w:rFonts w:ascii="Times New Roman" w:hAnsi="Times New Roman"/>
                <w:b/>
                <w:color w:val="000000"/>
              </w:rPr>
            </w:pPr>
            <w:r w:rsidRPr="009B725B">
              <w:rPr>
                <w:rFonts w:ascii="Times New Roman" w:hAnsi="Times New Roman"/>
                <w:b/>
                <w:noProof/>
                <w:color w:val="000000"/>
              </w:rPr>
              <w:t>Buket</w:t>
            </w:r>
            <w:r w:rsidRPr="009B725B">
              <w:rPr>
                <w:rFonts w:ascii="Times New Roman" w:hAnsi="Times New Roman"/>
                <w:b/>
                <w:color w:val="000000"/>
              </w:rPr>
              <w:t xml:space="preserve"> Er Demirhan, Burak Demirhan, Gülderen Yentür</w:t>
            </w:r>
          </w:p>
          <w:p w:rsidR="00622F23" w:rsidRPr="009B725B" w:rsidRDefault="00622F23" w:rsidP="00517147">
            <w:pPr>
              <w:autoSpaceDE w:val="0"/>
              <w:autoSpaceDN w:val="0"/>
              <w:adjustRightInd w:val="0"/>
              <w:spacing w:after="0"/>
              <w:ind w:left="317"/>
              <w:jc w:val="both"/>
            </w:pPr>
          </w:p>
        </w:tc>
      </w:tr>
      <w:tr w:rsidR="00622F23" w:rsidRPr="00CF0A2D" w:rsidTr="00517147">
        <w:trPr>
          <w:trHeight w:val="547"/>
        </w:trPr>
        <w:tc>
          <w:tcPr>
            <w:tcW w:w="9498" w:type="dxa"/>
          </w:tcPr>
          <w:p w:rsidR="00622F23" w:rsidRPr="009B725B" w:rsidRDefault="00622F23" w:rsidP="00517147">
            <w:pPr>
              <w:spacing w:after="0" w:line="240" w:lineRule="auto"/>
              <w:jc w:val="both"/>
              <w:rPr>
                <w:b/>
                <w:color w:val="002060"/>
              </w:rPr>
            </w:pPr>
            <w:r w:rsidRPr="009B725B">
              <w:rPr>
                <w:b/>
                <w:color w:val="002060"/>
              </w:rPr>
              <w:t>ÖZGÜN ARAŞTIRMALA/RESEARCH ARTICLES</w:t>
            </w:r>
          </w:p>
        </w:tc>
      </w:tr>
      <w:tr w:rsidR="00622F23" w:rsidRPr="00CF0A2D" w:rsidTr="00517147">
        <w:tc>
          <w:tcPr>
            <w:tcW w:w="9498" w:type="dxa"/>
          </w:tcPr>
          <w:p w:rsidR="00622F23" w:rsidRPr="009B725B" w:rsidRDefault="00622F23" w:rsidP="00517147">
            <w:pPr>
              <w:numPr>
                <w:ilvl w:val="0"/>
                <w:numId w:val="1"/>
              </w:numPr>
              <w:spacing w:after="0" w:line="256" w:lineRule="auto"/>
              <w:ind w:left="317" w:hanging="317"/>
              <w:jc w:val="both"/>
              <w:rPr>
                <w:rFonts w:ascii="Times New Roman" w:hAnsi="Times New Roman"/>
                <w:b/>
              </w:rPr>
            </w:pPr>
            <w:r w:rsidRPr="009B725B">
              <w:rPr>
                <w:rFonts w:ascii="Times New Roman" w:hAnsi="Times New Roman"/>
                <w:b/>
              </w:rPr>
              <w:t>Gebelikten Koruyucu Yöntem Kullanan Kadınlarda Cinsel Fonksiyon Bozukluğunun Belirlenmesi</w:t>
            </w:r>
          </w:p>
          <w:p w:rsidR="00622F23" w:rsidRPr="009B725B" w:rsidRDefault="00622F23" w:rsidP="00517147">
            <w:pPr>
              <w:spacing w:after="0"/>
              <w:ind w:left="317"/>
              <w:jc w:val="both"/>
              <w:rPr>
                <w:rFonts w:ascii="Times New Roman" w:hAnsi="Times New Roman"/>
                <w:b/>
              </w:rPr>
            </w:pPr>
            <w:r w:rsidRPr="009B725B">
              <w:rPr>
                <w:rFonts w:ascii="Times New Roman" w:hAnsi="Times New Roman"/>
                <w:b/>
              </w:rPr>
              <w:t xml:space="preserve">Zehra Gölbaşı, Ayten Şentürk Erenel, Zekiye Turan   </w:t>
            </w:r>
          </w:p>
          <w:p w:rsidR="00622F23" w:rsidRPr="009B725B" w:rsidRDefault="00622F23" w:rsidP="00517147">
            <w:pPr>
              <w:spacing w:after="0"/>
              <w:ind w:left="317"/>
              <w:jc w:val="both"/>
            </w:pPr>
          </w:p>
        </w:tc>
      </w:tr>
      <w:tr w:rsidR="00622F23" w:rsidRPr="00CF0A2D" w:rsidTr="00517147">
        <w:tc>
          <w:tcPr>
            <w:tcW w:w="9498" w:type="dxa"/>
          </w:tcPr>
          <w:p w:rsidR="00622F23" w:rsidRPr="009B725B" w:rsidRDefault="00622F23" w:rsidP="00517147">
            <w:pPr>
              <w:numPr>
                <w:ilvl w:val="0"/>
                <w:numId w:val="1"/>
              </w:numPr>
              <w:spacing w:after="0" w:line="276" w:lineRule="auto"/>
              <w:ind w:left="317" w:hanging="283"/>
              <w:jc w:val="both"/>
              <w:rPr>
                <w:rFonts w:ascii="Times New Roman" w:hAnsi="Times New Roman"/>
                <w:b/>
              </w:rPr>
            </w:pPr>
            <w:r w:rsidRPr="009B725B">
              <w:rPr>
                <w:rFonts w:ascii="Times New Roman" w:hAnsi="Times New Roman"/>
                <w:b/>
              </w:rPr>
              <w:t>Kanser Hastalarına Yönelik Onkolojik Fizyoterapi ve Rehabilitasyon Ünitesi’nde Sunulan Hizmetlerin Analizi</w:t>
            </w:r>
          </w:p>
          <w:p w:rsidR="00622F23" w:rsidRPr="009B725B" w:rsidRDefault="00622F23" w:rsidP="00517147">
            <w:pPr>
              <w:spacing w:after="0"/>
              <w:ind w:left="317"/>
              <w:jc w:val="both"/>
              <w:rPr>
                <w:rFonts w:ascii="Times New Roman" w:hAnsi="Times New Roman"/>
                <w:b/>
              </w:rPr>
            </w:pPr>
            <w:r w:rsidRPr="009B725B">
              <w:rPr>
                <w:rFonts w:ascii="Times New Roman" w:hAnsi="Times New Roman"/>
                <w:b/>
              </w:rPr>
              <w:t>İlke Keser, Kadirhan Özdemir, Burak Ertürk, Miray Haspolat, Tuğçe Duman, Murat Esmer</w:t>
            </w:r>
          </w:p>
          <w:p w:rsidR="00622F23" w:rsidRPr="009B725B" w:rsidRDefault="00622F23" w:rsidP="00517147">
            <w:pPr>
              <w:spacing w:after="0"/>
              <w:ind w:left="317"/>
              <w:jc w:val="both"/>
            </w:pPr>
          </w:p>
        </w:tc>
      </w:tr>
      <w:tr w:rsidR="00622F23" w:rsidRPr="00CF0A2D" w:rsidTr="00517147">
        <w:tc>
          <w:tcPr>
            <w:tcW w:w="9498" w:type="dxa"/>
          </w:tcPr>
          <w:p w:rsidR="00622F23" w:rsidRPr="009B725B" w:rsidRDefault="00622F23" w:rsidP="00517147">
            <w:pPr>
              <w:numPr>
                <w:ilvl w:val="0"/>
                <w:numId w:val="1"/>
              </w:numPr>
              <w:spacing w:after="0" w:line="276" w:lineRule="auto"/>
              <w:ind w:left="317" w:hanging="283"/>
              <w:jc w:val="both"/>
              <w:rPr>
                <w:rFonts w:ascii="Times New Roman" w:hAnsi="Times New Roman"/>
                <w:b/>
                <w:caps/>
                <w:color w:val="000000"/>
                <w:lang w:val="en-US"/>
              </w:rPr>
            </w:pPr>
            <w:r w:rsidRPr="009B725B">
              <w:rPr>
                <w:rFonts w:ascii="Times New Roman" w:hAnsi="Times New Roman"/>
                <w:b/>
                <w:color w:val="000000"/>
                <w:lang w:val="en-US"/>
              </w:rPr>
              <w:t>Investigation of 5-Hydroxymethyl-2-Furaldehyde and 2-Furaldehyde Compounds in Fruit Juices</w:t>
            </w:r>
          </w:p>
          <w:p w:rsidR="00622F23" w:rsidRPr="009B725B" w:rsidRDefault="00622F23" w:rsidP="00517147">
            <w:pPr>
              <w:spacing w:after="0"/>
              <w:ind w:left="317"/>
              <w:jc w:val="both"/>
              <w:rPr>
                <w:rFonts w:ascii="Times New Roman" w:hAnsi="Times New Roman"/>
                <w:b/>
                <w:color w:val="000000"/>
                <w:lang w:val="en-US"/>
              </w:rPr>
            </w:pPr>
            <w:r w:rsidRPr="009B725B">
              <w:rPr>
                <w:rFonts w:ascii="Times New Roman" w:hAnsi="Times New Roman"/>
                <w:b/>
                <w:color w:val="000000"/>
                <w:lang w:val="en-US"/>
              </w:rPr>
              <w:t>Ceren Sönmez, Gülderen Yentür, Burak Demirhan, Buket Er Demirhan</w:t>
            </w:r>
          </w:p>
          <w:p w:rsidR="00622F23" w:rsidRPr="009B725B" w:rsidRDefault="00622F23" w:rsidP="00517147">
            <w:pPr>
              <w:spacing w:after="0" w:line="240" w:lineRule="auto"/>
              <w:jc w:val="both"/>
              <w:rPr>
                <w:lang w:val="en-US"/>
              </w:rPr>
            </w:pPr>
          </w:p>
        </w:tc>
      </w:tr>
      <w:tr w:rsidR="00622F23" w:rsidRPr="00CF0A2D" w:rsidTr="00517147">
        <w:tc>
          <w:tcPr>
            <w:tcW w:w="9498" w:type="dxa"/>
          </w:tcPr>
          <w:p w:rsidR="00622F23" w:rsidRPr="009B725B" w:rsidRDefault="00622F23" w:rsidP="00517147">
            <w:pPr>
              <w:numPr>
                <w:ilvl w:val="0"/>
                <w:numId w:val="1"/>
              </w:numPr>
              <w:spacing w:after="0" w:line="276" w:lineRule="auto"/>
              <w:ind w:left="317" w:hanging="283"/>
              <w:jc w:val="both"/>
              <w:rPr>
                <w:rFonts w:ascii="Times New Roman" w:hAnsi="Times New Roman"/>
                <w:b/>
              </w:rPr>
            </w:pPr>
            <w:r w:rsidRPr="009B725B">
              <w:rPr>
                <w:rFonts w:ascii="Times New Roman" w:hAnsi="Times New Roman"/>
                <w:b/>
              </w:rPr>
              <w:t>Bir Üniversitenin İkinci ve Üçüncü Sınıf Erkek Hemşirelik Öğrencilerinin Mesleği Algılama Tarzları: Nitel Bir Çalışma</w:t>
            </w:r>
            <w:r>
              <w:rPr>
                <w:rFonts w:ascii="Times New Roman" w:hAnsi="Times New Roman"/>
                <w:b/>
              </w:rPr>
              <w:t xml:space="preserve"> </w:t>
            </w:r>
          </w:p>
          <w:p w:rsidR="00622F23" w:rsidRPr="009B725B" w:rsidRDefault="00622F23" w:rsidP="00517147">
            <w:pPr>
              <w:spacing w:after="0"/>
              <w:ind w:firstLine="317"/>
              <w:jc w:val="both"/>
              <w:rPr>
                <w:rFonts w:ascii="Times New Roman" w:hAnsi="Times New Roman"/>
                <w:b/>
              </w:rPr>
            </w:pPr>
            <w:r w:rsidRPr="009B725B">
              <w:rPr>
                <w:rFonts w:ascii="Times New Roman" w:hAnsi="Times New Roman"/>
                <w:b/>
              </w:rPr>
              <w:t>Adeviye Aydın</w:t>
            </w:r>
          </w:p>
          <w:p w:rsidR="00622F23" w:rsidRPr="009B725B" w:rsidRDefault="00622F23" w:rsidP="00517147">
            <w:pPr>
              <w:spacing w:after="0" w:line="240" w:lineRule="auto"/>
              <w:jc w:val="both"/>
            </w:pPr>
          </w:p>
        </w:tc>
      </w:tr>
    </w:tbl>
    <w:p w:rsidR="00622F23" w:rsidRDefault="00622F23" w:rsidP="00622F23"/>
    <w:p w:rsidR="00622F23" w:rsidRDefault="00622F23" w:rsidP="00622F23"/>
    <w:p w:rsidR="00622F23" w:rsidRPr="0064050F" w:rsidRDefault="00622F23" w:rsidP="00622F23">
      <w:pPr>
        <w:spacing w:line="360" w:lineRule="auto"/>
        <w:jc w:val="both"/>
        <w:rPr>
          <w:rFonts w:ascii="Times New Roman" w:hAnsi="Times New Roman"/>
          <w:sz w:val="24"/>
          <w:szCs w:val="24"/>
          <w:shd w:val="clear" w:color="auto" w:fill="FFFFFF"/>
        </w:rPr>
      </w:pPr>
      <w:r w:rsidRPr="0064050F">
        <w:rPr>
          <w:rFonts w:ascii="Times New Roman" w:hAnsi="Times New Roman"/>
          <w:sz w:val="24"/>
          <w:szCs w:val="24"/>
          <w:shd w:val="clear" w:color="auto" w:fill="FFFFFF"/>
        </w:rPr>
        <w:lastRenderedPageBreak/>
        <w:t>Değerli Okuyucular,</w:t>
      </w:r>
    </w:p>
    <w:p w:rsidR="00622F23" w:rsidRPr="0064050F" w:rsidRDefault="00622F23" w:rsidP="00622F23">
      <w:pPr>
        <w:spacing w:line="360" w:lineRule="auto"/>
        <w:jc w:val="both"/>
        <w:rPr>
          <w:rFonts w:ascii="Times New Roman" w:hAnsi="Times New Roman"/>
          <w:sz w:val="24"/>
          <w:szCs w:val="24"/>
          <w:shd w:val="clear" w:color="auto" w:fill="FFFFFF"/>
        </w:rPr>
      </w:pPr>
      <w:r w:rsidRPr="0064050F">
        <w:rPr>
          <w:rFonts w:ascii="Times New Roman" w:hAnsi="Times New Roman"/>
          <w:sz w:val="24"/>
          <w:szCs w:val="24"/>
          <w:shd w:val="clear" w:color="auto" w:fill="FFFFFF"/>
        </w:rPr>
        <w:t xml:space="preserve">Gazi Üniversitesi Sağlık Bilimleri Fakültesi, </w:t>
      </w:r>
      <w:r>
        <w:rPr>
          <w:rFonts w:ascii="Times New Roman" w:hAnsi="Times New Roman"/>
          <w:sz w:val="24"/>
          <w:szCs w:val="24"/>
          <w:shd w:val="clear" w:color="auto" w:fill="FFFFFF"/>
        </w:rPr>
        <w:t>üniversitemizin 90. yılını kutladığımız bugünlerde,</w:t>
      </w:r>
      <w:r w:rsidRPr="0064050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9. yılını kutlayan, </w:t>
      </w:r>
      <w:r w:rsidRPr="0064050F">
        <w:rPr>
          <w:rFonts w:ascii="Times New Roman" w:hAnsi="Times New Roman"/>
          <w:sz w:val="24"/>
          <w:szCs w:val="24"/>
          <w:shd w:val="clear" w:color="auto" w:fill="FFFFFF"/>
        </w:rPr>
        <w:t xml:space="preserve">genç, aktif ve </w:t>
      </w:r>
      <w:r>
        <w:rPr>
          <w:rFonts w:ascii="Times New Roman" w:hAnsi="Times New Roman"/>
          <w:sz w:val="24"/>
          <w:szCs w:val="24"/>
          <w:shd w:val="clear" w:color="auto" w:fill="FFFFFF"/>
        </w:rPr>
        <w:t>alanlarında</w:t>
      </w:r>
      <w:r w:rsidRPr="0064050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yetkin </w:t>
      </w:r>
      <w:r w:rsidRPr="0064050F">
        <w:rPr>
          <w:rFonts w:ascii="Times New Roman" w:hAnsi="Times New Roman"/>
          <w:sz w:val="24"/>
          <w:szCs w:val="24"/>
          <w:shd w:val="clear" w:color="auto" w:fill="FFFFFF"/>
        </w:rPr>
        <w:t xml:space="preserve">öğretim üyelerinden oluşan </w:t>
      </w:r>
      <w:r>
        <w:rPr>
          <w:rFonts w:ascii="Times New Roman" w:hAnsi="Times New Roman"/>
          <w:sz w:val="24"/>
          <w:szCs w:val="24"/>
          <w:shd w:val="clear" w:color="auto" w:fill="FFFFFF"/>
        </w:rPr>
        <w:t xml:space="preserve">bir eğitim kurumudur. Fakültemiz süreli yayını olan “Gazi Sağlık Bilimleri Dergisi” </w:t>
      </w:r>
      <w:r w:rsidRPr="0064050F">
        <w:rPr>
          <w:rFonts w:ascii="Times New Roman" w:hAnsi="Times New Roman"/>
          <w:sz w:val="24"/>
          <w:szCs w:val="24"/>
          <w:shd w:val="clear" w:color="auto" w:fill="FFFFFF"/>
        </w:rPr>
        <w:t>2015 yılında yayın</w:t>
      </w:r>
      <w:r>
        <w:rPr>
          <w:rFonts w:ascii="Times New Roman" w:hAnsi="Times New Roman"/>
          <w:sz w:val="24"/>
          <w:szCs w:val="24"/>
          <w:shd w:val="clear" w:color="auto" w:fill="FFFFFF"/>
        </w:rPr>
        <w:t xml:space="preserve">a başlamış </w:t>
      </w:r>
      <w:r w:rsidRPr="0064050F">
        <w:rPr>
          <w:rFonts w:ascii="Times New Roman" w:hAnsi="Times New Roman"/>
          <w:sz w:val="24"/>
          <w:szCs w:val="24"/>
          <w:shd w:val="clear" w:color="auto" w:fill="FFFFFF"/>
        </w:rPr>
        <w:t xml:space="preserve">ve üniversitemiz senatosu tarafından onaylanarak akademik atama ve yükseltme </w:t>
      </w:r>
      <w:proofErr w:type="gramStart"/>
      <w:r w:rsidRPr="0064050F">
        <w:rPr>
          <w:rFonts w:ascii="Times New Roman" w:hAnsi="Times New Roman"/>
          <w:sz w:val="24"/>
          <w:szCs w:val="24"/>
          <w:shd w:val="clear" w:color="auto" w:fill="FFFFFF"/>
        </w:rPr>
        <w:t>kriterlerinde</w:t>
      </w:r>
      <w:proofErr w:type="gramEnd"/>
      <w:r w:rsidRPr="0064050F">
        <w:rPr>
          <w:rFonts w:ascii="Times New Roman" w:hAnsi="Times New Roman"/>
          <w:sz w:val="24"/>
          <w:szCs w:val="24"/>
          <w:shd w:val="clear" w:color="auto" w:fill="FFFFFF"/>
        </w:rPr>
        <w:t xml:space="preserve"> yer alan dergilerden biri olmuştur. </w:t>
      </w:r>
    </w:p>
    <w:p w:rsidR="00622F23" w:rsidRPr="0064050F" w:rsidRDefault="00622F23" w:rsidP="00622F23">
      <w:pPr>
        <w:spacing w:line="360" w:lineRule="auto"/>
        <w:jc w:val="both"/>
        <w:rPr>
          <w:rFonts w:ascii="Times New Roman" w:hAnsi="Times New Roman"/>
          <w:sz w:val="24"/>
          <w:szCs w:val="24"/>
          <w:shd w:val="clear" w:color="auto" w:fill="FFFFFF"/>
        </w:rPr>
      </w:pPr>
      <w:r w:rsidRPr="0064050F">
        <w:rPr>
          <w:rFonts w:ascii="Times New Roman" w:hAnsi="Times New Roman"/>
          <w:sz w:val="24"/>
          <w:szCs w:val="24"/>
          <w:shd w:val="clear" w:color="auto" w:fill="FFFFFF"/>
        </w:rPr>
        <w:t xml:space="preserve">Dergimiz sağlık bilimleri alanında çalışan tüm </w:t>
      </w:r>
      <w:r>
        <w:rPr>
          <w:rFonts w:ascii="Times New Roman" w:hAnsi="Times New Roman"/>
          <w:sz w:val="24"/>
          <w:szCs w:val="24"/>
          <w:shd w:val="clear" w:color="auto" w:fill="FFFFFF"/>
        </w:rPr>
        <w:t>profesyonellerin</w:t>
      </w:r>
      <w:r w:rsidRPr="0064050F">
        <w:rPr>
          <w:rFonts w:ascii="Times New Roman" w:hAnsi="Times New Roman"/>
          <w:sz w:val="24"/>
          <w:szCs w:val="24"/>
          <w:shd w:val="clear" w:color="auto" w:fill="FFFFFF"/>
        </w:rPr>
        <w:t xml:space="preserve"> çalışmalarına yer vermeyi amaçlamaktadır. Bu </w:t>
      </w:r>
      <w:r>
        <w:rPr>
          <w:rFonts w:ascii="Times New Roman" w:hAnsi="Times New Roman"/>
          <w:sz w:val="24"/>
          <w:szCs w:val="24"/>
          <w:shd w:val="clear" w:color="auto" w:fill="FFFFFF"/>
        </w:rPr>
        <w:t>amaçla</w:t>
      </w:r>
      <w:r w:rsidRPr="0064050F">
        <w:rPr>
          <w:rFonts w:ascii="Times New Roman" w:hAnsi="Times New Roman"/>
          <w:sz w:val="24"/>
          <w:szCs w:val="24"/>
          <w:shd w:val="clear" w:color="auto" w:fill="FFFFFF"/>
        </w:rPr>
        <w:t xml:space="preserve"> özellikle sağlık bilimleri alanında yapılmış </w:t>
      </w:r>
      <w:r>
        <w:rPr>
          <w:rFonts w:ascii="Times New Roman" w:hAnsi="Times New Roman"/>
          <w:sz w:val="24"/>
          <w:szCs w:val="24"/>
          <w:shd w:val="clear" w:color="auto" w:fill="FFFFFF"/>
        </w:rPr>
        <w:t xml:space="preserve">çok disiplinli </w:t>
      </w:r>
      <w:r w:rsidRPr="0064050F">
        <w:rPr>
          <w:rFonts w:ascii="Times New Roman" w:hAnsi="Times New Roman"/>
          <w:sz w:val="24"/>
          <w:szCs w:val="24"/>
          <w:shd w:val="clear" w:color="auto" w:fill="FFFFFF"/>
        </w:rPr>
        <w:t xml:space="preserve">çalışmalara öncelik verilmektedir. </w:t>
      </w:r>
    </w:p>
    <w:p w:rsidR="00622F23" w:rsidRDefault="00622F23" w:rsidP="00622F23">
      <w:pPr>
        <w:spacing w:line="360" w:lineRule="auto"/>
        <w:jc w:val="both"/>
        <w:rPr>
          <w:rFonts w:ascii="Times New Roman" w:hAnsi="Times New Roman"/>
          <w:sz w:val="24"/>
          <w:szCs w:val="24"/>
          <w:shd w:val="clear" w:color="auto" w:fill="FFFFFF"/>
        </w:rPr>
      </w:pPr>
      <w:r w:rsidRPr="0064050F">
        <w:rPr>
          <w:rFonts w:ascii="Times New Roman" w:hAnsi="Times New Roman"/>
          <w:sz w:val="24"/>
          <w:szCs w:val="24"/>
          <w:shd w:val="clear" w:color="auto" w:fill="FFFFFF"/>
        </w:rPr>
        <w:t xml:space="preserve">Dergimizin </w:t>
      </w:r>
      <w:r>
        <w:rPr>
          <w:rFonts w:ascii="Times New Roman" w:hAnsi="Times New Roman"/>
          <w:sz w:val="24"/>
          <w:szCs w:val="24"/>
          <w:shd w:val="clear" w:color="auto" w:fill="FFFFFF"/>
        </w:rPr>
        <w:t>ilk cildinde 9 adet araştırma, 3 adet derleme ve 1 adet vaka raporu sunulmuştur. B</w:t>
      </w:r>
      <w:r w:rsidRPr="0064050F">
        <w:rPr>
          <w:rFonts w:ascii="Times New Roman" w:hAnsi="Times New Roman"/>
          <w:sz w:val="24"/>
          <w:szCs w:val="24"/>
          <w:shd w:val="clear" w:color="auto" w:fill="FFFFFF"/>
        </w:rPr>
        <w:t>u sayısında</w:t>
      </w:r>
      <w:r>
        <w:rPr>
          <w:rFonts w:ascii="Times New Roman" w:hAnsi="Times New Roman"/>
          <w:sz w:val="24"/>
          <w:szCs w:val="24"/>
          <w:shd w:val="clear" w:color="auto" w:fill="FFFFFF"/>
        </w:rPr>
        <w:t xml:space="preserve"> ise</w:t>
      </w:r>
      <w:r w:rsidRPr="0064050F">
        <w:rPr>
          <w:rFonts w:ascii="Times New Roman" w:hAnsi="Times New Roman"/>
          <w:sz w:val="24"/>
          <w:szCs w:val="24"/>
          <w:shd w:val="clear" w:color="auto" w:fill="FFFFFF"/>
        </w:rPr>
        <w:t xml:space="preserve"> 4 adet araştırma, 1 adet derleme makaleye yer verilmiştir. Bu yayınların sağlık bilimleri alanında çalışan araştırmacılara katkı sağlayacağı inancındayız. </w:t>
      </w:r>
      <w:r>
        <w:rPr>
          <w:rFonts w:ascii="Times New Roman" w:hAnsi="Times New Roman"/>
          <w:sz w:val="24"/>
          <w:szCs w:val="24"/>
        </w:rPr>
        <w:t>Siz değerli okuyucuların,</w:t>
      </w:r>
      <w:r w:rsidRPr="0064050F">
        <w:rPr>
          <w:rFonts w:ascii="Times New Roman" w:hAnsi="Times New Roman"/>
          <w:sz w:val="24"/>
          <w:szCs w:val="24"/>
        </w:rPr>
        <w:t xml:space="preserve"> yazarların desteği</w:t>
      </w:r>
      <w:r>
        <w:rPr>
          <w:rFonts w:ascii="Times New Roman" w:hAnsi="Times New Roman"/>
          <w:sz w:val="24"/>
          <w:szCs w:val="24"/>
        </w:rPr>
        <w:t xml:space="preserve"> ve </w:t>
      </w:r>
      <w:r w:rsidRPr="0064050F">
        <w:rPr>
          <w:rFonts w:ascii="Times New Roman" w:hAnsi="Times New Roman"/>
          <w:sz w:val="24"/>
          <w:szCs w:val="24"/>
        </w:rPr>
        <w:t xml:space="preserve">göndereceğiniz nitelikli araştırma makaleleri </w:t>
      </w:r>
      <w:r>
        <w:rPr>
          <w:rFonts w:ascii="Times New Roman" w:hAnsi="Times New Roman"/>
          <w:sz w:val="24"/>
          <w:szCs w:val="24"/>
        </w:rPr>
        <w:t>ile</w:t>
      </w:r>
      <w:r w:rsidRPr="0064050F">
        <w:rPr>
          <w:rFonts w:ascii="Times New Roman" w:hAnsi="Times New Roman"/>
          <w:sz w:val="24"/>
          <w:szCs w:val="24"/>
        </w:rPr>
        <w:t xml:space="preserve"> dergimizin kısa sürede daha iyi yerlere geleceği</w:t>
      </w:r>
      <w:r>
        <w:rPr>
          <w:rFonts w:ascii="Times New Roman" w:hAnsi="Times New Roman"/>
          <w:sz w:val="24"/>
          <w:szCs w:val="24"/>
        </w:rPr>
        <w:t xml:space="preserve"> inancındayız. Bu sayımızda</w:t>
      </w:r>
      <w:r w:rsidRPr="0064050F">
        <w:rPr>
          <w:rFonts w:ascii="Times New Roman" w:hAnsi="Times New Roman"/>
          <w:sz w:val="24"/>
          <w:szCs w:val="24"/>
        </w:rPr>
        <w:t xml:space="preserve"> </w:t>
      </w:r>
      <w:r>
        <w:rPr>
          <w:rFonts w:ascii="Times New Roman" w:hAnsi="Times New Roman"/>
          <w:sz w:val="24"/>
          <w:szCs w:val="24"/>
        </w:rPr>
        <w:t>kıymetli</w:t>
      </w:r>
      <w:r w:rsidRPr="0064050F">
        <w:rPr>
          <w:rFonts w:ascii="Times New Roman" w:hAnsi="Times New Roman"/>
          <w:sz w:val="24"/>
          <w:szCs w:val="24"/>
        </w:rPr>
        <w:t xml:space="preserve"> zamanlarını </w:t>
      </w:r>
      <w:r>
        <w:rPr>
          <w:rFonts w:ascii="Times New Roman" w:hAnsi="Times New Roman"/>
          <w:sz w:val="24"/>
          <w:szCs w:val="24"/>
        </w:rPr>
        <w:t>ayırarak</w:t>
      </w:r>
      <w:r w:rsidRPr="0064050F">
        <w:rPr>
          <w:rFonts w:ascii="Times New Roman" w:hAnsi="Times New Roman"/>
          <w:sz w:val="24"/>
          <w:szCs w:val="24"/>
        </w:rPr>
        <w:t>, titizlikle makalelerimiz</w:t>
      </w:r>
      <w:r>
        <w:rPr>
          <w:rFonts w:ascii="Times New Roman" w:hAnsi="Times New Roman"/>
          <w:sz w:val="24"/>
          <w:szCs w:val="24"/>
        </w:rPr>
        <w:t>i değerlendiren hakemlerimize</w:t>
      </w:r>
      <w:r w:rsidRPr="0064050F">
        <w:rPr>
          <w:rFonts w:ascii="Times New Roman" w:hAnsi="Times New Roman"/>
          <w:sz w:val="24"/>
          <w:szCs w:val="24"/>
        </w:rPr>
        <w:t xml:space="preserve"> çok teşekkür ederiz. </w:t>
      </w:r>
    </w:p>
    <w:p w:rsidR="00622F23" w:rsidRDefault="00622F23" w:rsidP="00622F23">
      <w:pPr>
        <w:spacing w:line="360" w:lineRule="auto"/>
        <w:jc w:val="both"/>
        <w:rPr>
          <w:rFonts w:ascii="Times New Roman" w:hAnsi="Times New Roman"/>
          <w:sz w:val="24"/>
          <w:szCs w:val="24"/>
        </w:rPr>
      </w:pPr>
      <w:r>
        <w:rPr>
          <w:rFonts w:ascii="Times New Roman" w:hAnsi="Times New Roman"/>
          <w:sz w:val="24"/>
          <w:szCs w:val="24"/>
          <w:shd w:val="clear" w:color="auto" w:fill="FFFFFF"/>
        </w:rPr>
        <w:t xml:space="preserve">Sürekli </w:t>
      </w:r>
      <w:r w:rsidRPr="0064050F">
        <w:rPr>
          <w:rFonts w:ascii="Times New Roman" w:hAnsi="Times New Roman"/>
          <w:sz w:val="24"/>
          <w:szCs w:val="24"/>
        </w:rPr>
        <w:t>yenilenen ve yenileyen, her sayısı bir önceki sayısından daha iyi olmasını hedeflediğimiz dergimizin bir sonraki sayısında görüşmek üzere</w:t>
      </w:r>
      <w:r>
        <w:rPr>
          <w:rFonts w:ascii="Times New Roman" w:hAnsi="Times New Roman"/>
          <w:sz w:val="24"/>
          <w:szCs w:val="24"/>
        </w:rPr>
        <w:t xml:space="preserve"> saygı ve selamlarımı sunarım</w:t>
      </w:r>
      <w:r w:rsidRPr="0064050F">
        <w:rPr>
          <w:rFonts w:ascii="Times New Roman" w:hAnsi="Times New Roman"/>
          <w:sz w:val="24"/>
          <w:szCs w:val="24"/>
        </w:rPr>
        <w:t>.</w:t>
      </w:r>
    </w:p>
    <w:p w:rsidR="00622F23" w:rsidRDefault="00622F23" w:rsidP="00622F23">
      <w:pPr>
        <w:spacing w:line="360" w:lineRule="auto"/>
        <w:jc w:val="right"/>
        <w:rPr>
          <w:rFonts w:ascii="Times New Roman" w:hAnsi="Times New Roman"/>
          <w:sz w:val="24"/>
          <w:szCs w:val="24"/>
        </w:rPr>
      </w:pPr>
    </w:p>
    <w:p w:rsidR="00622F23" w:rsidRDefault="00622F23" w:rsidP="00622F23">
      <w:pPr>
        <w:spacing w:line="360" w:lineRule="auto"/>
        <w:jc w:val="right"/>
        <w:rPr>
          <w:rFonts w:ascii="Times New Roman" w:hAnsi="Times New Roman"/>
          <w:sz w:val="24"/>
          <w:szCs w:val="24"/>
        </w:rPr>
      </w:pPr>
    </w:p>
    <w:p w:rsidR="00622F23" w:rsidRDefault="00622F23" w:rsidP="00622F23">
      <w:pPr>
        <w:spacing w:line="360" w:lineRule="auto"/>
        <w:jc w:val="right"/>
        <w:rPr>
          <w:rFonts w:ascii="Times New Roman" w:hAnsi="Times New Roman"/>
          <w:sz w:val="24"/>
          <w:szCs w:val="24"/>
        </w:rPr>
      </w:pPr>
      <w:r>
        <w:rPr>
          <w:rFonts w:ascii="Times New Roman" w:hAnsi="Times New Roman"/>
          <w:sz w:val="24"/>
          <w:szCs w:val="24"/>
        </w:rPr>
        <w:t>Prof. Dr. Mustafa Necmi İLHAN</w:t>
      </w:r>
    </w:p>
    <w:p w:rsidR="00622F23" w:rsidRDefault="00622F23" w:rsidP="00622F23">
      <w:pPr>
        <w:spacing w:line="360" w:lineRule="auto"/>
        <w:jc w:val="right"/>
        <w:rPr>
          <w:rFonts w:ascii="Times New Roman" w:hAnsi="Times New Roman"/>
          <w:sz w:val="24"/>
          <w:szCs w:val="24"/>
        </w:rPr>
      </w:pPr>
      <w:r>
        <w:rPr>
          <w:rFonts w:ascii="Times New Roman" w:hAnsi="Times New Roman"/>
          <w:sz w:val="24"/>
          <w:szCs w:val="24"/>
        </w:rPr>
        <w:t>Gazi Sağlık Bilimleri Dergisi Editörü</w:t>
      </w:r>
    </w:p>
    <w:p w:rsidR="00622F23" w:rsidRDefault="00622F23" w:rsidP="00622F23"/>
    <w:p w:rsidR="00622F23" w:rsidRDefault="00622F23" w:rsidP="00622F23"/>
    <w:p w:rsidR="00622F23" w:rsidRDefault="00622F23" w:rsidP="00622F23"/>
    <w:p w:rsidR="00622F23" w:rsidRDefault="00622F23" w:rsidP="00622F23"/>
    <w:p w:rsidR="00622F23" w:rsidRDefault="00622F23" w:rsidP="00622F23"/>
    <w:p w:rsidR="00622F23" w:rsidRDefault="00622F23" w:rsidP="00622F23"/>
    <w:p w:rsidR="00622F23" w:rsidRDefault="00622F23" w:rsidP="00622F23"/>
    <w:p w:rsidR="00622F23" w:rsidRDefault="00622F23" w:rsidP="00622F23"/>
    <w:p w:rsidR="00622F23" w:rsidRPr="004F25D1" w:rsidRDefault="00622F23" w:rsidP="00622F23">
      <w:pPr>
        <w:jc w:val="center"/>
        <w:rPr>
          <w:b/>
          <w:sz w:val="28"/>
          <w:szCs w:val="28"/>
        </w:rPr>
      </w:pPr>
      <w:r w:rsidRPr="004F25D1">
        <w:rPr>
          <w:b/>
          <w:sz w:val="28"/>
          <w:szCs w:val="28"/>
        </w:rPr>
        <w:lastRenderedPageBreak/>
        <w:t>GAZİ SAĞLIK BİLİMLERİ FAKÜLTESİ DERGİSİ</w:t>
      </w:r>
    </w:p>
    <w:p w:rsidR="00622F23" w:rsidRDefault="00622F23" w:rsidP="00622F23"/>
    <w:p w:rsidR="00622F23" w:rsidRDefault="00622F23" w:rsidP="00622F23"/>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Sahibi</w:t>
      </w:r>
      <w:r w:rsidRPr="00590C09">
        <w:rPr>
          <w:rFonts w:ascii="Helvetica" w:eastAsia="Times New Roman" w:hAnsi="Helvetica" w:cs="Helvetica"/>
          <w:color w:val="333333"/>
          <w:sz w:val="24"/>
          <w:szCs w:val="24"/>
          <w:lang w:eastAsia="tr-TR"/>
        </w:rPr>
        <w:t>: Prof. Dr. İbrahim Uslan, Gazi Üniversitesi Rektörü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br/>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Editör: </w:t>
      </w:r>
      <w:r w:rsidRPr="00590C09">
        <w:rPr>
          <w:rFonts w:ascii="Helvetica" w:eastAsia="Times New Roman" w:hAnsi="Helvetica" w:cs="Helvetica"/>
          <w:color w:val="333333"/>
          <w:sz w:val="24"/>
          <w:szCs w:val="24"/>
          <w:lang w:eastAsia="tr-TR"/>
        </w:rPr>
        <w:t>Prof.Dr. Mustafa Necmi İlhan,  Sağlık Bilimleri Fakültesi Dekanı</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br/>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Editör Yardımcıları*:</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Ayten Şentürk Erenel Sağlık Bilimleri Fakültesi Hemşirelik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İlke Keser, Sağlık Bilimleri Fakültesi Hemşirelik Bölümü Fizyoterapi  ve Rehabilitasyon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Eda Köksal, Sağlık Bilimleri Fakültesi Beslenme ve Diyetetik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Editörler Kurulu*</w:t>
      </w:r>
      <w:r w:rsidRPr="00590C09">
        <w:rPr>
          <w:rFonts w:ascii="Helvetica" w:eastAsia="Times New Roman" w:hAnsi="Helvetica" w:cs="Helvetica"/>
          <w:color w:val="333333"/>
          <w:sz w:val="24"/>
          <w:szCs w:val="24"/>
          <w:lang w:eastAsia="tr-TR"/>
        </w:rPr>
        <w:t>:</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Sultan Ayaz Alkaya, Sağlık Bilimleri Fakültesi Hemşirelik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Doç.Dr. Naile  </w:t>
      </w:r>
      <w:proofErr w:type="gramStart"/>
      <w:r w:rsidRPr="00590C09">
        <w:rPr>
          <w:rFonts w:ascii="Helvetica" w:eastAsia="Times New Roman" w:hAnsi="Helvetica" w:cs="Helvetica"/>
          <w:color w:val="333333"/>
          <w:sz w:val="24"/>
          <w:szCs w:val="24"/>
          <w:lang w:eastAsia="tr-TR"/>
        </w:rPr>
        <w:t>Bilgili,Sağlık</w:t>
      </w:r>
      <w:proofErr w:type="gramEnd"/>
      <w:r w:rsidRPr="00590C09">
        <w:rPr>
          <w:rFonts w:ascii="Helvetica" w:eastAsia="Times New Roman" w:hAnsi="Helvetica" w:cs="Helvetica"/>
          <w:color w:val="333333"/>
          <w:sz w:val="24"/>
          <w:szCs w:val="24"/>
          <w:lang w:eastAsia="tr-TR"/>
        </w:rPr>
        <w:t xml:space="preserve"> Bilimleri Fakültesi Hemşirelik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Bülent Gündüz, Sağlık Bilimleri Fakültesi Odyoloji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Prof.Dr. Nevin </w:t>
      </w:r>
      <w:proofErr w:type="gramStart"/>
      <w:r w:rsidRPr="00590C09">
        <w:rPr>
          <w:rFonts w:ascii="Helvetica" w:eastAsia="Times New Roman" w:hAnsi="Helvetica" w:cs="Helvetica"/>
          <w:color w:val="333333"/>
          <w:sz w:val="24"/>
          <w:szCs w:val="24"/>
          <w:lang w:eastAsia="tr-TR"/>
        </w:rPr>
        <w:t>Güzel,Sağlık</w:t>
      </w:r>
      <w:proofErr w:type="gramEnd"/>
      <w:r w:rsidRPr="00590C09">
        <w:rPr>
          <w:rFonts w:ascii="Helvetica" w:eastAsia="Times New Roman" w:hAnsi="Helvetica" w:cs="Helvetica"/>
          <w:color w:val="333333"/>
          <w:sz w:val="24"/>
          <w:szCs w:val="24"/>
          <w:lang w:eastAsia="tr-TR"/>
        </w:rPr>
        <w:t xml:space="preserve"> Bilimleri Fakültesi Fizyoterapi  ve Rehabilitasyon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Prof.Dr. Efsun </w:t>
      </w:r>
      <w:proofErr w:type="gramStart"/>
      <w:r w:rsidRPr="00590C09">
        <w:rPr>
          <w:rFonts w:ascii="Helvetica" w:eastAsia="Times New Roman" w:hAnsi="Helvetica" w:cs="Helvetica"/>
          <w:color w:val="333333"/>
          <w:sz w:val="24"/>
          <w:szCs w:val="24"/>
          <w:lang w:eastAsia="tr-TR"/>
        </w:rPr>
        <w:t>Karabudak,Sağlık</w:t>
      </w:r>
      <w:proofErr w:type="gramEnd"/>
      <w:r w:rsidRPr="00590C09">
        <w:rPr>
          <w:rFonts w:ascii="Helvetica" w:eastAsia="Times New Roman" w:hAnsi="Helvetica" w:cs="Helvetica"/>
          <w:color w:val="333333"/>
          <w:sz w:val="24"/>
          <w:szCs w:val="24"/>
          <w:lang w:eastAsia="tr-TR"/>
        </w:rPr>
        <w:t xml:space="preserve"> Bilimleri Fakültesi, Beslenme ve Diyetetik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Doç.Dr. Deran </w:t>
      </w:r>
      <w:proofErr w:type="gramStart"/>
      <w:r w:rsidRPr="00590C09">
        <w:rPr>
          <w:rFonts w:ascii="Helvetica" w:eastAsia="Times New Roman" w:hAnsi="Helvetica" w:cs="Helvetica"/>
          <w:color w:val="333333"/>
          <w:sz w:val="24"/>
          <w:szCs w:val="24"/>
          <w:lang w:eastAsia="tr-TR"/>
        </w:rPr>
        <w:t>Oskay,Sağlık</w:t>
      </w:r>
      <w:proofErr w:type="gramEnd"/>
      <w:r w:rsidRPr="00590C09">
        <w:rPr>
          <w:rFonts w:ascii="Helvetica" w:eastAsia="Times New Roman" w:hAnsi="Helvetica" w:cs="Helvetica"/>
          <w:color w:val="333333"/>
          <w:sz w:val="24"/>
          <w:szCs w:val="24"/>
          <w:lang w:eastAsia="tr-TR"/>
        </w:rPr>
        <w:t xml:space="preserve"> Bilimleri Fakültesi Fizyoterapi  ve Rehabilitasyon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Etik Danışma Kurulu*</w:t>
      </w:r>
      <w:r w:rsidRPr="00590C09">
        <w:rPr>
          <w:rFonts w:ascii="Helvetica" w:eastAsia="Times New Roman" w:hAnsi="Helvetica" w:cs="Helvetica"/>
          <w:color w:val="333333"/>
          <w:sz w:val="24"/>
          <w:szCs w:val="24"/>
          <w:lang w:eastAsia="tr-TR"/>
        </w:rPr>
        <w:t>:</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Zehra Göçmen BaykaraSağlık Bilimleri Fakültesi Hemşirelik Bölümü</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Saniye Bilici, Sağlık Bilimleri Fakültesi, Beslenme ve Diyetetik Bölümü  </w:t>
      </w:r>
      <w:r w:rsidRPr="00590C09">
        <w:rPr>
          <w:rFonts w:ascii="Helvetica" w:eastAsia="Times New Roman" w:hAnsi="Helvetica" w:cs="Helvetica"/>
          <w:color w:val="333333"/>
          <w:sz w:val="24"/>
          <w:szCs w:val="24"/>
          <w:lang w:eastAsia="tr-TR"/>
        </w:rPr>
        <w:br/>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Doç.Dr. Seyit </w:t>
      </w:r>
      <w:proofErr w:type="gramStart"/>
      <w:r w:rsidRPr="00590C09">
        <w:rPr>
          <w:rFonts w:ascii="Helvetica" w:eastAsia="Times New Roman" w:hAnsi="Helvetica" w:cs="Helvetica"/>
          <w:color w:val="333333"/>
          <w:sz w:val="24"/>
          <w:szCs w:val="24"/>
          <w:lang w:eastAsia="tr-TR"/>
        </w:rPr>
        <w:t>Çıtaker,Sağlık</w:t>
      </w:r>
      <w:proofErr w:type="gramEnd"/>
      <w:r w:rsidRPr="00590C09">
        <w:rPr>
          <w:rFonts w:ascii="Helvetica" w:eastAsia="Times New Roman" w:hAnsi="Helvetica" w:cs="Helvetica"/>
          <w:color w:val="333333"/>
          <w:sz w:val="24"/>
          <w:szCs w:val="24"/>
          <w:lang w:eastAsia="tr-TR"/>
        </w:rPr>
        <w:t xml:space="preserve"> Bilimleri Fakültesi Fizyoterapi  ve Rehabilitasyon Bölümü                             </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Sevil Özger İlhan, Tıp Fakültesi Farmakoloji Bölümü</w:t>
      </w:r>
    </w:p>
    <w:p w:rsidR="00622F23" w:rsidRDefault="00622F23" w:rsidP="00622F23">
      <w:pPr>
        <w:shd w:val="clear" w:color="auto" w:fill="FFFFFF"/>
        <w:spacing w:after="150" w:line="240" w:lineRule="auto"/>
        <w:rPr>
          <w:rFonts w:ascii="Helvetica" w:eastAsia="Times New Roman" w:hAnsi="Helvetica" w:cs="Helvetica"/>
          <w:color w:val="333333"/>
          <w:sz w:val="24"/>
          <w:szCs w:val="24"/>
          <w:lang w:eastAsia="tr-TR"/>
        </w:rPr>
      </w:pPr>
      <w:r w:rsidRPr="00590C09">
        <w:rPr>
          <w:rFonts w:ascii="Helvetica" w:eastAsia="Times New Roman" w:hAnsi="Helvetica" w:cs="Helvetica"/>
          <w:color w:val="333333"/>
          <w:sz w:val="24"/>
          <w:szCs w:val="24"/>
          <w:lang w:eastAsia="tr-TR"/>
        </w:rPr>
        <w:t xml:space="preserve">      </w:t>
      </w:r>
    </w:p>
    <w:p w:rsidR="00622F23" w:rsidRDefault="00622F23" w:rsidP="00622F23">
      <w:pPr>
        <w:shd w:val="clear" w:color="auto" w:fill="FFFFFF"/>
        <w:spacing w:after="150" w:line="240" w:lineRule="auto"/>
        <w:rPr>
          <w:rFonts w:ascii="Helvetica" w:eastAsia="Times New Roman" w:hAnsi="Helvetica" w:cs="Helvetica"/>
          <w:color w:val="333333"/>
          <w:sz w:val="24"/>
          <w:szCs w:val="24"/>
          <w:lang w:eastAsia="tr-TR"/>
        </w:rPr>
      </w:pPr>
    </w:p>
    <w:p w:rsidR="00622F23" w:rsidRDefault="00622F23" w:rsidP="00622F23">
      <w:pPr>
        <w:shd w:val="clear" w:color="auto" w:fill="FFFFFF"/>
        <w:spacing w:after="150" w:line="240" w:lineRule="auto"/>
        <w:rPr>
          <w:rFonts w:ascii="Helvetica" w:eastAsia="Times New Roman" w:hAnsi="Helvetica" w:cs="Helvetica"/>
          <w:color w:val="333333"/>
          <w:sz w:val="24"/>
          <w:szCs w:val="24"/>
          <w:lang w:eastAsia="tr-TR"/>
        </w:rPr>
      </w:pPr>
      <w:r w:rsidRPr="00590C09">
        <w:rPr>
          <w:rFonts w:ascii="Helvetica" w:eastAsia="Times New Roman" w:hAnsi="Helvetica" w:cs="Helvetica"/>
          <w:color w:val="333333"/>
          <w:sz w:val="24"/>
          <w:szCs w:val="24"/>
          <w:lang w:eastAsia="tr-TR"/>
        </w:rPr>
        <w:t>               </w:t>
      </w:r>
    </w:p>
    <w:p w:rsidR="002D1DDE" w:rsidRPr="00590C09" w:rsidRDefault="002D1DDE" w:rsidP="00622F23">
      <w:pPr>
        <w:shd w:val="clear" w:color="auto" w:fill="FFFFFF"/>
        <w:spacing w:after="150" w:line="240" w:lineRule="auto"/>
        <w:rPr>
          <w:rFonts w:ascii="Helvetica" w:eastAsia="Times New Roman" w:hAnsi="Helvetica" w:cs="Helvetica"/>
          <w:color w:val="333333"/>
          <w:sz w:val="19"/>
          <w:szCs w:val="19"/>
          <w:lang w:eastAsia="tr-TR"/>
        </w:rPr>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lastRenderedPageBreak/>
        <w:t>İstatistik Danışma Kurulu:</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w:t>
      </w:r>
      <w:r>
        <w:rPr>
          <w:rFonts w:ascii="Helvetica" w:eastAsia="Times New Roman" w:hAnsi="Helvetica" w:cs="Helvetica"/>
          <w:color w:val="333333"/>
          <w:sz w:val="24"/>
          <w:szCs w:val="24"/>
          <w:lang w:eastAsia="tr-TR"/>
        </w:rPr>
        <w:t xml:space="preserve"> </w:t>
      </w:r>
      <w:r w:rsidRPr="00590C09">
        <w:rPr>
          <w:rFonts w:ascii="Helvetica" w:eastAsia="Times New Roman" w:hAnsi="Helvetica" w:cs="Helvetica"/>
          <w:color w:val="333333"/>
          <w:sz w:val="24"/>
          <w:szCs w:val="24"/>
          <w:lang w:eastAsia="tr-TR"/>
        </w:rPr>
        <w:t>Dr. Mustafa Necmi İlhan</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 Dr. F.Nur Aksakal</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 Dr. Sefer Aycan</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 Dr. Seçil Özkan</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Öğr. </w:t>
      </w:r>
      <w:proofErr w:type="gramStart"/>
      <w:r w:rsidRPr="00590C09">
        <w:rPr>
          <w:rFonts w:ascii="Helvetica" w:eastAsia="Times New Roman" w:hAnsi="Helvetica" w:cs="Helvetica"/>
          <w:color w:val="333333"/>
          <w:sz w:val="24"/>
          <w:szCs w:val="24"/>
          <w:lang w:eastAsia="tr-TR"/>
        </w:rPr>
        <w:t>Gör.Dr.</w:t>
      </w:r>
      <w:proofErr w:type="gramEnd"/>
      <w:r w:rsidRPr="00590C09">
        <w:rPr>
          <w:rFonts w:ascii="Helvetica" w:eastAsia="Times New Roman" w:hAnsi="Helvetica" w:cs="Helvetica"/>
          <w:color w:val="333333"/>
          <w:sz w:val="24"/>
          <w:szCs w:val="24"/>
          <w:lang w:eastAsia="tr-TR"/>
        </w:rPr>
        <w:t xml:space="preserve"> Asiye Uğraş Dikmen</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b/>
          <w:bCs/>
          <w:color w:val="333333"/>
          <w:sz w:val="24"/>
          <w:szCs w:val="24"/>
          <w:lang w:eastAsia="tr-TR"/>
        </w:rPr>
        <w:t>Bilimsel Danışma Kurulu:*</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Belgin Akın, Selçuk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Emine Aksoydan, Başkent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Gamze Akbulut,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Yasemin Akdevelioğlu,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Sultan Ayaz Alkaya,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Naime Altay,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Ahmet Ataş, İstanbul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Yeşim Bakar, Abant İzzet Baysal Üniversitesi Sağlık Yüksekokulu</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Selda Başar,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Naile Bilgili,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Saniye Bilici,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Meral Boşnak Güçlü,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Sıdıka Bulduk,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Hülya Bulut,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Nurcan Çalışkan,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Seyit Çıtaker,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Prof.Dr. Betül </w:t>
      </w:r>
      <w:proofErr w:type="gramStart"/>
      <w:r w:rsidRPr="00590C09">
        <w:rPr>
          <w:rFonts w:ascii="Helvetica" w:eastAsia="Times New Roman" w:hAnsi="Helvetica" w:cs="Helvetica"/>
          <w:color w:val="333333"/>
          <w:sz w:val="24"/>
          <w:szCs w:val="24"/>
          <w:lang w:eastAsia="tr-TR"/>
        </w:rPr>
        <w:t>Çiçek,Erciyes</w:t>
      </w:r>
      <w:proofErr w:type="gramEnd"/>
      <w:r w:rsidRPr="00590C09">
        <w:rPr>
          <w:rFonts w:ascii="Helvetica" w:eastAsia="Times New Roman" w:hAnsi="Helvetica" w:cs="Helvetica"/>
          <w:color w:val="333333"/>
          <w:sz w:val="24"/>
          <w:szCs w:val="24"/>
          <w:lang w:eastAsia="tr-TR"/>
        </w:rPr>
        <w:t xml:space="preserv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Ümran Dal Yılmaz, , Yakın Doğu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Arzu Dışkapan, Kırıkkale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Sevil Güler Demir,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Satı Demir,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Sergül Duygulu, Hacettepe Üniversitesi Hemşirelik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Dilek Ekici,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 Dr. Gamze Ekici, Hacettepe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lastRenderedPageBreak/>
        <w:t>Doç.Dr. Bülent Elbasan,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Ayfer Elçigil, Koç Üniversitesi Hemşirelik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Prof.Dr. Seyra </w:t>
      </w:r>
      <w:proofErr w:type="gramStart"/>
      <w:r w:rsidRPr="00590C09">
        <w:rPr>
          <w:rFonts w:ascii="Helvetica" w:eastAsia="Times New Roman" w:hAnsi="Helvetica" w:cs="Helvetica"/>
          <w:color w:val="333333"/>
          <w:sz w:val="24"/>
          <w:szCs w:val="24"/>
          <w:lang w:eastAsia="tr-TR"/>
        </w:rPr>
        <w:t>Erberk , Başkent</w:t>
      </w:r>
      <w:proofErr w:type="gramEnd"/>
      <w:r w:rsidRPr="00590C09">
        <w:rPr>
          <w:rFonts w:ascii="Helvetica" w:eastAsia="Times New Roman" w:hAnsi="Helvetica" w:cs="Helvetica"/>
          <w:color w:val="333333"/>
          <w:sz w:val="24"/>
          <w:szCs w:val="24"/>
          <w:lang w:eastAsia="tr-TR"/>
        </w:rPr>
        <w:t xml:space="preserv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Ayten Şentürk Erenel,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Aydan Genç, Hacettepe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Zehra Gölbaşı, Cumhuriyet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Hülya Gökmen Özel, Hacettepe Üniversitesi Sağlık Bilimleri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Nermin Gürhan,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Arzu Güçlü Gündüz,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Bülent  Gündüz,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Prof.Dr. Nevin </w:t>
      </w:r>
      <w:r>
        <w:rPr>
          <w:rFonts w:ascii="Helvetica" w:eastAsia="Times New Roman" w:hAnsi="Helvetica" w:cs="Helvetica"/>
          <w:color w:val="333333"/>
          <w:sz w:val="24"/>
          <w:szCs w:val="24"/>
          <w:lang w:eastAsia="tr-TR"/>
        </w:rPr>
        <w:t xml:space="preserve">Atalay </w:t>
      </w:r>
      <w:r w:rsidRPr="00590C09">
        <w:rPr>
          <w:rFonts w:ascii="Helvetica" w:eastAsia="Times New Roman" w:hAnsi="Helvetica" w:cs="Helvetica"/>
          <w:color w:val="333333"/>
          <w:sz w:val="24"/>
          <w:szCs w:val="24"/>
          <w:lang w:eastAsia="tr-TR"/>
        </w:rPr>
        <w:t>Güzel,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Nihan Kafa,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Efsun Karabudak,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Makbule Gezman Karadağ,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Mevlüde Karadağ,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Doç.Dr. Alev </w:t>
      </w:r>
      <w:proofErr w:type="gramStart"/>
      <w:r w:rsidRPr="00590C09">
        <w:rPr>
          <w:rFonts w:ascii="Helvetica" w:eastAsia="Times New Roman" w:hAnsi="Helvetica" w:cs="Helvetica"/>
          <w:color w:val="333333"/>
          <w:sz w:val="24"/>
          <w:szCs w:val="24"/>
          <w:lang w:eastAsia="tr-TR"/>
        </w:rPr>
        <w:t>Keser,Ankara</w:t>
      </w:r>
      <w:proofErr w:type="gramEnd"/>
      <w:r w:rsidRPr="00590C09">
        <w:rPr>
          <w:rFonts w:ascii="Helvetica" w:eastAsia="Times New Roman" w:hAnsi="Helvetica" w:cs="Helvetica"/>
          <w:color w:val="333333"/>
          <w:sz w:val="24"/>
          <w:szCs w:val="24"/>
          <w:lang w:eastAsia="tr-TR"/>
        </w:rPr>
        <w:t xml:space="preserv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İlke Keser,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 xml:space="preserve">Doç.Dr. Günay </w:t>
      </w:r>
      <w:proofErr w:type="gramStart"/>
      <w:r w:rsidRPr="00590C09">
        <w:rPr>
          <w:rFonts w:ascii="Helvetica" w:eastAsia="Times New Roman" w:hAnsi="Helvetica" w:cs="Helvetica"/>
          <w:color w:val="333333"/>
          <w:sz w:val="24"/>
          <w:szCs w:val="24"/>
          <w:lang w:eastAsia="tr-TR"/>
        </w:rPr>
        <w:t>Kırkım , Dokuz</w:t>
      </w:r>
      <w:proofErr w:type="gramEnd"/>
      <w:r w:rsidRPr="00590C09">
        <w:rPr>
          <w:rFonts w:ascii="Helvetica" w:eastAsia="Times New Roman" w:hAnsi="Helvetica" w:cs="Helvetica"/>
          <w:color w:val="333333"/>
          <w:sz w:val="24"/>
          <w:szCs w:val="24"/>
          <w:lang w:eastAsia="tr-TR"/>
        </w:rPr>
        <w:t xml:space="preserve"> Eylül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Yeter Kitiş,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Eda Köksal,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Y.Doç.Dr. Sevinç Kutlutürkan,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Deran Oskay,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Emel Selma Özer, Bilgi Üniversitesi Sağlık Bilimleri Yüksek Okulu</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Ülkü Görgülü Polat,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Adviye Gülçin Sağdıçoğlu,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Sultan Taşcı, Erciyes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Nilüfer Tek,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Ebru Törüner,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Didem Türkyılmaz, Hacettepe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Songül Atasavun Uysal, Hacettepe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Şengül Yaman,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Doç.Dr. Hilal Yıldıran, Gazi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sidRPr="00590C09">
        <w:rPr>
          <w:rFonts w:ascii="Helvetica" w:eastAsia="Times New Roman" w:hAnsi="Helvetica" w:cs="Helvetica"/>
          <w:color w:val="333333"/>
          <w:sz w:val="24"/>
          <w:szCs w:val="24"/>
          <w:lang w:eastAsia="tr-TR"/>
        </w:rPr>
        <w:t>Prof.Dr. Necmiye Ün Yıldıran, Yıldırım Beyazıt Üniversitesi Sağlık Bilimleri Fakültesi</w:t>
      </w: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r>
        <w:rPr>
          <w:rFonts w:ascii="Helvetica" w:eastAsia="Times New Roman" w:hAnsi="Helvetica" w:cs="Helvetica"/>
          <w:b/>
          <w:bCs/>
          <w:color w:val="333333"/>
          <w:sz w:val="24"/>
          <w:szCs w:val="24"/>
          <w:lang w:eastAsia="tr-TR"/>
        </w:rPr>
        <w:lastRenderedPageBreak/>
        <w:t>Bu Sayıda Katkı Veren Hakemler</w:t>
      </w:r>
      <w:r w:rsidRPr="00590C09">
        <w:rPr>
          <w:rFonts w:ascii="Helvetica" w:eastAsia="Times New Roman" w:hAnsi="Helvetica" w:cs="Helvetica"/>
          <w:b/>
          <w:bCs/>
          <w:color w:val="333333"/>
          <w:sz w:val="24"/>
          <w:szCs w:val="24"/>
          <w:lang w:eastAsia="tr-TR"/>
        </w:rPr>
        <w:t>:*</w:t>
      </w: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 xml:space="preserve">Prof. Dr. </w:t>
      </w:r>
      <w:r w:rsidRPr="00590C09">
        <w:rPr>
          <w:rFonts w:ascii="Helvetica" w:eastAsia="Times New Roman" w:hAnsi="Helvetica" w:cs="Helvetica"/>
          <w:bCs/>
          <w:color w:val="333333"/>
          <w:sz w:val="20"/>
          <w:szCs w:val="20"/>
          <w:lang w:eastAsia="tr-TR"/>
        </w:rPr>
        <w:t>Türkan AKBAYRAK</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Yasemin AKDEVELİOĞLU</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Hülya BULUT</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Dilek EKİCİ</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Makbule GEZMEN</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Nermin GÜRHAN</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Prof. Dr. Nevin ATALAY GÜZEL</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Serap KAYA</w:t>
      </w:r>
    </w:p>
    <w:p w:rsidR="00622F23"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Doç. Dr. Şengül YAMAN</w:t>
      </w:r>
    </w:p>
    <w:p w:rsidR="00622F23" w:rsidRPr="00590C09" w:rsidRDefault="00622F23" w:rsidP="00622F23">
      <w:pPr>
        <w:shd w:val="clear" w:color="auto" w:fill="FFFFFF"/>
        <w:spacing w:after="150" w:line="240" w:lineRule="auto"/>
        <w:rPr>
          <w:rFonts w:ascii="Helvetica" w:eastAsia="Times New Roman" w:hAnsi="Helvetica" w:cs="Helvetica"/>
          <w:bCs/>
          <w:color w:val="333333"/>
          <w:sz w:val="20"/>
          <w:szCs w:val="20"/>
          <w:lang w:eastAsia="tr-TR"/>
        </w:rPr>
      </w:pPr>
      <w:r>
        <w:rPr>
          <w:rFonts w:ascii="Helvetica" w:eastAsia="Times New Roman" w:hAnsi="Helvetica" w:cs="Helvetica"/>
          <w:bCs/>
          <w:color w:val="333333"/>
          <w:sz w:val="20"/>
          <w:szCs w:val="20"/>
          <w:lang w:eastAsia="tr-TR"/>
        </w:rPr>
        <w:t>Öğr. Gör. Dr. Emine YASSIBAŞ</w:t>
      </w: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p>
    <w:p w:rsidR="00622F23" w:rsidRDefault="00622F23" w:rsidP="00622F23">
      <w:pPr>
        <w:shd w:val="clear" w:color="auto" w:fill="FFFFFF"/>
        <w:spacing w:after="150" w:line="240" w:lineRule="auto"/>
        <w:rPr>
          <w:rFonts w:ascii="Helvetica" w:eastAsia="Times New Roman" w:hAnsi="Helvetica" w:cs="Helvetica"/>
          <w:b/>
          <w:bCs/>
          <w:color w:val="333333"/>
          <w:sz w:val="20"/>
          <w:szCs w:val="20"/>
          <w:lang w:eastAsia="tr-TR"/>
        </w:rPr>
      </w:pPr>
      <w:r w:rsidRPr="00590C09">
        <w:rPr>
          <w:rFonts w:ascii="Helvetica" w:eastAsia="Times New Roman" w:hAnsi="Helvetica" w:cs="Helvetica"/>
          <w:b/>
          <w:bCs/>
          <w:color w:val="333333"/>
          <w:sz w:val="20"/>
          <w:szCs w:val="20"/>
          <w:lang w:eastAsia="tr-TR"/>
        </w:rPr>
        <w:t>*Sıralama soyadına göre alfabetik olarak yapılmıştır. </w:t>
      </w:r>
    </w:p>
    <w:p w:rsidR="00622F23" w:rsidRDefault="00622F23" w:rsidP="00622F23">
      <w:pPr>
        <w:shd w:val="clear" w:color="auto" w:fill="FFFFFF"/>
        <w:spacing w:after="150" w:line="240" w:lineRule="auto"/>
        <w:rPr>
          <w:rFonts w:ascii="Helvetica" w:eastAsia="Times New Roman" w:hAnsi="Helvetica" w:cs="Helvetica"/>
          <w:color w:val="333333"/>
          <w:sz w:val="19"/>
          <w:szCs w:val="19"/>
          <w:lang w:eastAsia="tr-TR"/>
        </w:rPr>
        <w:sectPr w:rsidR="00622F23" w:rsidSect="009B725B">
          <w:pgSz w:w="11906" w:h="16838"/>
          <w:pgMar w:top="1417" w:right="1417" w:bottom="1417" w:left="1417" w:header="708" w:footer="708" w:gutter="0"/>
          <w:cols w:space="708"/>
          <w:docGrid w:linePitch="360"/>
        </w:sectPr>
      </w:pPr>
    </w:p>
    <w:p w:rsidR="00622F23" w:rsidRPr="00605732" w:rsidRDefault="00622F23" w:rsidP="00622F23">
      <w:pPr>
        <w:pStyle w:val="Default"/>
        <w:spacing w:line="480" w:lineRule="auto"/>
        <w:jc w:val="both"/>
        <w:rPr>
          <w:b/>
        </w:rPr>
      </w:pPr>
    </w:p>
    <w:p w:rsidR="00622F23" w:rsidRPr="00605732" w:rsidRDefault="00622F23" w:rsidP="00622F23">
      <w:pPr>
        <w:autoSpaceDE w:val="0"/>
        <w:autoSpaceDN w:val="0"/>
        <w:adjustRightInd w:val="0"/>
        <w:spacing w:after="0" w:line="480" w:lineRule="auto"/>
        <w:jc w:val="center"/>
        <w:rPr>
          <w:rFonts w:ascii="Times New Roman" w:hAnsi="Times New Roman"/>
          <w:b/>
          <w:caps/>
          <w:color w:val="000000"/>
          <w:sz w:val="24"/>
          <w:szCs w:val="24"/>
        </w:rPr>
      </w:pPr>
      <w:r w:rsidRPr="00605732">
        <w:rPr>
          <w:rFonts w:ascii="Times New Roman" w:hAnsi="Times New Roman"/>
          <w:b/>
          <w:caps/>
          <w:color w:val="000000"/>
          <w:sz w:val="24"/>
          <w:szCs w:val="24"/>
        </w:rPr>
        <w:t>Bebek gıdalarında aflatoks</w:t>
      </w:r>
      <w:r>
        <w:rPr>
          <w:rFonts w:ascii="Times New Roman" w:hAnsi="Times New Roman"/>
          <w:b/>
          <w:caps/>
          <w:color w:val="000000"/>
          <w:sz w:val="24"/>
          <w:szCs w:val="24"/>
        </w:rPr>
        <w:t>İ</w:t>
      </w:r>
      <w:r w:rsidRPr="00605732">
        <w:rPr>
          <w:rFonts w:ascii="Times New Roman" w:hAnsi="Times New Roman"/>
          <w:b/>
          <w:caps/>
          <w:color w:val="000000"/>
          <w:sz w:val="24"/>
          <w:szCs w:val="24"/>
        </w:rPr>
        <w:t>n varlığının önemi</w:t>
      </w:r>
    </w:p>
    <w:p w:rsidR="00622F23" w:rsidRPr="00605732" w:rsidRDefault="00622F23" w:rsidP="00622F23">
      <w:pPr>
        <w:autoSpaceDE w:val="0"/>
        <w:autoSpaceDN w:val="0"/>
        <w:adjustRightInd w:val="0"/>
        <w:spacing w:after="0" w:line="480" w:lineRule="auto"/>
        <w:jc w:val="center"/>
        <w:rPr>
          <w:rFonts w:ascii="Times New Roman" w:hAnsi="Times New Roman"/>
          <w:b/>
          <w:color w:val="000000"/>
          <w:sz w:val="24"/>
          <w:szCs w:val="24"/>
        </w:rPr>
      </w:pPr>
      <w:r w:rsidRPr="00605732">
        <w:rPr>
          <w:rFonts w:ascii="Times New Roman" w:hAnsi="Times New Roman"/>
          <w:b/>
          <w:noProof/>
          <w:color w:val="000000"/>
          <w:sz w:val="24"/>
          <w:szCs w:val="24"/>
        </w:rPr>
        <w:t>Buket</w:t>
      </w:r>
      <w:r w:rsidRPr="00605732">
        <w:rPr>
          <w:rFonts w:ascii="Times New Roman" w:hAnsi="Times New Roman"/>
          <w:b/>
          <w:color w:val="000000"/>
          <w:sz w:val="24"/>
          <w:szCs w:val="24"/>
        </w:rPr>
        <w:t xml:space="preserve"> ER DEMİRHAN</w:t>
      </w:r>
      <w:r w:rsidRPr="00BD23B2">
        <w:rPr>
          <w:rFonts w:ascii="Times New Roman" w:hAnsi="Times New Roman"/>
          <w:b/>
          <w:color w:val="000000"/>
          <w:sz w:val="24"/>
          <w:szCs w:val="24"/>
          <w:vertAlign w:val="superscript"/>
        </w:rPr>
        <w:t>1</w:t>
      </w:r>
      <w:r w:rsidRPr="00605732">
        <w:rPr>
          <w:rFonts w:ascii="Times New Roman" w:hAnsi="Times New Roman"/>
          <w:b/>
          <w:color w:val="000000"/>
          <w:sz w:val="24"/>
          <w:szCs w:val="24"/>
        </w:rPr>
        <w:t>, Burak DEMİRHAN</w:t>
      </w:r>
      <w:r w:rsidRPr="00BD23B2">
        <w:rPr>
          <w:rFonts w:ascii="Times New Roman" w:hAnsi="Times New Roman"/>
          <w:b/>
          <w:color w:val="000000"/>
          <w:sz w:val="24"/>
          <w:szCs w:val="24"/>
          <w:vertAlign w:val="superscript"/>
        </w:rPr>
        <w:t>1</w:t>
      </w:r>
      <w:r w:rsidRPr="00605732">
        <w:rPr>
          <w:rFonts w:ascii="Times New Roman" w:hAnsi="Times New Roman"/>
          <w:b/>
          <w:color w:val="000000"/>
          <w:sz w:val="24"/>
          <w:szCs w:val="24"/>
        </w:rPr>
        <w:t>, Gülderen YENTÜR</w:t>
      </w:r>
      <w:r w:rsidRPr="00BD23B2">
        <w:rPr>
          <w:rFonts w:ascii="Times New Roman" w:hAnsi="Times New Roman"/>
          <w:b/>
          <w:color w:val="000000"/>
          <w:sz w:val="24"/>
          <w:szCs w:val="24"/>
          <w:vertAlign w:val="superscript"/>
        </w:rPr>
        <w:t>1</w:t>
      </w:r>
    </w:p>
    <w:p w:rsidR="00622F23" w:rsidRPr="00BD23B2" w:rsidRDefault="00622F23" w:rsidP="00622F23">
      <w:pPr>
        <w:spacing w:after="0" w:line="480" w:lineRule="auto"/>
        <w:jc w:val="center"/>
        <w:rPr>
          <w:rFonts w:ascii="Times New Roman" w:hAnsi="Times New Roman"/>
          <w:i/>
          <w:color w:val="000000"/>
          <w:sz w:val="20"/>
          <w:szCs w:val="20"/>
        </w:rPr>
      </w:pPr>
      <w:r w:rsidRPr="00BD23B2">
        <w:rPr>
          <w:rFonts w:ascii="Times New Roman" w:hAnsi="Times New Roman"/>
          <w:i/>
          <w:color w:val="000000"/>
          <w:sz w:val="20"/>
          <w:szCs w:val="20"/>
          <w:vertAlign w:val="superscript"/>
        </w:rPr>
        <w:t>1</w:t>
      </w:r>
      <w:r w:rsidRPr="00BD23B2">
        <w:rPr>
          <w:rFonts w:ascii="Times New Roman" w:hAnsi="Times New Roman"/>
          <w:i/>
          <w:color w:val="000000"/>
          <w:sz w:val="20"/>
          <w:szCs w:val="20"/>
        </w:rPr>
        <w:t>Gazi Universitesi, Eczacılık Fakültesi, Eczacılık Temel Bilimleri Anabilim Dalı, Ankara</w:t>
      </w:r>
    </w:p>
    <w:p w:rsidR="00622F23" w:rsidRPr="00BD23B2" w:rsidRDefault="00622F23" w:rsidP="00622F23">
      <w:pPr>
        <w:autoSpaceDE w:val="0"/>
        <w:autoSpaceDN w:val="0"/>
        <w:adjustRightInd w:val="0"/>
        <w:spacing w:after="0" w:line="240" w:lineRule="auto"/>
        <w:jc w:val="center"/>
        <w:rPr>
          <w:rFonts w:ascii="Times New Roman" w:hAnsi="Times New Roman"/>
          <w:b/>
          <w:caps/>
          <w:color w:val="000000"/>
          <w:sz w:val="20"/>
          <w:szCs w:val="20"/>
        </w:rPr>
      </w:pPr>
      <w:r w:rsidRPr="00BD23B2">
        <w:rPr>
          <w:rFonts w:ascii="Times New Roman" w:hAnsi="Times New Roman"/>
          <w:b/>
          <w:caps/>
          <w:color w:val="000000"/>
          <w:sz w:val="20"/>
          <w:szCs w:val="20"/>
        </w:rPr>
        <w:t>Özet</w:t>
      </w:r>
    </w:p>
    <w:p w:rsidR="00622F23" w:rsidRPr="00BD23B2" w:rsidRDefault="00622F23" w:rsidP="00622F23">
      <w:pPr>
        <w:autoSpaceDE w:val="0"/>
        <w:autoSpaceDN w:val="0"/>
        <w:adjustRightInd w:val="0"/>
        <w:spacing w:after="0" w:line="240" w:lineRule="auto"/>
        <w:jc w:val="both"/>
        <w:rPr>
          <w:rFonts w:ascii="Times New Roman" w:hAnsi="Times New Roman"/>
          <w:color w:val="000000"/>
          <w:sz w:val="20"/>
          <w:szCs w:val="20"/>
        </w:rPr>
      </w:pPr>
      <w:r w:rsidRPr="00BD23B2">
        <w:rPr>
          <w:rFonts w:ascii="Times New Roman" w:hAnsi="Times New Roman"/>
          <w:color w:val="000000"/>
          <w:sz w:val="20"/>
          <w:szCs w:val="20"/>
        </w:rPr>
        <w:t xml:space="preserve">Bebekler fizyolojileri, oldukça sınırlı diyetleri ve vücut ağırlıklarına oranla yüksek tüketimleri nedeniyle </w:t>
      </w:r>
      <w:proofErr w:type="gramStart"/>
      <w:r w:rsidRPr="00BD23B2">
        <w:rPr>
          <w:rFonts w:ascii="Times New Roman" w:hAnsi="Times New Roman"/>
          <w:color w:val="000000"/>
          <w:sz w:val="20"/>
          <w:szCs w:val="20"/>
        </w:rPr>
        <w:t>popülasyonun</w:t>
      </w:r>
      <w:proofErr w:type="gramEnd"/>
      <w:r w:rsidRPr="00BD23B2">
        <w:rPr>
          <w:rFonts w:ascii="Times New Roman" w:hAnsi="Times New Roman"/>
          <w:color w:val="000000"/>
          <w:sz w:val="20"/>
          <w:szCs w:val="20"/>
        </w:rPr>
        <w:t xml:space="preserve"> duyarlı bireylerini oluşturmaktadırlar. Bu nedenle, bebekler tarafından tüketilen gıdalardaki herhangi bir kontaminantın sağlık riski ve önemi artış göstermektedir. Süt bebekler ve çocuklar için çok önemli bir besin maddesidir. Tahıllar da çocukların diyetinde sadece katı olarak tükettikleri ilk gıdalar olmayıp aynı zamanda besin elementlerinin önemli bir kaynağını oluşturmaktadır. </w:t>
      </w:r>
      <w:r w:rsidRPr="00BD23B2">
        <w:rPr>
          <w:rFonts w:ascii="Times New Roman" w:eastAsia="MyriadPro-Regular" w:hAnsi="Times New Roman"/>
          <w:color w:val="000000"/>
          <w:sz w:val="20"/>
          <w:szCs w:val="20"/>
        </w:rPr>
        <w:t xml:space="preserve">Bebek gıdaları zararlı mikrobiyal metabolitler ve kimyasal bileşikler ile kontamine olabilmektedir ve bu kontaminasyon çocuk sağlığında ciddi </w:t>
      </w:r>
      <w:proofErr w:type="gramStart"/>
      <w:r w:rsidRPr="00BD23B2">
        <w:rPr>
          <w:rFonts w:ascii="Times New Roman" w:eastAsia="MyriadPro-Regular" w:hAnsi="Times New Roman"/>
          <w:color w:val="000000"/>
          <w:sz w:val="20"/>
          <w:szCs w:val="20"/>
        </w:rPr>
        <w:t>komplikasyonlara</w:t>
      </w:r>
      <w:proofErr w:type="gramEnd"/>
      <w:r w:rsidRPr="00BD23B2">
        <w:rPr>
          <w:rFonts w:ascii="Times New Roman" w:eastAsia="MyriadPro-Regular" w:hAnsi="Times New Roman"/>
          <w:color w:val="000000"/>
          <w:sz w:val="20"/>
          <w:szCs w:val="20"/>
        </w:rPr>
        <w:t xml:space="preserve"> neden olabilmektedir. </w:t>
      </w:r>
      <w:r w:rsidRPr="00BD23B2">
        <w:rPr>
          <w:rFonts w:ascii="Times New Roman" w:hAnsi="Times New Roman"/>
          <w:color w:val="000000"/>
          <w:sz w:val="20"/>
          <w:szCs w:val="20"/>
        </w:rPr>
        <w:t>İnsan diyetinde özellikle bebekler gibi savunmasız bireylerin diyetinde kimyasal kontaminantların varlığı önemli bir durumdur. Mikotoksinlerin en önemli sınıfı meydana gelişi ve toksisitesi ile ilişkili olarak aflatoksinlerdir. İnsan ve hayvanlar için aflatoksin türlerinin ana kaynağı diyettir. Gıda maddeleri aflatoksin ile gıdanın gelişmesi, hasatı ve muhafazası aşamalarında kontamine olabilmektedir. Aflatoksin türleri mutajenik, karsinojenik ve teratojenik bileşikler olarak bilinmektedir. Bu nedenle, aflatoksin bulaşan miktarları yasal mevzuatlarla sınırlandırılmıştır. Bu derlemede, önemli toksik etkilere sahip olan aflatoksinlerin bebek gıdalarında varlığı, maruziyeti, toksik etkileri ve yasal düzenlemeleri hakkında bilgi verilmiştir.</w:t>
      </w:r>
    </w:p>
    <w:p w:rsidR="00622F23" w:rsidRDefault="00622F23" w:rsidP="00622F23">
      <w:pPr>
        <w:autoSpaceDE w:val="0"/>
        <w:autoSpaceDN w:val="0"/>
        <w:adjustRightInd w:val="0"/>
        <w:spacing w:after="0" w:line="240" w:lineRule="auto"/>
        <w:jc w:val="both"/>
        <w:rPr>
          <w:rFonts w:ascii="Times New Roman" w:hAnsi="Times New Roman"/>
          <w:b/>
          <w:color w:val="000000"/>
          <w:sz w:val="20"/>
          <w:szCs w:val="20"/>
        </w:rPr>
      </w:pPr>
    </w:p>
    <w:p w:rsidR="00622F23" w:rsidRPr="00BD23B2" w:rsidRDefault="00622F23" w:rsidP="00622F23">
      <w:pPr>
        <w:autoSpaceDE w:val="0"/>
        <w:autoSpaceDN w:val="0"/>
        <w:adjustRightInd w:val="0"/>
        <w:spacing w:after="0" w:line="240" w:lineRule="auto"/>
        <w:jc w:val="both"/>
        <w:rPr>
          <w:rFonts w:ascii="Times New Roman" w:hAnsi="Times New Roman"/>
          <w:color w:val="000000"/>
          <w:sz w:val="20"/>
          <w:szCs w:val="20"/>
        </w:rPr>
      </w:pPr>
      <w:r w:rsidRPr="00BD23B2">
        <w:rPr>
          <w:rFonts w:ascii="Times New Roman" w:hAnsi="Times New Roman"/>
          <w:b/>
          <w:color w:val="000000"/>
          <w:sz w:val="20"/>
          <w:szCs w:val="20"/>
        </w:rPr>
        <w:t>Anahtar Kelimeler:</w:t>
      </w:r>
      <w:r w:rsidRPr="00BD23B2">
        <w:rPr>
          <w:rFonts w:ascii="Times New Roman" w:hAnsi="Times New Roman"/>
          <w:color w:val="000000"/>
          <w:sz w:val="20"/>
          <w:szCs w:val="20"/>
        </w:rPr>
        <w:t xml:space="preserve"> </w:t>
      </w:r>
      <w:r w:rsidRPr="00BD23B2">
        <w:rPr>
          <w:rFonts w:ascii="Times New Roman" w:hAnsi="Times New Roman"/>
          <w:noProof/>
          <w:color w:val="000000"/>
          <w:sz w:val="20"/>
          <w:szCs w:val="20"/>
        </w:rPr>
        <w:t>Aflatoksin</w:t>
      </w:r>
      <w:r w:rsidRPr="00BD23B2">
        <w:rPr>
          <w:rFonts w:ascii="Times New Roman" w:hAnsi="Times New Roman"/>
          <w:color w:val="000000"/>
          <w:sz w:val="20"/>
          <w:szCs w:val="20"/>
        </w:rPr>
        <w:t xml:space="preserve">, </w:t>
      </w:r>
      <w:r w:rsidRPr="00BD23B2">
        <w:rPr>
          <w:rFonts w:ascii="Times New Roman" w:hAnsi="Times New Roman"/>
          <w:noProof/>
          <w:color w:val="000000"/>
          <w:sz w:val="20"/>
          <w:szCs w:val="20"/>
        </w:rPr>
        <w:t>bebek</w:t>
      </w:r>
      <w:r w:rsidRPr="00BD23B2">
        <w:rPr>
          <w:rFonts w:ascii="Times New Roman" w:hAnsi="Times New Roman"/>
          <w:color w:val="000000"/>
          <w:sz w:val="20"/>
          <w:szCs w:val="20"/>
        </w:rPr>
        <w:t xml:space="preserve">, gıda, </w:t>
      </w:r>
      <w:r w:rsidRPr="00BD23B2">
        <w:rPr>
          <w:rFonts w:ascii="Times New Roman" w:hAnsi="Times New Roman"/>
          <w:noProof/>
          <w:color w:val="000000"/>
          <w:sz w:val="20"/>
          <w:szCs w:val="20"/>
        </w:rPr>
        <w:t>beslenme, karsinojen</w:t>
      </w:r>
      <w:r w:rsidRPr="00BD23B2">
        <w:rPr>
          <w:rFonts w:ascii="Times New Roman" w:hAnsi="Times New Roman"/>
          <w:color w:val="000000"/>
          <w:sz w:val="20"/>
          <w:szCs w:val="20"/>
        </w:rPr>
        <w:t>.</w:t>
      </w:r>
    </w:p>
    <w:p w:rsidR="00622F23" w:rsidRDefault="00622F23" w:rsidP="00622F23">
      <w:pPr>
        <w:autoSpaceDE w:val="0"/>
        <w:autoSpaceDN w:val="0"/>
        <w:adjustRightInd w:val="0"/>
        <w:spacing w:after="0" w:line="480" w:lineRule="auto"/>
        <w:jc w:val="center"/>
        <w:rPr>
          <w:rFonts w:ascii="Times New Roman" w:hAnsi="Times New Roman"/>
          <w:b/>
          <w:caps/>
          <w:color w:val="000000"/>
          <w:sz w:val="24"/>
          <w:szCs w:val="24"/>
        </w:rPr>
      </w:pPr>
    </w:p>
    <w:p w:rsidR="00622F23" w:rsidRPr="00605732" w:rsidRDefault="00622F23" w:rsidP="00622F23">
      <w:pPr>
        <w:autoSpaceDE w:val="0"/>
        <w:autoSpaceDN w:val="0"/>
        <w:adjustRightInd w:val="0"/>
        <w:spacing w:after="0" w:line="480" w:lineRule="auto"/>
        <w:jc w:val="center"/>
        <w:rPr>
          <w:rFonts w:ascii="Times New Roman" w:hAnsi="Times New Roman"/>
          <w:b/>
          <w:caps/>
          <w:color w:val="000000"/>
          <w:sz w:val="24"/>
          <w:szCs w:val="24"/>
        </w:rPr>
      </w:pPr>
      <w:r w:rsidRPr="00605732">
        <w:rPr>
          <w:rFonts w:ascii="Times New Roman" w:hAnsi="Times New Roman"/>
          <w:b/>
          <w:caps/>
          <w:color w:val="000000"/>
          <w:sz w:val="24"/>
          <w:szCs w:val="24"/>
        </w:rPr>
        <w:t>Importance of aflatoxıns presence ın Baby Foods</w:t>
      </w:r>
    </w:p>
    <w:p w:rsidR="00622F23" w:rsidRPr="00BD23B2" w:rsidRDefault="00622F23" w:rsidP="00622F23">
      <w:pPr>
        <w:autoSpaceDE w:val="0"/>
        <w:autoSpaceDN w:val="0"/>
        <w:adjustRightInd w:val="0"/>
        <w:spacing w:after="0" w:line="240" w:lineRule="auto"/>
        <w:jc w:val="center"/>
        <w:rPr>
          <w:rFonts w:ascii="Times New Roman" w:hAnsi="Times New Roman"/>
          <w:b/>
          <w:caps/>
          <w:color w:val="000000"/>
          <w:sz w:val="20"/>
          <w:szCs w:val="20"/>
        </w:rPr>
      </w:pPr>
      <w:r w:rsidRPr="00BD23B2">
        <w:rPr>
          <w:rFonts w:ascii="Times New Roman" w:hAnsi="Times New Roman"/>
          <w:b/>
          <w:caps/>
          <w:color w:val="000000"/>
          <w:sz w:val="20"/>
          <w:szCs w:val="20"/>
        </w:rPr>
        <w:t>Abstract</w:t>
      </w:r>
    </w:p>
    <w:p w:rsidR="00622F23" w:rsidRPr="00BD23B2" w:rsidRDefault="00622F23" w:rsidP="00622F23">
      <w:pPr>
        <w:autoSpaceDE w:val="0"/>
        <w:autoSpaceDN w:val="0"/>
        <w:adjustRightInd w:val="0"/>
        <w:spacing w:after="0" w:line="240" w:lineRule="auto"/>
        <w:jc w:val="both"/>
        <w:rPr>
          <w:rFonts w:ascii="Times New Roman" w:hAnsi="Times New Roman"/>
          <w:color w:val="000000"/>
          <w:sz w:val="20"/>
          <w:szCs w:val="20"/>
        </w:rPr>
      </w:pPr>
      <w:r w:rsidRPr="00BD23B2">
        <w:rPr>
          <w:rFonts w:ascii="Times New Roman" w:hAnsi="Times New Roman"/>
          <w:color w:val="000000"/>
          <w:sz w:val="20"/>
          <w:szCs w:val="20"/>
        </w:rPr>
        <w:t xml:space="preserve">Infants are the </w:t>
      </w:r>
      <w:r w:rsidRPr="00BD23B2">
        <w:rPr>
          <w:rFonts w:ascii="Times New Roman" w:hAnsi="Times New Roman"/>
          <w:noProof/>
          <w:color w:val="000000"/>
          <w:sz w:val="20"/>
          <w:szCs w:val="20"/>
        </w:rPr>
        <w:t>susceptible</w:t>
      </w:r>
      <w:r w:rsidRPr="00BD23B2">
        <w:rPr>
          <w:rFonts w:ascii="Times New Roman" w:hAnsi="Times New Roman"/>
          <w:color w:val="000000"/>
          <w:sz w:val="20"/>
          <w:szCs w:val="20"/>
        </w:rPr>
        <w:t xml:space="preserve"> individuals of the population in consequence of their physiology, fairly restricted diets and higher consumption rates in comparison with their body weight. Therefore, </w:t>
      </w:r>
      <w:r w:rsidRPr="00BD23B2">
        <w:rPr>
          <w:rFonts w:ascii="Times New Roman" w:hAnsi="Times New Roman"/>
          <w:noProof/>
          <w:color w:val="000000"/>
          <w:sz w:val="20"/>
          <w:szCs w:val="20"/>
        </w:rPr>
        <w:t>health</w:t>
      </w:r>
      <w:r w:rsidRPr="00BD23B2">
        <w:rPr>
          <w:rFonts w:ascii="Times New Roman" w:hAnsi="Times New Roman"/>
          <w:color w:val="000000"/>
          <w:sz w:val="20"/>
          <w:szCs w:val="20"/>
        </w:rPr>
        <w:t xml:space="preserve"> risk and importance of</w:t>
      </w:r>
      <w:r w:rsidRPr="00BD23B2">
        <w:rPr>
          <w:rFonts w:ascii="Times New Roman" w:hAnsi="Times New Roman"/>
          <w:noProof/>
          <w:color w:val="000000"/>
          <w:sz w:val="20"/>
          <w:szCs w:val="20"/>
        </w:rPr>
        <w:t xml:space="preserve"> any</w:t>
      </w:r>
      <w:r w:rsidRPr="00BD23B2">
        <w:rPr>
          <w:rFonts w:ascii="Times New Roman" w:hAnsi="Times New Roman"/>
          <w:color w:val="000000"/>
          <w:sz w:val="20"/>
          <w:szCs w:val="20"/>
        </w:rPr>
        <w:t xml:space="preserve"> contaminant in the foods which are consumed by infants are increasing. Milk is an important </w:t>
      </w:r>
      <w:r w:rsidRPr="00BD23B2">
        <w:rPr>
          <w:rFonts w:ascii="Times New Roman" w:hAnsi="Times New Roman"/>
          <w:noProof/>
          <w:color w:val="000000"/>
          <w:sz w:val="20"/>
          <w:szCs w:val="20"/>
        </w:rPr>
        <w:t>nutrient</w:t>
      </w:r>
      <w:r w:rsidRPr="00BD23B2">
        <w:rPr>
          <w:rFonts w:ascii="Times New Roman" w:hAnsi="Times New Roman"/>
          <w:color w:val="000000"/>
          <w:sz w:val="20"/>
          <w:szCs w:val="20"/>
        </w:rPr>
        <w:t xml:space="preserve"> for the infants and children. Cereals are not only the first solid foods consumed in the </w:t>
      </w:r>
      <w:r w:rsidRPr="00BD23B2">
        <w:rPr>
          <w:rFonts w:ascii="Times New Roman" w:hAnsi="Times New Roman"/>
          <w:noProof/>
          <w:color w:val="000000"/>
          <w:sz w:val="20"/>
          <w:szCs w:val="20"/>
        </w:rPr>
        <w:t>infant's</w:t>
      </w:r>
      <w:r w:rsidRPr="00BD23B2">
        <w:rPr>
          <w:rFonts w:ascii="Times New Roman" w:hAnsi="Times New Roman"/>
          <w:color w:val="000000"/>
          <w:sz w:val="20"/>
          <w:szCs w:val="20"/>
        </w:rPr>
        <w:t xml:space="preserve"> diets but also are the major source of the nutrients. </w:t>
      </w:r>
      <w:r w:rsidRPr="00BD23B2">
        <w:rPr>
          <w:rFonts w:ascii="Times New Roman" w:eastAsia="MyriadPro-Regular" w:hAnsi="Times New Roman"/>
          <w:color w:val="000000"/>
          <w:sz w:val="20"/>
          <w:szCs w:val="20"/>
        </w:rPr>
        <w:t xml:space="preserve">Infant foods could be contaminated with harmful microbial metabolite and chemical compounds, and this contamination may </w:t>
      </w:r>
      <w:r w:rsidRPr="00BD23B2">
        <w:rPr>
          <w:rFonts w:ascii="Times New Roman" w:eastAsia="MyriadPro-Regular" w:hAnsi="Times New Roman"/>
          <w:noProof/>
          <w:color w:val="000000"/>
          <w:sz w:val="20"/>
          <w:szCs w:val="20"/>
        </w:rPr>
        <w:t>cause</w:t>
      </w:r>
      <w:r w:rsidRPr="00BD23B2">
        <w:rPr>
          <w:rFonts w:ascii="Times New Roman" w:eastAsia="MyriadPro-Regular" w:hAnsi="Times New Roman"/>
          <w:color w:val="000000"/>
          <w:sz w:val="20"/>
          <w:szCs w:val="20"/>
        </w:rPr>
        <w:t xml:space="preserve"> serious complications in the infant health.</w:t>
      </w:r>
      <w:r w:rsidRPr="00BD23B2">
        <w:rPr>
          <w:rFonts w:ascii="Times New Roman" w:hAnsi="Times New Roman"/>
          <w:color w:val="000000"/>
          <w:sz w:val="20"/>
          <w:szCs w:val="20"/>
        </w:rPr>
        <w:t xml:space="preserve"> </w:t>
      </w:r>
      <w:r w:rsidRPr="00BD23B2">
        <w:rPr>
          <w:rFonts w:ascii="Times New Roman" w:hAnsi="Times New Roman"/>
          <w:noProof/>
          <w:color w:val="000000"/>
          <w:sz w:val="20"/>
          <w:szCs w:val="20"/>
        </w:rPr>
        <w:t>The presence</w:t>
      </w:r>
      <w:r w:rsidRPr="00BD23B2">
        <w:rPr>
          <w:rFonts w:ascii="Times New Roman" w:hAnsi="Times New Roman"/>
          <w:color w:val="000000"/>
          <w:sz w:val="20"/>
          <w:szCs w:val="20"/>
        </w:rPr>
        <w:t xml:space="preserve"> of the chemical contaminants is an </w:t>
      </w:r>
      <w:r w:rsidRPr="00BD23B2">
        <w:rPr>
          <w:rFonts w:ascii="Times New Roman" w:hAnsi="Times New Roman"/>
          <w:noProof/>
          <w:color w:val="000000"/>
          <w:sz w:val="20"/>
          <w:szCs w:val="20"/>
        </w:rPr>
        <w:t>important</w:t>
      </w:r>
      <w:r w:rsidRPr="00BD23B2">
        <w:rPr>
          <w:rFonts w:ascii="Times New Roman" w:hAnsi="Times New Roman"/>
          <w:color w:val="000000"/>
          <w:sz w:val="20"/>
          <w:szCs w:val="20"/>
        </w:rPr>
        <w:t xml:space="preserve"> situation in the human diet especially in the diet of the vulnerable individuals like infants. Most important classes of the mycotoxins in relation to their occurrence and toxicity is aflatoxins. The main origin of the aflatoxin species for the human and animal is diet. Foodstuffs could be contaminated with aflatoxins during the growth, harvest and storage stages. Aflatoxin species are known as mutagenic, carcinogenic and teratogenic compounds. For this reason, aflatoxin contaminant levels are limited by legislations. In this review, the </w:t>
      </w:r>
      <w:r w:rsidRPr="00BD23B2">
        <w:rPr>
          <w:rFonts w:ascii="Times New Roman" w:hAnsi="Times New Roman"/>
          <w:noProof/>
          <w:color w:val="000000"/>
          <w:sz w:val="20"/>
          <w:szCs w:val="20"/>
        </w:rPr>
        <w:t>information</w:t>
      </w:r>
      <w:r w:rsidRPr="00BD23B2">
        <w:rPr>
          <w:rFonts w:ascii="Times New Roman" w:hAnsi="Times New Roman"/>
          <w:color w:val="000000"/>
          <w:sz w:val="20"/>
          <w:szCs w:val="20"/>
        </w:rPr>
        <w:t xml:space="preserve"> about the </w:t>
      </w:r>
      <w:r w:rsidRPr="00BD23B2">
        <w:rPr>
          <w:rFonts w:ascii="Times New Roman" w:hAnsi="Times New Roman"/>
          <w:noProof/>
          <w:color w:val="000000"/>
          <w:sz w:val="20"/>
          <w:szCs w:val="20"/>
        </w:rPr>
        <w:t>presence</w:t>
      </w:r>
      <w:r w:rsidRPr="00BD23B2">
        <w:rPr>
          <w:rFonts w:ascii="Times New Roman" w:hAnsi="Times New Roman"/>
          <w:color w:val="000000"/>
          <w:sz w:val="20"/>
          <w:szCs w:val="20"/>
        </w:rPr>
        <w:t>, exposure, toxic effects and legislations of aflatoxins which have significant toxic effects in infant foods are given.</w:t>
      </w:r>
    </w:p>
    <w:p w:rsidR="00622F23" w:rsidRDefault="00622F23" w:rsidP="00622F23">
      <w:pPr>
        <w:autoSpaceDE w:val="0"/>
        <w:autoSpaceDN w:val="0"/>
        <w:adjustRightInd w:val="0"/>
        <w:spacing w:after="0" w:line="240" w:lineRule="auto"/>
        <w:jc w:val="both"/>
        <w:rPr>
          <w:rFonts w:ascii="Times New Roman" w:hAnsi="Times New Roman"/>
          <w:b/>
          <w:color w:val="000000"/>
          <w:sz w:val="20"/>
          <w:szCs w:val="20"/>
        </w:rPr>
      </w:pPr>
    </w:p>
    <w:p w:rsidR="00622F23" w:rsidRPr="00BD23B2" w:rsidRDefault="00622F23" w:rsidP="00622F23">
      <w:pPr>
        <w:autoSpaceDE w:val="0"/>
        <w:autoSpaceDN w:val="0"/>
        <w:adjustRightInd w:val="0"/>
        <w:spacing w:after="0" w:line="240" w:lineRule="auto"/>
        <w:jc w:val="both"/>
        <w:rPr>
          <w:rFonts w:ascii="Times New Roman" w:hAnsi="Times New Roman"/>
          <w:color w:val="000000"/>
          <w:sz w:val="20"/>
          <w:szCs w:val="20"/>
        </w:rPr>
      </w:pPr>
      <w:r w:rsidRPr="00BD23B2">
        <w:rPr>
          <w:rFonts w:ascii="Times New Roman" w:hAnsi="Times New Roman"/>
          <w:b/>
          <w:color w:val="000000"/>
          <w:sz w:val="20"/>
          <w:szCs w:val="20"/>
        </w:rPr>
        <w:t>Keywords:</w:t>
      </w:r>
      <w:r w:rsidRPr="00BD23B2">
        <w:rPr>
          <w:rFonts w:ascii="Times New Roman" w:hAnsi="Times New Roman"/>
          <w:color w:val="000000"/>
          <w:sz w:val="20"/>
          <w:szCs w:val="20"/>
        </w:rPr>
        <w:t xml:space="preserve"> Aflatoxin, baby, food, nutrition, carcinogen.</w:t>
      </w:r>
    </w:p>
    <w:p w:rsidR="00622F23" w:rsidRPr="00BD23B2" w:rsidRDefault="00622F23" w:rsidP="00622F23">
      <w:pPr>
        <w:spacing w:line="240" w:lineRule="auto"/>
        <w:rPr>
          <w:rFonts w:ascii="Times New Roman" w:hAnsi="Times New Roman"/>
          <w:color w:val="000000"/>
          <w:sz w:val="20"/>
          <w:szCs w:val="20"/>
        </w:rPr>
      </w:pPr>
      <w:r w:rsidRPr="00BD23B2">
        <w:rPr>
          <w:rFonts w:ascii="Times New Roman" w:hAnsi="Times New Roman"/>
          <w:color w:val="000000"/>
          <w:sz w:val="20"/>
          <w:szCs w:val="20"/>
        </w:rPr>
        <w:br w:type="page"/>
      </w: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sectPr w:rsidR="00622F23" w:rsidSect="00BD23B2">
          <w:headerReference w:type="default" r:id="rId7"/>
          <w:headerReference w:type="first" r:id="rId8"/>
          <w:footerReference w:type="first" r:id="rId9"/>
          <w:pgSz w:w="11906" w:h="16838"/>
          <w:pgMar w:top="1417" w:right="1417" w:bottom="1417" w:left="1417" w:header="708" w:footer="708" w:gutter="0"/>
          <w:cols w:space="708"/>
          <w:titlePg/>
          <w:docGrid w:linePitch="360"/>
        </w:sectPr>
      </w:pPr>
    </w:p>
    <w:p w:rsidR="00622F23" w:rsidRDefault="00622F23" w:rsidP="00622F23">
      <w:pPr>
        <w:autoSpaceDE w:val="0"/>
        <w:autoSpaceDN w:val="0"/>
        <w:adjustRightInd w:val="0"/>
        <w:spacing w:after="0" w:line="240" w:lineRule="auto"/>
        <w:jc w:val="both"/>
        <w:rPr>
          <w:rFonts w:ascii="Times New Roman" w:hAnsi="Times New Roman"/>
          <w:b/>
          <w:caps/>
          <w:color w:val="000000"/>
          <w:sz w:val="24"/>
          <w:szCs w:val="24"/>
        </w:rPr>
      </w:pPr>
      <w:r w:rsidRPr="00605732">
        <w:rPr>
          <w:rFonts w:ascii="Times New Roman" w:hAnsi="Times New Roman"/>
          <w:b/>
          <w:caps/>
          <w:color w:val="000000"/>
          <w:sz w:val="24"/>
          <w:szCs w:val="24"/>
        </w:rPr>
        <w:lastRenderedPageBreak/>
        <w:t>GİRİŞ</w:t>
      </w:r>
    </w:p>
    <w:p w:rsidR="00622F23" w:rsidRPr="00605732" w:rsidRDefault="00622F23" w:rsidP="00622F23">
      <w:pPr>
        <w:autoSpaceDE w:val="0"/>
        <w:autoSpaceDN w:val="0"/>
        <w:adjustRightInd w:val="0"/>
        <w:spacing w:after="0" w:line="240" w:lineRule="auto"/>
        <w:jc w:val="both"/>
        <w:rPr>
          <w:rFonts w:ascii="Times New Roman" w:hAnsi="Times New Roman"/>
          <w:b/>
          <w:caps/>
          <w:color w:val="000000"/>
          <w:sz w:val="24"/>
          <w:szCs w:val="24"/>
        </w:rPr>
      </w:pPr>
    </w:p>
    <w:p w:rsidR="00622F23" w:rsidRDefault="00622F23" w:rsidP="00622F23">
      <w:pPr>
        <w:spacing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Bebekler fizyolojileri, oldukça sınırlı diyetleri ve vücut ağırlıklarına oranla yüksek gıda tüketimleri nedeniyle </w:t>
      </w:r>
      <w:proofErr w:type="gramStart"/>
      <w:r w:rsidRPr="00605732">
        <w:rPr>
          <w:rFonts w:ascii="Times New Roman" w:hAnsi="Times New Roman"/>
          <w:color w:val="000000"/>
          <w:sz w:val="24"/>
          <w:szCs w:val="24"/>
        </w:rPr>
        <w:t>popülasyonun</w:t>
      </w:r>
      <w:proofErr w:type="gramEnd"/>
      <w:r w:rsidRPr="00605732">
        <w:rPr>
          <w:rFonts w:ascii="Times New Roman" w:hAnsi="Times New Roman"/>
          <w:color w:val="000000"/>
          <w:sz w:val="24"/>
          <w:szCs w:val="24"/>
        </w:rPr>
        <w:t xml:space="preserve"> savunmasız olan kısmını oluşturmaktadırlar (1-3). Bu nedenle, bebekler tarafından tüketilen gıdalardaki herhangi bir kontaminant ile olası potansiyel sağlık riskleri artacağından diyetlerine özen gösterilmelidir (1, 4). </w:t>
      </w:r>
      <w:r w:rsidRPr="00605732">
        <w:rPr>
          <w:rFonts w:ascii="Times New Roman" w:eastAsia="MyriadPro-Regular" w:hAnsi="Times New Roman"/>
          <w:color w:val="000000"/>
          <w:sz w:val="24"/>
          <w:szCs w:val="24"/>
        </w:rPr>
        <w:t xml:space="preserve">Bebek gıdaları yumuşak, birçok besin içeriğine sahip kolaylıkla tüketilebilen gıdaları kapsamaktadır ve özellikle 4 aylıktan 2 yaşına kadar ki beslenme için üretilmektedirler (5, 6). </w:t>
      </w:r>
      <w:r w:rsidRPr="00605732">
        <w:rPr>
          <w:rFonts w:ascii="Times New Roman" w:hAnsi="Times New Roman"/>
          <w:color w:val="000000"/>
          <w:sz w:val="24"/>
          <w:szCs w:val="24"/>
        </w:rPr>
        <w:t xml:space="preserve">Çocuklar için anne sütü çok önemli bir besin maddesidir (7). Tahıllar da bebeklerin diyetinde katı olarak yedikleri ilk gıdalardan olmakla birlikte besin elementlerinin önemli bir kaynağını oluşturmaktadırlar (5). Mikotoksinler gıda maddelerinde bulunan en önemli kimyasal kontaminantlardandır ve kronik sağlık riskleri göz önüne alındığında temel sorundurlar (4). Bütün mikotoksinler içerisinde aflatoksinler en toksik ve en güçlü doğal karsinojenlerdir (8). Hepatit B virüsü ile ilişkili olup, endüstrileşmemiş tropikal ülkelerde birçok insanın ölümünden sorumludur (1). </w:t>
      </w:r>
      <w:r w:rsidRPr="00605732">
        <w:rPr>
          <w:rStyle w:val="fontstyle21"/>
          <w:rFonts w:ascii="Times New Roman" w:hAnsi="Times New Roman"/>
          <w:sz w:val="24"/>
          <w:szCs w:val="24"/>
        </w:rPr>
        <w:t>Farklı aflatoksin türleri vardır. Aflatoksinler toksisitelerine göre çoktan aza doğru aflatoksin B1 (AFB1)&gt; aflatoksin B2 (AFB2)&gt; aflatoksin G1 (AFG1)&gt; aflatoksin G2 (AFG2) olarak sıralanmaktadır</w:t>
      </w:r>
      <w:r w:rsidRPr="00605732">
        <w:rPr>
          <w:rFonts w:ascii="Times New Roman" w:hAnsi="Times New Roman"/>
          <w:color w:val="000000"/>
          <w:sz w:val="24"/>
          <w:szCs w:val="24"/>
        </w:rPr>
        <w:t xml:space="preserve"> (9).</w:t>
      </w:r>
      <w:r w:rsidRPr="00605732">
        <w:rPr>
          <w:rStyle w:val="fontstyle21"/>
          <w:rFonts w:ascii="Times New Roman" w:hAnsi="Times New Roman"/>
          <w:sz w:val="24"/>
          <w:szCs w:val="24"/>
        </w:rPr>
        <w:t xml:space="preserve"> </w:t>
      </w:r>
      <w:r w:rsidRPr="00605732">
        <w:rPr>
          <w:rFonts w:ascii="Times New Roman" w:hAnsi="Times New Roman"/>
          <w:color w:val="000000"/>
          <w:sz w:val="24"/>
          <w:szCs w:val="24"/>
        </w:rPr>
        <w:t>AFB1 ve AFB2 içeren yemlerle beslenen ineklerin sütünde rastlanan daha az biyolojik etki gösteren türevler ise AFM1 ve AFM2 olarak adlandırılmaktadır (10).</w:t>
      </w:r>
      <w:r w:rsidRPr="00605732">
        <w:rPr>
          <w:rStyle w:val="fontstyle21"/>
          <w:rFonts w:ascii="Times New Roman" w:hAnsi="Times New Roman"/>
          <w:sz w:val="24"/>
          <w:szCs w:val="24"/>
        </w:rPr>
        <w:t xml:space="preserve"> Bunlar süt ürünlerinde önemli kontaminantlardır. AFM1 insan sütünde bulunabilmektedir</w:t>
      </w:r>
      <w:r w:rsidRPr="00605732">
        <w:rPr>
          <w:rFonts w:ascii="Times New Roman" w:hAnsi="Times New Roman"/>
          <w:color w:val="000000"/>
          <w:sz w:val="24"/>
          <w:szCs w:val="24"/>
        </w:rPr>
        <w:t xml:space="preserve"> (9). Sütte AFM1 varlığı bağışıklık sisteminin baskılanması, mutajenik ve teratojenik etkileri nedeniyle başta bebekler olmak üzere insan sağlığı için önemli risk teşkil etmektedir (11). </w:t>
      </w:r>
    </w:p>
    <w:p w:rsidR="00622F23" w:rsidRDefault="00622F23" w:rsidP="00622F23">
      <w:pPr>
        <w:spacing w:line="240" w:lineRule="auto"/>
        <w:jc w:val="both"/>
        <w:rPr>
          <w:rFonts w:ascii="Times New Roman" w:hAnsi="Times New Roman"/>
          <w:color w:val="000000"/>
          <w:sz w:val="24"/>
          <w:szCs w:val="24"/>
        </w:rPr>
      </w:pPr>
    </w:p>
    <w:p w:rsidR="00622F23" w:rsidRPr="00605732" w:rsidRDefault="00622F23" w:rsidP="00622F23">
      <w:pPr>
        <w:spacing w:line="240" w:lineRule="auto"/>
        <w:jc w:val="both"/>
        <w:rPr>
          <w:rFonts w:ascii="Times New Roman" w:hAnsi="Times New Roman"/>
          <w:color w:val="000000"/>
          <w:sz w:val="24"/>
          <w:szCs w:val="24"/>
        </w:rPr>
      </w:pPr>
      <w:r w:rsidRPr="00605732">
        <w:rPr>
          <w:rFonts w:ascii="Times New Roman" w:hAnsi="Times New Roman"/>
          <w:color w:val="000000"/>
          <w:sz w:val="24"/>
          <w:szCs w:val="24"/>
        </w:rPr>
        <w:lastRenderedPageBreak/>
        <w:t>Aflatoksinler mısır, buğday, arpa, fındık, fıstık, susam, kakao, kurutulmuş meyveler, şaraplar ve baharatlar gibi çok çeşitli hammaddeler ve diğer gıda maddelerinde tespit edilmiştir (10, 12, 13).</w:t>
      </w:r>
      <w:r w:rsidRPr="00605732">
        <w:rPr>
          <w:rFonts w:ascii="Times New Roman" w:eastAsia="MyriadPro-Regular" w:hAnsi="Times New Roman"/>
          <w:color w:val="000000"/>
          <w:sz w:val="24"/>
          <w:szCs w:val="24"/>
        </w:rPr>
        <w:t xml:space="preserve"> Bebek gıdalarının AFB1 ile kontaminasyonu süt tozu, sebzeler, meyveler veya farklı türdeki tahıllar (örneğin buğday, mısır, arpa ve pirinç) gibi içerikten dolayı kaçınılmazdır (3).</w:t>
      </w:r>
    </w:p>
    <w:p w:rsidR="00622F23" w:rsidRDefault="00622F23" w:rsidP="00622F23">
      <w:pPr>
        <w:autoSpaceDE w:val="0"/>
        <w:autoSpaceDN w:val="0"/>
        <w:adjustRightInd w:val="0"/>
        <w:spacing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Ticari bebek gıdalarında ve hayvan yemlerinde farklı mikotoksinlerin eş-oluşumu ile ilgili raporlar bulunmaktadır (14). Bebekler mikotoksin maruziyetine yetişkinlerden daha duyarlıdır. Mikotoksinler için Avrupa Birliği (AB) yasal limitleri bebek gıdalarında diğer gıda matrikslerine göre daha düşüktür (2). </w:t>
      </w:r>
    </w:p>
    <w:p w:rsidR="00622F23" w:rsidRPr="00605732" w:rsidRDefault="00622F23" w:rsidP="00622F23">
      <w:pPr>
        <w:autoSpaceDE w:val="0"/>
        <w:autoSpaceDN w:val="0"/>
        <w:adjustRightInd w:val="0"/>
        <w:spacing w:line="240" w:lineRule="auto"/>
        <w:jc w:val="both"/>
        <w:rPr>
          <w:rFonts w:ascii="Times New Roman" w:hAnsi="Times New Roman"/>
          <w:color w:val="000000"/>
          <w:sz w:val="24"/>
          <w:szCs w:val="24"/>
        </w:rPr>
      </w:pPr>
      <w:r w:rsidRPr="00605732">
        <w:rPr>
          <w:rFonts w:ascii="Times New Roman" w:hAnsi="Times New Roman"/>
          <w:color w:val="000000"/>
          <w:sz w:val="24"/>
          <w:szCs w:val="24"/>
        </w:rPr>
        <w:t>Bu derlemede, bebek gıdalarında bulunan önemli toksik etkilere sahip aflatoksinlerin varlığı, maruziyeti, toksik etkileri ve yasal düzenlemeler hakkında bilgiler verilmiştir.</w:t>
      </w:r>
    </w:p>
    <w:p w:rsidR="00622F23" w:rsidRDefault="00622F23" w:rsidP="00622F23">
      <w:pPr>
        <w:autoSpaceDE w:val="0"/>
        <w:autoSpaceDN w:val="0"/>
        <w:adjustRightInd w:val="0"/>
        <w:spacing w:after="0" w:line="240" w:lineRule="auto"/>
        <w:rPr>
          <w:rFonts w:ascii="Times New Roman" w:hAnsi="Times New Roman"/>
          <w:b/>
          <w:caps/>
          <w:color w:val="000000"/>
          <w:sz w:val="24"/>
          <w:szCs w:val="24"/>
        </w:rPr>
      </w:pPr>
      <w:r w:rsidRPr="00605732">
        <w:rPr>
          <w:rFonts w:ascii="Times New Roman" w:hAnsi="Times New Roman"/>
          <w:b/>
          <w:color w:val="000000"/>
          <w:sz w:val="24"/>
          <w:szCs w:val="24"/>
        </w:rPr>
        <w:t xml:space="preserve">Bebek Gıdalarında </w:t>
      </w:r>
      <w:r>
        <w:rPr>
          <w:rFonts w:ascii="Times New Roman" w:hAnsi="Times New Roman"/>
          <w:b/>
          <w:color w:val="000000"/>
          <w:sz w:val="24"/>
          <w:szCs w:val="24"/>
        </w:rPr>
        <w:t>A</w:t>
      </w:r>
      <w:r w:rsidRPr="00605732">
        <w:rPr>
          <w:rFonts w:ascii="Times New Roman" w:hAnsi="Times New Roman"/>
          <w:b/>
          <w:color w:val="000000"/>
          <w:sz w:val="24"/>
          <w:szCs w:val="24"/>
        </w:rPr>
        <w:t>flatoksin Varlığı</w:t>
      </w:r>
    </w:p>
    <w:p w:rsidR="00622F23" w:rsidRPr="00605732" w:rsidRDefault="00622F23" w:rsidP="00622F23">
      <w:pPr>
        <w:autoSpaceDE w:val="0"/>
        <w:autoSpaceDN w:val="0"/>
        <w:adjustRightInd w:val="0"/>
        <w:spacing w:after="0" w:line="240" w:lineRule="auto"/>
        <w:jc w:val="both"/>
        <w:rPr>
          <w:rFonts w:ascii="Times New Roman" w:hAnsi="Times New Roman"/>
          <w:b/>
          <w:caps/>
          <w:color w:val="000000"/>
          <w:sz w:val="24"/>
          <w:szCs w:val="24"/>
        </w:rPr>
      </w:pP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eastAsia="TT1D2o00" w:hAnsi="Times New Roman"/>
          <w:color w:val="000000"/>
          <w:sz w:val="24"/>
          <w:szCs w:val="24"/>
        </w:rPr>
        <w:t>Temel besin elementlerinin zengin bir kaynağı olan anne sütü yeni doğanlar için yaşamlarının ilk dönemlerinde aldıkları tek besindir (7). İlk altı aylık dönemde olan yeni doğanlar büyüme ve gelişimlerinde bazı savunmasız değişimlere uğrarlar. Yeni doğanların sağlıklı bir bağışıklık sistemi, sinir sistemi, sindirim sistemi, üreme sistemi ve vücutlarının güçlü fiziksel yapısını kazanmasında anne sütüne en azından iki yaşına kadar ihtiyaçları vardır (15).</w:t>
      </w:r>
      <w:r w:rsidRPr="00605732">
        <w:rPr>
          <w:rFonts w:ascii="Times New Roman" w:hAnsi="Times New Roman"/>
          <w:color w:val="000000"/>
          <w:sz w:val="24"/>
          <w:szCs w:val="24"/>
        </w:rPr>
        <w:t xml:space="preserve"> Bebekler için ilk altı ay tek başına anne sütü verilmesinin en iyi beslenme şekli olduğu bilindiği halde, anne sütünün yetmediği veya verilemediği durumlarda alternatif olarak bebek formülleri de kullanılabilmektedir (16).</w:t>
      </w:r>
    </w:p>
    <w:p w:rsidR="00622F23" w:rsidRDefault="00622F23" w:rsidP="00622F23">
      <w:pPr>
        <w:autoSpaceDE w:val="0"/>
        <w:autoSpaceDN w:val="0"/>
        <w:adjustRightInd w:val="0"/>
        <w:spacing w:after="0" w:line="240" w:lineRule="auto"/>
        <w:jc w:val="both"/>
        <w:rPr>
          <w:rFonts w:ascii="Times New Roman" w:hAnsi="Times New Roman"/>
          <w:color w:val="000000"/>
          <w:sz w:val="24"/>
          <w:szCs w:val="24"/>
        </w:rPr>
      </w:pP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Bebek gıdaları </w:t>
      </w:r>
      <w:proofErr w:type="gramStart"/>
      <w:r w:rsidRPr="00605732">
        <w:rPr>
          <w:rFonts w:ascii="Times New Roman" w:hAnsi="Times New Roman"/>
          <w:color w:val="000000"/>
          <w:sz w:val="24"/>
          <w:szCs w:val="24"/>
        </w:rPr>
        <w:t>optimal</w:t>
      </w:r>
      <w:proofErr w:type="gramEnd"/>
      <w:r w:rsidRPr="00605732">
        <w:rPr>
          <w:rFonts w:ascii="Times New Roman" w:hAnsi="Times New Roman"/>
          <w:color w:val="000000"/>
          <w:sz w:val="24"/>
          <w:szCs w:val="24"/>
        </w:rPr>
        <w:t xml:space="preserve"> gelişim, büyüme ve hastalıklardan korumak amacıyla yeterli miktarda besin maddesini sağlamalıdır. Yeni doğanlarda yaklaşık 6 aylıktan </w:t>
      </w:r>
      <w:r w:rsidRPr="00605732">
        <w:rPr>
          <w:rFonts w:ascii="Times New Roman" w:hAnsi="Times New Roman"/>
          <w:color w:val="000000"/>
          <w:sz w:val="24"/>
          <w:szCs w:val="24"/>
        </w:rPr>
        <w:lastRenderedPageBreak/>
        <w:t xml:space="preserve">itibaren sadece süt </w:t>
      </w:r>
      <w:proofErr w:type="gramStart"/>
      <w:r w:rsidRPr="00605732">
        <w:rPr>
          <w:rFonts w:ascii="Times New Roman" w:hAnsi="Times New Roman"/>
          <w:color w:val="000000"/>
          <w:sz w:val="24"/>
          <w:szCs w:val="24"/>
        </w:rPr>
        <w:t>bazlı</w:t>
      </w:r>
      <w:proofErr w:type="gramEnd"/>
      <w:r w:rsidRPr="00605732">
        <w:rPr>
          <w:rFonts w:ascii="Times New Roman" w:hAnsi="Times New Roman"/>
          <w:color w:val="000000"/>
          <w:sz w:val="24"/>
          <w:szCs w:val="24"/>
        </w:rPr>
        <w:t xml:space="preserve"> olan beslenme şekli kademeli olarak diğer gıdaların katılması ile genişletilmektedir. Çünkü yeni doğanların büyümeleri ile birlikte besinsel ihtiyaçları artış göstermekte, anne sütü tek başına bu ihtiyaçları karşılayamamaktadır (15). Bebeklerin ek besine başlama aşamasında önerilen ilk gıdalar meyve suyu ve yoğurt olup daha sonra tahıl içeren gıdalar gelmektedir (17). Bebek tahıl ürünlerinin hem sindirilebilirlikleri yüksektir hem de uygun bebek gelişimi için esansiyel mineral olan demirin mükemmel bir kaynağıdırlar (15).</w:t>
      </w:r>
    </w:p>
    <w:p w:rsidR="00622F23" w:rsidRDefault="00622F23" w:rsidP="00622F23">
      <w:pPr>
        <w:pStyle w:val="Default"/>
        <w:jc w:val="both"/>
      </w:pPr>
    </w:p>
    <w:p w:rsidR="00622F23" w:rsidRPr="00605732" w:rsidRDefault="00622F23" w:rsidP="00622F23">
      <w:pPr>
        <w:pStyle w:val="Default"/>
        <w:jc w:val="both"/>
      </w:pPr>
      <w:r w:rsidRPr="00605732">
        <w:t xml:space="preserve">Diyette tahıl </w:t>
      </w:r>
      <w:proofErr w:type="gramStart"/>
      <w:r w:rsidRPr="00605732">
        <w:t>bazlı</w:t>
      </w:r>
      <w:proofErr w:type="gramEnd"/>
      <w:r w:rsidRPr="00605732">
        <w:t xml:space="preserve"> ürünler mikotoksinlerin en önemli kaynağını oluşturmaktadır. Dünyadaki tahılların %25’inin bu doğal toksinler ile kontamine olduğu tahmin edilmektedir. Dahası, artan çevre sıcaklığı ve su varlığının azalması gibi faktörler fungal infeksiyonun ve dolayısıyla gıda ve yem maddelerinde mikotoksin kontaminasyonunun artışı ile sonuçlanabilmektedir (18). Gıda maddeleri aflatoksin ile gıdanın gelişmesi, hasatı ve son olarak muhafazası aşamalarında kontamine olabilmektedir. Laktasyondaki memeliler AFB1 ile kontamine yem veya besini tükettikleri zaman AFB1 monohidroksi türevine (AFM1) metabolize edilmektedir ve sütte bulunabilmektedir (19, 20).  </w:t>
      </w:r>
    </w:p>
    <w:p w:rsidR="00622F23" w:rsidRDefault="00622F23" w:rsidP="00622F23">
      <w:pPr>
        <w:pStyle w:val="Default"/>
        <w:jc w:val="both"/>
      </w:pPr>
      <w:r w:rsidRPr="00605732">
        <w:lastRenderedPageBreak/>
        <w:t xml:space="preserve">Genel olarak insanlar ve özellikle çocuklar için süt şüphesiz çok değerli bir besindir. Ancak gıda güvenliği bağlamında süt ve süt ürünleri insan diyetinde AFM1’in en önemli kaynağıdır. AFM1 </w:t>
      </w:r>
      <w:proofErr w:type="gramStart"/>
      <w:r w:rsidRPr="00605732">
        <w:t>konsantrasyonu</w:t>
      </w:r>
      <w:proofErr w:type="gramEnd"/>
      <w:r w:rsidRPr="00605732">
        <w:t xml:space="preserve"> gıdalara uygulanan işlemlerle azaltılamamaktadır (21). AFM1 özellikle kazein olmak üzere süt proteinlerine bağlanır ve böylece süt ürünlerinde aflatoksinin varlığına öncülük eder. Yapılan çalışmalar AFM1’in sütün pastörizasyonunda, muhafazasında ve çeşitli süt ürünlerinin üretiminde </w:t>
      </w:r>
      <w:proofErr w:type="gramStart"/>
      <w:r w:rsidRPr="00605732">
        <w:t>stabil</w:t>
      </w:r>
      <w:proofErr w:type="gramEnd"/>
      <w:r w:rsidRPr="00605732">
        <w:t xml:space="preserve"> kaldığını göstermektedir (11). Bazı araştırmalarda AFM1’e sütte, peynirde, yoğurtta, bebek mamalarında ve aynı zamanda anne sütünde rastlandığı belirtilmektedir (22-24).</w:t>
      </w:r>
    </w:p>
    <w:p w:rsidR="00622F23" w:rsidRPr="00605732" w:rsidRDefault="00622F23" w:rsidP="00622F23">
      <w:pPr>
        <w:pStyle w:val="Default"/>
        <w:jc w:val="both"/>
      </w:pPr>
    </w:p>
    <w:p w:rsidR="00622F23" w:rsidRPr="00605732" w:rsidRDefault="00622F23" w:rsidP="00622F23">
      <w:pPr>
        <w:pStyle w:val="Default"/>
        <w:jc w:val="both"/>
      </w:pPr>
      <w:r w:rsidRPr="00605732">
        <w:t>Çocukların duyarlılıklarından dolayı tüketilen gıdalardaki herhangi bir kontaminantın önemi ve sağlık riski artmaktadır ve bu probleme özel bir önem gösterilmelidir. Bu nedenle aflatoksin kontaminasyonunun araştırılması önemlidir (25). Dolayısıyla, bebeklerin korunması için beslenmelerinde kullanılan gıdalardaki mikotoksin düzeylerinin ve tiplerinin izlenme çalışmaları gereklidir (18).</w:t>
      </w:r>
    </w:p>
    <w:p w:rsidR="00622F23" w:rsidRDefault="00622F23" w:rsidP="00622F23">
      <w:pPr>
        <w:autoSpaceDE w:val="0"/>
        <w:autoSpaceDN w:val="0"/>
        <w:adjustRightInd w:val="0"/>
        <w:spacing w:after="0" w:line="240" w:lineRule="auto"/>
        <w:jc w:val="both"/>
        <w:rPr>
          <w:rFonts w:ascii="Times New Roman" w:hAnsi="Times New Roman"/>
          <w:color w:val="000000"/>
          <w:sz w:val="24"/>
          <w:szCs w:val="24"/>
        </w:rPr>
      </w:pP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Bebek gıdalarında aflatoksin miktarının tespitine yönelik farklı ülkelerde yapılan birçok araştırma bulunmaktadır. Bazılarına ait bilgiler Tablo 1’de verilmiştir.</w:t>
      </w: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sectPr w:rsidR="00622F23" w:rsidSect="008A75AD">
          <w:headerReference w:type="first" r:id="rId10"/>
          <w:footerReference w:type="first" r:id="rId11"/>
          <w:type w:val="continuous"/>
          <w:pgSz w:w="11906" w:h="16838"/>
          <w:pgMar w:top="1417" w:right="1417" w:bottom="1417" w:left="1417" w:header="708" w:footer="708" w:gutter="0"/>
          <w:cols w:num="2" w:space="708"/>
          <w:titlePg/>
          <w:docGrid w:linePitch="360"/>
        </w:sectPr>
      </w:pPr>
    </w:p>
    <w:p w:rsidR="00622F23" w:rsidRPr="00605732"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Pr="00605732"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Pr="00605732" w:rsidRDefault="00622F23" w:rsidP="00622F23">
      <w:pPr>
        <w:pStyle w:val="1-baslk"/>
        <w:spacing w:before="0" w:beforeAutospacing="0" w:after="0" w:afterAutospacing="0" w:line="480" w:lineRule="auto"/>
        <w:jc w:val="both"/>
        <w:rPr>
          <w:color w:val="000000"/>
          <w:lang w:val="tr-TR"/>
        </w:rPr>
      </w:pPr>
      <w:r w:rsidRPr="00A61E6F">
        <w:rPr>
          <w:b/>
          <w:color w:val="000000"/>
          <w:lang w:val="tr-TR"/>
        </w:rPr>
        <w:lastRenderedPageBreak/>
        <w:t>Tablo 1.</w:t>
      </w:r>
      <w:r w:rsidRPr="00605732">
        <w:rPr>
          <w:color w:val="000000"/>
          <w:lang w:val="tr-TR"/>
        </w:rPr>
        <w:t xml:space="preserve"> Bebek Gıdalarında Aflatoksin Düzeyleri İle İlgili Bazı Araştırmalar              </w:t>
      </w:r>
    </w:p>
    <w:tbl>
      <w:tblPr>
        <w:tblW w:w="9224" w:type="dxa"/>
        <w:tblInd w:w="-15" w:type="dxa"/>
        <w:tblBorders>
          <w:bottom w:val="single" w:sz="4" w:space="0" w:color="auto"/>
        </w:tblBorders>
        <w:tblLayout w:type="fixed"/>
        <w:tblCellMar>
          <w:left w:w="93" w:type="dxa"/>
        </w:tblCellMar>
        <w:tblLook w:val="04A0" w:firstRow="1" w:lastRow="0" w:firstColumn="1" w:lastColumn="0" w:noHBand="0" w:noVBand="1"/>
      </w:tblPr>
      <w:tblGrid>
        <w:gridCol w:w="2562"/>
        <w:gridCol w:w="992"/>
        <w:gridCol w:w="1843"/>
        <w:gridCol w:w="2693"/>
        <w:gridCol w:w="1134"/>
      </w:tblGrid>
      <w:tr w:rsidR="00622F23" w:rsidRPr="00605732" w:rsidTr="00517147">
        <w:trPr>
          <w:trHeight w:val="715"/>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 New Roman" w:hAnsi="Times New Roman"/>
                <w:b/>
                <w:color w:val="000000"/>
                <w:sz w:val="20"/>
                <w:szCs w:val="20"/>
                <w:lang w:eastAsia="tr-TR"/>
              </w:rPr>
            </w:pPr>
            <w:r w:rsidRPr="00605732">
              <w:rPr>
                <w:rFonts w:ascii="Times New Roman" w:eastAsia="Times New Roman" w:hAnsi="Times New Roman"/>
                <w:b/>
                <w:color w:val="000000"/>
                <w:sz w:val="20"/>
                <w:szCs w:val="20"/>
                <w:lang w:eastAsia="tr-TR"/>
              </w:rPr>
              <w:t>Örnek</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 New Roman" w:hAnsi="Times New Roman"/>
                <w:b/>
                <w:color w:val="000000"/>
                <w:sz w:val="20"/>
                <w:szCs w:val="20"/>
                <w:lang w:eastAsia="tr-TR"/>
              </w:rPr>
            </w:pPr>
            <w:r w:rsidRPr="00605732">
              <w:rPr>
                <w:rFonts w:ascii="Times New Roman" w:eastAsia="Times New Roman" w:hAnsi="Times New Roman"/>
                <w:b/>
                <w:color w:val="000000"/>
                <w:sz w:val="20"/>
                <w:szCs w:val="20"/>
                <w:lang w:eastAsia="tr-TR"/>
              </w:rPr>
              <w:t>Toplam Örnek Sayısı</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 New Roman" w:hAnsi="Times New Roman"/>
                <w:b/>
                <w:color w:val="000000"/>
                <w:sz w:val="20"/>
                <w:szCs w:val="20"/>
                <w:lang w:eastAsia="tr-TR"/>
              </w:rPr>
            </w:pPr>
            <w:r w:rsidRPr="00605732">
              <w:rPr>
                <w:rFonts w:ascii="Times New Roman" w:eastAsia="Times New Roman" w:hAnsi="Times New Roman"/>
                <w:b/>
                <w:color w:val="000000"/>
                <w:sz w:val="20"/>
                <w:szCs w:val="20"/>
                <w:lang w:eastAsia="tr-TR"/>
              </w:rPr>
              <w:t>Aflatoksin Türü ve Pozitif Örnek Yüzdesi</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 New Roman" w:hAnsi="Times New Roman"/>
                <w:b/>
                <w:color w:val="000000"/>
                <w:sz w:val="20"/>
                <w:szCs w:val="20"/>
                <w:lang w:eastAsia="tr-TR"/>
              </w:rPr>
            </w:pPr>
            <w:r w:rsidRPr="00605732">
              <w:rPr>
                <w:rFonts w:ascii="Times New Roman" w:eastAsia="Times New Roman" w:hAnsi="Times New Roman"/>
                <w:b/>
                <w:color w:val="000000"/>
                <w:sz w:val="20"/>
                <w:szCs w:val="20"/>
                <w:lang w:eastAsia="tr-TR"/>
              </w:rPr>
              <w:t>Aflatoksin Kontaminasyon Düzeyleri</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 New Roman" w:hAnsi="Times New Roman"/>
                <w:b/>
                <w:color w:val="000000"/>
                <w:sz w:val="20"/>
                <w:szCs w:val="20"/>
                <w:lang w:eastAsia="tr-TR"/>
              </w:rPr>
            </w:pPr>
            <w:r w:rsidRPr="00605732">
              <w:rPr>
                <w:rFonts w:ascii="Times New Roman" w:eastAsia="Times New Roman" w:hAnsi="Times New Roman"/>
                <w:b/>
                <w:color w:val="000000"/>
                <w:sz w:val="20"/>
                <w:szCs w:val="20"/>
                <w:lang w:eastAsia="tr-TR"/>
              </w:rPr>
              <w:t>Kaynak</w:t>
            </w:r>
          </w:p>
        </w:tc>
      </w:tr>
      <w:tr w:rsidR="00622F23" w:rsidRPr="00605732" w:rsidTr="00517147">
        <w:trPr>
          <w:trHeight w:val="413"/>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hAnsi="Times New Roman"/>
                <w:bCs/>
                <w:color w:val="000000"/>
                <w:sz w:val="20"/>
                <w:szCs w:val="20"/>
              </w:rPr>
              <w:t>Ticari bebek gıdaları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84</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hAnsi="Times New Roman"/>
                <w:iCs/>
                <w:color w:val="000000"/>
                <w:sz w:val="20"/>
                <w:szCs w:val="20"/>
              </w:rPr>
              <w:t xml:space="preserve">Aflatoksin </w:t>
            </w:r>
            <w:r w:rsidRPr="00605732">
              <w:rPr>
                <w:rFonts w:ascii="Times New Roman" w:hAnsi="Times New Roman"/>
                <w:color w:val="000000"/>
                <w:sz w:val="20"/>
                <w:szCs w:val="20"/>
              </w:rPr>
              <w:t>(</w:t>
            </w:r>
            <w:r w:rsidRPr="00605732">
              <w:rPr>
                <w:rFonts w:ascii="Times New Roman" w:hAnsi="Times New Roman"/>
                <w:iCs/>
                <w:color w:val="000000"/>
                <w:sz w:val="20"/>
                <w:szCs w:val="20"/>
              </w:rPr>
              <w:t>B</w:t>
            </w:r>
            <w:r w:rsidRPr="00605732">
              <w:rPr>
                <w:rFonts w:ascii="Times New Roman" w:hAnsi="Times New Roman"/>
                <w:color w:val="000000"/>
                <w:sz w:val="20"/>
                <w:szCs w:val="20"/>
              </w:rPr>
              <w:t xml:space="preserve">1, </w:t>
            </w:r>
            <w:r w:rsidRPr="00605732">
              <w:rPr>
                <w:rFonts w:ascii="Times New Roman" w:hAnsi="Times New Roman"/>
                <w:iCs/>
                <w:color w:val="000000"/>
                <w:sz w:val="20"/>
                <w:szCs w:val="20"/>
              </w:rPr>
              <w:t>G</w:t>
            </w:r>
            <w:r w:rsidRPr="00605732">
              <w:rPr>
                <w:rFonts w:ascii="Times New Roman" w:hAnsi="Times New Roman"/>
                <w:color w:val="000000"/>
                <w:sz w:val="20"/>
                <w:szCs w:val="20"/>
              </w:rPr>
              <w:t xml:space="preserve">1, </w:t>
            </w:r>
            <w:r w:rsidRPr="00605732">
              <w:rPr>
                <w:rFonts w:ascii="Times New Roman" w:hAnsi="Times New Roman"/>
                <w:iCs/>
                <w:color w:val="000000"/>
                <w:sz w:val="20"/>
                <w:szCs w:val="20"/>
              </w:rPr>
              <w:t>B</w:t>
            </w:r>
            <w:r w:rsidRPr="00605732">
              <w:rPr>
                <w:rFonts w:ascii="Times New Roman" w:hAnsi="Times New Roman"/>
                <w:color w:val="000000"/>
                <w:sz w:val="20"/>
                <w:szCs w:val="20"/>
              </w:rPr>
              <w:t>2 ve</w:t>
            </w:r>
            <w:r w:rsidRPr="00605732">
              <w:rPr>
                <w:rFonts w:ascii="Times New Roman" w:hAnsi="Times New Roman"/>
                <w:iCs/>
                <w:color w:val="000000"/>
                <w:sz w:val="20"/>
                <w:szCs w:val="20"/>
              </w:rPr>
              <w:t xml:space="preserve"> G</w:t>
            </w:r>
            <w:r w:rsidRPr="00605732">
              <w:rPr>
                <w:rFonts w:ascii="Times New Roman" w:hAnsi="Times New Roman"/>
                <w:color w:val="000000"/>
                <w:sz w:val="20"/>
                <w:szCs w:val="20"/>
              </w:rPr>
              <w:t>2)  %2.4</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hAnsi="Times New Roman"/>
                <w:color w:val="000000"/>
                <w:sz w:val="20"/>
                <w:szCs w:val="20"/>
              </w:rPr>
              <w:t xml:space="preserve"> </w:t>
            </w:r>
            <w:r w:rsidRPr="00605732">
              <w:rPr>
                <w:rFonts w:ascii="Times New Roman" w:hAnsi="Times New Roman"/>
                <w:iCs/>
                <w:color w:val="000000"/>
                <w:sz w:val="20"/>
                <w:szCs w:val="20"/>
              </w:rPr>
              <w:t xml:space="preserve"> 19 -70 μg/kg </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26</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shd w:val="clear" w:color="auto" w:fill="FFFFFF"/>
                <w:lang w:eastAsia="tr-TR"/>
              </w:rPr>
              <w:t xml:space="preserve">Bebek süt ürünleri </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75</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AFM1 %96</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shd w:val="clear" w:color="auto" w:fill="FFFFFF"/>
                <w:lang w:eastAsia="tr-TR"/>
              </w:rPr>
              <w:t>65–1012 ng/l</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27</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shd w:val="clear" w:color="auto" w:fill="FFFFFF"/>
                <w:lang w:eastAsia="tr-TR"/>
              </w:rPr>
              <w:t>Bebek formülleri</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120</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 xml:space="preserve">AFM1 </w:t>
            </w:r>
            <w:r w:rsidRPr="00605732">
              <w:rPr>
                <w:rFonts w:ascii="Times New Roman" w:eastAsia="Times New Roman" w:hAnsi="Times New Roman"/>
                <w:color w:val="000000"/>
                <w:sz w:val="20"/>
                <w:szCs w:val="20"/>
                <w:shd w:val="clear" w:color="auto" w:fill="FFFFFF"/>
                <w:lang w:eastAsia="tr-TR"/>
              </w:rPr>
              <w:t>%96.6</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shd w:val="clear" w:color="auto" w:fill="FFFFFF"/>
                <w:lang w:eastAsia="tr-TR"/>
              </w:rPr>
              <w:t>1–14 ng/kg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28</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eastAsia="TimesNewRomanPSMT" w:hAnsi="Times New Roman"/>
                <w:color w:val="000000"/>
                <w:sz w:val="20"/>
                <w:szCs w:val="20"/>
              </w:rPr>
              <w:t>Bebek formülleri ve bebek gıdaları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NewRomanPSMT" w:hAnsi="Times New Roman"/>
                <w:color w:val="000000"/>
                <w:sz w:val="20"/>
                <w:szCs w:val="20"/>
                <w:lang w:eastAsia="tr-TR"/>
              </w:rPr>
              <w:t>63</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eastAsia="TimesNewRomanPSMT" w:hAnsi="Times New Roman"/>
                <w:color w:val="000000"/>
                <w:sz w:val="20"/>
                <w:szCs w:val="20"/>
                <w:lang w:eastAsia="tr-TR"/>
              </w:rPr>
            </w:pPr>
            <w:r w:rsidRPr="00605732">
              <w:rPr>
                <w:rFonts w:ascii="Times New Roman" w:eastAsia="TimesNewRomanPSMT" w:hAnsi="Times New Roman"/>
                <w:color w:val="000000"/>
                <w:sz w:val="20"/>
                <w:szCs w:val="20"/>
              </w:rPr>
              <w:t xml:space="preserve">AFB1 </w:t>
            </w:r>
            <w:r w:rsidRPr="00605732">
              <w:rPr>
                <w:rFonts w:ascii="Times New Roman" w:eastAsia="TimesNewRomanPSMT" w:hAnsi="Times New Roman"/>
                <w:color w:val="000000"/>
                <w:sz w:val="20"/>
                <w:szCs w:val="20"/>
                <w:lang w:eastAsia="tr-TR"/>
              </w:rPr>
              <w:t>%87</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eastAsia="TimesNewRomanPSMT" w:hAnsi="Times New Roman"/>
                <w:color w:val="000000"/>
                <w:sz w:val="20"/>
                <w:szCs w:val="20"/>
              </w:rPr>
              <w:t xml:space="preserve">AFM1 </w:t>
            </w:r>
            <w:r w:rsidRPr="00605732">
              <w:rPr>
                <w:rFonts w:ascii="Times New Roman" w:eastAsia="TimesNewRomanPSMT" w:hAnsi="Times New Roman"/>
                <w:color w:val="000000"/>
                <w:sz w:val="20"/>
                <w:szCs w:val="20"/>
                <w:lang w:eastAsia="tr-TR"/>
              </w:rPr>
              <w:t>%36.5</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NewRomanPSMT" w:hAnsi="Times New Roman"/>
                <w:color w:val="000000"/>
                <w:sz w:val="20"/>
                <w:szCs w:val="20"/>
                <w:lang w:eastAsia="tr-TR"/>
              </w:rPr>
              <w:t>AFB1 0.10-6.04 ppb</w:t>
            </w:r>
          </w:p>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NewRomanPSMT" w:hAnsi="Times New Roman"/>
                <w:color w:val="000000"/>
                <w:sz w:val="20"/>
                <w:szCs w:val="20"/>
                <w:lang w:eastAsia="tr-TR"/>
              </w:rPr>
              <w:t>AFM1 0.06-0.32 ppb</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bCs/>
                <w:color w:val="000000"/>
                <w:sz w:val="20"/>
                <w:szCs w:val="20"/>
                <w:lang w:eastAsia="tr-TR"/>
              </w:rPr>
              <w:t>29</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 xml:space="preserve">Bebek formülü </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T1D2o00" w:hAnsi="Times New Roman"/>
                <w:color w:val="000000"/>
                <w:sz w:val="20"/>
                <w:szCs w:val="20"/>
                <w:lang w:eastAsia="tr-TR"/>
              </w:rPr>
              <w:t>130</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 xml:space="preserve">AFM1 </w:t>
            </w:r>
            <w:r w:rsidRPr="00605732">
              <w:rPr>
                <w:rFonts w:ascii="Times New Roman" w:eastAsia="TT1CEo00" w:hAnsi="Times New Roman"/>
                <w:color w:val="000000"/>
                <w:sz w:val="20"/>
                <w:szCs w:val="20"/>
              </w:rPr>
              <w:t>%53.84</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eastAsia="TT1D2o00" w:hAnsi="Times New Roman"/>
                <w:color w:val="000000"/>
                <w:sz w:val="20"/>
                <w:szCs w:val="20"/>
              </w:rPr>
              <w:t>&lt;0.006-0.108 μg/kg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9</w:t>
            </w:r>
          </w:p>
        </w:tc>
      </w:tr>
      <w:tr w:rsidR="00622F23" w:rsidRPr="00605732" w:rsidTr="00517147">
        <w:trPr>
          <w:trHeight w:val="281"/>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T1D2o00" w:hAnsi="Times New Roman"/>
                <w:color w:val="000000"/>
                <w:sz w:val="20"/>
                <w:szCs w:val="20"/>
                <w:lang w:eastAsia="tr-TR"/>
              </w:rPr>
              <w:t>Bebek sütleri</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T1D2o00" w:hAnsi="Times New Roman"/>
                <w:color w:val="000000"/>
                <w:sz w:val="20"/>
                <w:szCs w:val="20"/>
                <w:lang w:eastAsia="tr-TR"/>
              </w:rPr>
              <w:t>185</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T1D2o00" w:hAnsi="Times New Roman"/>
                <w:color w:val="000000"/>
                <w:sz w:val="20"/>
                <w:szCs w:val="20"/>
                <w:lang w:eastAsia="tr-TR"/>
              </w:rPr>
              <w:t xml:space="preserve">AFM1 </w:t>
            </w:r>
            <w:r w:rsidRPr="00605732">
              <w:rPr>
                <w:rFonts w:ascii="Times New Roman" w:eastAsia="TT1D2o00" w:hAnsi="Times New Roman"/>
                <w:color w:val="000000"/>
                <w:sz w:val="20"/>
                <w:szCs w:val="20"/>
              </w:rPr>
              <w:t>%1.08</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hAnsi="Times New Roman"/>
                <w:color w:val="000000"/>
                <w:sz w:val="20"/>
                <w:szCs w:val="20"/>
              </w:rPr>
            </w:pPr>
            <w:r w:rsidRPr="00605732">
              <w:rPr>
                <w:rFonts w:ascii="Times New Roman" w:hAnsi="Times New Roman"/>
                <w:color w:val="000000"/>
                <w:sz w:val="20"/>
                <w:szCs w:val="20"/>
              </w:rPr>
              <w:t>11.8–15.3 ng/l</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T1D2o00" w:hAnsi="Times New Roman"/>
                <w:color w:val="000000"/>
                <w:sz w:val="20"/>
                <w:szCs w:val="20"/>
                <w:lang w:eastAsia="tr-TR"/>
              </w:rPr>
              <w:t>30</w:t>
            </w:r>
          </w:p>
        </w:tc>
      </w:tr>
      <w:tr w:rsidR="00622F23" w:rsidRPr="00605732" w:rsidTr="00517147">
        <w:trPr>
          <w:trHeight w:val="900"/>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Bebek tahılları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64</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AFB1 %5</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AFB2 %22</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AFG1</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AFG2 %15</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2.4-5.9 ng/g</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AFB2 1.1-5.0 ng/g </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AFG1 tespit edilememiştir</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AFG2 0.4-1.7 ng/g </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18</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Bebek gıdaları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27</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hAnsi="Times New Roman"/>
                <w:color w:val="000000"/>
                <w:sz w:val="20"/>
                <w:szCs w:val="20"/>
              </w:rPr>
            </w:pPr>
            <w:r w:rsidRPr="00605732">
              <w:rPr>
                <w:rFonts w:ascii="Times New Roman" w:eastAsia="Times New Roman" w:hAnsi="Times New Roman"/>
                <w:color w:val="000000"/>
                <w:sz w:val="20"/>
                <w:szCs w:val="20"/>
                <w:lang w:eastAsia="tr-TR"/>
              </w:rPr>
              <w:t xml:space="preserve">AFM1 </w:t>
            </w:r>
            <w:r w:rsidRPr="00605732">
              <w:rPr>
                <w:rFonts w:ascii="Times New Roman" w:hAnsi="Times New Roman"/>
                <w:color w:val="000000"/>
                <w:sz w:val="20"/>
                <w:szCs w:val="20"/>
              </w:rPr>
              <w:t>%26</w:t>
            </w:r>
          </w:p>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 xml:space="preserve"> AFB1 </w:t>
            </w:r>
            <w:r w:rsidRPr="00605732">
              <w:rPr>
                <w:rFonts w:ascii="Times New Roman" w:hAnsi="Times New Roman"/>
                <w:color w:val="000000"/>
                <w:sz w:val="20"/>
                <w:szCs w:val="20"/>
              </w:rPr>
              <w:t>%7</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AFM1 0.017-0.041 μg/kg </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tek örnek 0.009 μg/kg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1</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eastAsia="TimesNewRomanPSMT" w:hAnsi="Times New Roman"/>
                <w:color w:val="000000"/>
                <w:sz w:val="20"/>
                <w:szCs w:val="20"/>
              </w:rPr>
              <w:t>Bebek formülü süt tozu</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NewRomanPSMT" w:hAnsi="Times New Roman"/>
                <w:color w:val="000000"/>
                <w:sz w:val="20"/>
                <w:szCs w:val="20"/>
                <w:lang w:eastAsia="tr-TR"/>
              </w:rPr>
              <w:t>15</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NewRomanPSMT" w:hAnsi="Times New Roman"/>
                <w:color w:val="000000"/>
                <w:sz w:val="20"/>
                <w:szCs w:val="20"/>
                <w:lang w:eastAsia="tr-TR"/>
              </w:rPr>
            </w:pPr>
            <w:r w:rsidRPr="00605732">
              <w:rPr>
                <w:rFonts w:ascii="Times New Roman" w:eastAsia="TimesNewRomanPSMT" w:hAnsi="Times New Roman"/>
                <w:color w:val="000000"/>
                <w:sz w:val="20"/>
                <w:szCs w:val="20"/>
                <w:lang w:eastAsia="tr-TR"/>
              </w:rPr>
              <w:t>AFM1</w:t>
            </w:r>
          </w:p>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NewRomanPSMT" w:hAnsi="Times New Roman"/>
                <w:color w:val="000000"/>
                <w:sz w:val="20"/>
                <w:szCs w:val="20"/>
              </w:rPr>
              <w:t>13.3%</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eastAsia="TimesNewRomanPSMT" w:hAnsi="Times New Roman"/>
                <w:color w:val="000000"/>
                <w:sz w:val="20"/>
                <w:szCs w:val="20"/>
              </w:rPr>
              <w:t xml:space="preserve">AFM1 0.1 – 0.97 ng/kg </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31</w:t>
            </w:r>
          </w:p>
        </w:tc>
      </w:tr>
      <w:tr w:rsidR="00622F23" w:rsidRPr="00605732" w:rsidTr="00517147">
        <w:trPr>
          <w:trHeight w:val="115"/>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Bebek tahılları </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30</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w:t>
            </w:r>
            <w:r w:rsidRPr="00605732">
              <w:rPr>
                <w:rFonts w:ascii="Times New Roman" w:eastAsia="Times New Roman" w:hAnsi="Times New Roman"/>
                <w:color w:val="000000"/>
                <w:sz w:val="20"/>
                <w:szCs w:val="20"/>
                <w:lang w:eastAsia="tr-TR"/>
              </w:rPr>
              <w:t xml:space="preserve"> % 6.7</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AFB1 0.016 – 0.024 μg/kg </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4</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Ticari </w:t>
            </w:r>
            <w:bookmarkStart w:id="0" w:name="__DdeLink__775_594069475"/>
            <w:r w:rsidRPr="00605732">
              <w:rPr>
                <w:rFonts w:ascii="Times New Roman" w:hAnsi="Times New Roman"/>
                <w:color w:val="000000"/>
                <w:sz w:val="20"/>
                <w:szCs w:val="20"/>
              </w:rPr>
              <w:t>bebek formülleri</w:t>
            </w:r>
            <w:bookmarkEnd w:id="0"/>
            <w:r w:rsidRPr="00605732">
              <w:rPr>
                <w:rFonts w:ascii="Times New Roman" w:hAnsi="Times New Roman"/>
                <w:color w:val="000000"/>
                <w:sz w:val="20"/>
                <w:szCs w:val="20"/>
              </w:rPr>
              <w:t xml:space="preserve"> ve bebek gıdaları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75</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both"/>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AFM1 ve AFB1</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ve AFM1 tespit edilememiştir</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32</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Bebek formülü</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62</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AFM1  %8</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0.016 – 0.022 μg/kg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33</w:t>
            </w:r>
          </w:p>
        </w:tc>
      </w:tr>
      <w:tr w:rsidR="00622F23" w:rsidRPr="00605732" w:rsidTr="00517147">
        <w:trPr>
          <w:trHeight w:val="441"/>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bCs/>
                <w:color w:val="000000"/>
                <w:sz w:val="20"/>
                <w:szCs w:val="20"/>
              </w:rPr>
              <w:t>Bebek gıda takviyeleri</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29</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ve AFB2 %13.79</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AFB1 &lt; 2ppb</w:t>
            </w:r>
          </w:p>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AFB2 &lt; 2ppb</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hAnsi="Times New Roman"/>
                <w:bCs/>
                <w:color w:val="000000"/>
                <w:sz w:val="20"/>
                <w:szCs w:val="20"/>
              </w:rPr>
              <w:t>25</w:t>
            </w:r>
          </w:p>
        </w:tc>
      </w:tr>
      <w:tr w:rsidR="00622F23" w:rsidRPr="00605732" w:rsidTr="00517147">
        <w:trPr>
          <w:trHeight w:val="231"/>
        </w:trPr>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Bebek formülü süt</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18</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AFM1 %100</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 xml:space="preserve">501–713 ng/l </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11</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Bebek formülleri</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33</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AFM1</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AFM1 tespit edilememiştir</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34</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bCs/>
                <w:color w:val="000000"/>
                <w:sz w:val="20"/>
                <w:szCs w:val="20"/>
              </w:rPr>
              <w:t>Bebek gıdaları</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48</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bCs/>
                <w:color w:val="000000"/>
                <w:sz w:val="20"/>
                <w:szCs w:val="20"/>
              </w:rPr>
              <w:t>AFB1 % 68.7</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i/>
                <w:iCs/>
                <w:color w:val="000000"/>
                <w:sz w:val="20"/>
                <w:szCs w:val="20"/>
              </w:rPr>
              <w:t>&lt;</w:t>
            </w:r>
            <w:r w:rsidRPr="00605732">
              <w:rPr>
                <w:rFonts w:ascii="Times New Roman" w:eastAsia="MyriadPro-Regular" w:hAnsi="Times New Roman"/>
                <w:color w:val="000000"/>
                <w:sz w:val="20"/>
                <w:szCs w:val="20"/>
              </w:rPr>
              <w:t xml:space="preserve">0.025 </w:t>
            </w:r>
            <w:r w:rsidRPr="00605732">
              <w:rPr>
                <w:rFonts w:ascii="Times New Roman" w:eastAsia="MS Gothic" w:hAnsi="Times New Roman"/>
                <w:color w:val="000000"/>
                <w:sz w:val="20"/>
                <w:szCs w:val="20"/>
              </w:rPr>
              <w:t>−</w:t>
            </w:r>
            <w:r w:rsidRPr="00605732">
              <w:rPr>
                <w:rFonts w:ascii="Times New Roman" w:eastAsia="MyriadPro-Regular" w:hAnsi="Times New Roman"/>
                <w:color w:val="000000"/>
                <w:sz w:val="20"/>
                <w:szCs w:val="20"/>
              </w:rPr>
              <w:t>15.15</w:t>
            </w:r>
            <w:r w:rsidRPr="00605732">
              <w:rPr>
                <w:rFonts w:ascii="Times New Roman" w:hAnsi="Times New Roman"/>
                <w:color w:val="000000"/>
                <w:sz w:val="20"/>
                <w:szCs w:val="20"/>
              </w:rPr>
              <w:t xml:space="preserve"> μg/kg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3</w:t>
            </w:r>
          </w:p>
        </w:tc>
      </w:tr>
      <w:tr w:rsidR="00622F23" w:rsidRPr="00605732" w:rsidTr="00517147">
        <w:tc>
          <w:tcPr>
            <w:tcW w:w="256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Ticari bebek formülleri</w:t>
            </w:r>
          </w:p>
        </w:tc>
        <w:tc>
          <w:tcPr>
            <w:tcW w:w="992"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lang w:eastAsia="tr-TR"/>
              </w:rPr>
              <w:t>248</w:t>
            </w:r>
          </w:p>
        </w:tc>
        <w:tc>
          <w:tcPr>
            <w:tcW w:w="184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bCs/>
                <w:color w:val="000000"/>
                <w:sz w:val="20"/>
                <w:szCs w:val="20"/>
              </w:rPr>
              <w:t xml:space="preserve">AFB1 </w:t>
            </w:r>
            <w:r w:rsidRPr="00605732">
              <w:rPr>
                <w:rFonts w:ascii="Times New Roman" w:hAnsi="Times New Roman"/>
                <w:color w:val="000000"/>
                <w:sz w:val="20"/>
                <w:szCs w:val="20"/>
              </w:rPr>
              <w:t>% 83.9</w:t>
            </w:r>
          </w:p>
        </w:tc>
        <w:tc>
          <w:tcPr>
            <w:tcW w:w="2693"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rPr>
              <w:t>0-87.4 μg/kg</w:t>
            </w:r>
          </w:p>
        </w:tc>
        <w:tc>
          <w:tcPr>
            <w:tcW w:w="1134" w:type="dxa"/>
            <w:tcBorders>
              <w:top w:val="single" w:sz="4" w:space="0" w:color="auto"/>
              <w:bottom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13</w:t>
            </w:r>
          </w:p>
        </w:tc>
      </w:tr>
      <w:tr w:rsidR="00622F23" w:rsidRPr="00605732" w:rsidTr="00517147">
        <w:trPr>
          <w:trHeight w:val="117"/>
        </w:trPr>
        <w:tc>
          <w:tcPr>
            <w:tcW w:w="2562" w:type="dxa"/>
            <w:tcBorders>
              <w:top w:val="single" w:sz="4" w:space="0" w:color="auto"/>
            </w:tcBorders>
            <w:shd w:val="clear" w:color="auto" w:fill="auto"/>
            <w:tcMar>
              <w:left w:w="93" w:type="dxa"/>
            </w:tcMar>
          </w:tcPr>
          <w:p w:rsidR="00622F23" w:rsidRPr="00605732" w:rsidRDefault="00622F23" w:rsidP="00517147">
            <w:pPr>
              <w:spacing w:after="0" w:line="240" w:lineRule="auto"/>
              <w:rPr>
                <w:rFonts w:ascii="Times New Roman" w:hAnsi="Times New Roman"/>
                <w:color w:val="000000"/>
                <w:sz w:val="20"/>
                <w:szCs w:val="20"/>
              </w:rPr>
            </w:pPr>
            <w:r w:rsidRPr="00605732">
              <w:rPr>
                <w:rFonts w:ascii="Times New Roman" w:hAnsi="Times New Roman"/>
                <w:color w:val="000000"/>
                <w:sz w:val="20"/>
                <w:szCs w:val="20"/>
                <w:shd w:val="clear" w:color="auto" w:fill="FFFFFF"/>
              </w:rPr>
              <w:t>Bebek devam sütleri ve formülleri</w:t>
            </w:r>
          </w:p>
        </w:tc>
        <w:tc>
          <w:tcPr>
            <w:tcW w:w="992" w:type="dxa"/>
            <w:tcBorders>
              <w:top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eastAsia="Times New Roman" w:hAnsi="Times New Roman"/>
                <w:color w:val="000000"/>
                <w:sz w:val="20"/>
                <w:szCs w:val="20"/>
                <w:lang w:eastAsia="tr-TR"/>
              </w:rPr>
            </w:pPr>
            <w:r w:rsidRPr="00605732">
              <w:rPr>
                <w:rFonts w:ascii="Times New Roman" w:eastAsia="Times New Roman" w:hAnsi="Times New Roman"/>
                <w:color w:val="000000"/>
                <w:sz w:val="20"/>
                <w:szCs w:val="20"/>
                <w:shd w:val="clear" w:color="auto" w:fill="FFFFFF"/>
                <w:lang w:eastAsia="tr-TR"/>
              </w:rPr>
              <w:t>84</w:t>
            </w:r>
          </w:p>
        </w:tc>
        <w:tc>
          <w:tcPr>
            <w:tcW w:w="1843" w:type="dxa"/>
            <w:tcBorders>
              <w:top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shd w:val="clear" w:color="auto" w:fill="FFFFFF"/>
              </w:rPr>
              <w:t>AFM1 % 38.1</w:t>
            </w:r>
          </w:p>
        </w:tc>
        <w:tc>
          <w:tcPr>
            <w:tcW w:w="2693" w:type="dxa"/>
            <w:tcBorders>
              <w:top w:val="single" w:sz="4" w:space="0" w:color="auto"/>
            </w:tcBorders>
            <w:shd w:val="clear" w:color="auto" w:fill="auto"/>
            <w:tcMar>
              <w:left w:w="93" w:type="dxa"/>
            </w:tcMar>
          </w:tcPr>
          <w:p w:rsidR="00622F23" w:rsidRPr="00605732" w:rsidRDefault="00622F23" w:rsidP="00517147">
            <w:pPr>
              <w:spacing w:after="0" w:line="360" w:lineRule="auto"/>
              <w:rPr>
                <w:rFonts w:ascii="Times New Roman" w:hAnsi="Times New Roman"/>
                <w:color w:val="000000"/>
                <w:sz w:val="20"/>
                <w:szCs w:val="20"/>
              </w:rPr>
            </w:pPr>
            <w:r w:rsidRPr="00605732">
              <w:rPr>
                <w:rFonts w:ascii="Times New Roman" w:hAnsi="Times New Roman"/>
                <w:color w:val="000000"/>
                <w:sz w:val="20"/>
                <w:szCs w:val="20"/>
                <w:shd w:val="clear" w:color="auto" w:fill="FFFFFF"/>
              </w:rPr>
              <w:t xml:space="preserve">0.0055- 0.0201 µg/kg </w:t>
            </w:r>
          </w:p>
        </w:tc>
        <w:tc>
          <w:tcPr>
            <w:tcW w:w="1134" w:type="dxa"/>
            <w:tcBorders>
              <w:top w:val="single" w:sz="4" w:space="0" w:color="auto"/>
            </w:tcBorders>
            <w:shd w:val="clear" w:color="auto" w:fill="auto"/>
            <w:tcMar>
              <w:left w:w="93" w:type="dxa"/>
            </w:tcMar>
          </w:tcPr>
          <w:p w:rsidR="00622F23" w:rsidRPr="00605732" w:rsidRDefault="00622F23" w:rsidP="00517147">
            <w:pPr>
              <w:spacing w:after="0" w:line="360" w:lineRule="auto"/>
              <w:jc w:val="center"/>
              <w:rPr>
                <w:rFonts w:ascii="Times New Roman" w:hAnsi="Times New Roman"/>
                <w:color w:val="000000"/>
                <w:sz w:val="20"/>
                <w:szCs w:val="20"/>
              </w:rPr>
            </w:pPr>
            <w:r w:rsidRPr="00605732">
              <w:rPr>
                <w:rFonts w:ascii="Times New Roman" w:hAnsi="Times New Roman"/>
                <w:color w:val="000000"/>
                <w:sz w:val="20"/>
                <w:szCs w:val="20"/>
              </w:rPr>
              <w:t>23</w:t>
            </w:r>
          </w:p>
        </w:tc>
      </w:tr>
    </w:tbl>
    <w:p w:rsidR="00622F23" w:rsidRPr="00605732" w:rsidRDefault="00622F23" w:rsidP="00622F23">
      <w:pPr>
        <w:autoSpaceDE w:val="0"/>
        <w:autoSpaceDN w:val="0"/>
        <w:adjustRightInd w:val="0"/>
        <w:spacing w:after="0" w:line="48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pP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pPr>
    </w:p>
    <w:p w:rsidR="00622F23" w:rsidRDefault="00622F23" w:rsidP="00622F23">
      <w:pPr>
        <w:autoSpaceDE w:val="0"/>
        <w:autoSpaceDN w:val="0"/>
        <w:adjustRightInd w:val="0"/>
        <w:spacing w:after="0" w:line="240" w:lineRule="auto"/>
        <w:jc w:val="both"/>
        <w:rPr>
          <w:rFonts w:ascii="Times New Roman" w:hAnsi="Times New Roman"/>
          <w:b/>
          <w:caps/>
          <w:color w:val="000000"/>
          <w:sz w:val="24"/>
          <w:szCs w:val="24"/>
        </w:rPr>
        <w:sectPr w:rsidR="00622F23" w:rsidSect="008A75AD">
          <w:type w:val="continuous"/>
          <w:pgSz w:w="11906" w:h="16838"/>
          <w:pgMar w:top="1417" w:right="1417" w:bottom="1417" w:left="1417" w:header="708" w:footer="708" w:gutter="0"/>
          <w:cols w:space="708"/>
          <w:titlePg/>
          <w:docGrid w:linePitch="360"/>
        </w:sectPr>
      </w:pPr>
    </w:p>
    <w:p w:rsidR="00622F23" w:rsidRDefault="00622F23" w:rsidP="00622F23">
      <w:pPr>
        <w:autoSpaceDE w:val="0"/>
        <w:autoSpaceDN w:val="0"/>
        <w:adjustRightInd w:val="0"/>
        <w:spacing w:after="0" w:line="240" w:lineRule="auto"/>
        <w:jc w:val="both"/>
        <w:rPr>
          <w:rFonts w:ascii="Times New Roman" w:hAnsi="Times New Roman"/>
          <w:b/>
          <w:color w:val="000000"/>
          <w:sz w:val="24"/>
          <w:szCs w:val="24"/>
        </w:rPr>
      </w:pPr>
      <w:r w:rsidRPr="00605732">
        <w:rPr>
          <w:rFonts w:ascii="Times New Roman" w:hAnsi="Times New Roman"/>
          <w:b/>
          <w:color w:val="000000"/>
          <w:sz w:val="24"/>
          <w:szCs w:val="24"/>
        </w:rPr>
        <w:lastRenderedPageBreak/>
        <w:t xml:space="preserve">Bebeklerde Aflatoksin Maruziyeti </w:t>
      </w:r>
      <w:r>
        <w:rPr>
          <w:rFonts w:ascii="Times New Roman" w:hAnsi="Times New Roman"/>
          <w:b/>
          <w:color w:val="000000"/>
          <w:sz w:val="24"/>
          <w:szCs w:val="24"/>
        </w:rPr>
        <w:t>v</w:t>
      </w:r>
      <w:r w:rsidRPr="00605732">
        <w:rPr>
          <w:rFonts w:ascii="Times New Roman" w:hAnsi="Times New Roman"/>
          <w:b/>
          <w:color w:val="000000"/>
          <w:sz w:val="24"/>
          <w:szCs w:val="24"/>
        </w:rPr>
        <w:t>e Toksikolojik Etkiler</w:t>
      </w:r>
    </w:p>
    <w:p w:rsidR="00622F23" w:rsidRPr="00605732" w:rsidRDefault="00622F23" w:rsidP="00622F23">
      <w:pPr>
        <w:autoSpaceDE w:val="0"/>
        <w:autoSpaceDN w:val="0"/>
        <w:adjustRightInd w:val="0"/>
        <w:spacing w:after="0" w:line="240" w:lineRule="auto"/>
        <w:jc w:val="both"/>
        <w:rPr>
          <w:rFonts w:ascii="Times New Roman" w:hAnsi="Times New Roman"/>
          <w:b/>
          <w:caps/>
          <w:color w:val="000000"/>
          <w:sz w:val="24"/>
          <w:szCs w:val="24"/>
        </w:rPr>
      </w:pPr>
    </w:p>
    <w:p w:rsidR="00622F23" w:rsidRDefault="00622F23" w:rsidP="00622F23">
      <w:pPr>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Yetişkinlere kıyasla düşük vücut ağırlığı, yüksek metabolik hızları ve toksinleri detoksifiye etme yeteneklerinin az olması nedeniyle bebekler mikotoksinlerin toksikolojik etkilerine daha duyarlıdırlar (18, 35</w:t>
      </w:r>
      <w:r w:rsidRPr="00605732">
        <w:rPr>
          <w:rFonts w:ascii="Times New Roman" w:eastAsia="TimesNewRomanPSMT" w:hAnsi="Times New Roman"/>
          <w:color w:val="000000"/>
          <w:sz w:val="24"/>
          <w:szCs w:val="24"/>
        </w:rPr>
        <w:t>)</w:t>
      </w:r>
      <w:r w:rsidRPr="00605732">
        <w:rPr>
          <w:rFonts w:ascii="Times New Roman" w:hAnsi="Times New Roman"/>
          <w:color w:val="000000"/>
          <w:sz w:val="24"/>
          <w:szCs w:val="24"/>
        </w:rPr>
        <w:t>.</w:t>
      </w:r>
    </w:p>
    <w:p w:rsidR="00622F23" w:rsidRPr="00605732" w:rsidRDefault="00622F23" w:rsidP="00622F23">
      <w:pPr>
        <w:spacing w:after="0" w:line="240" w:lineRule="auto"/>
        <w:jc w:val="both"/>
        <w:rPr>
          <w:rFonts w:ascii="Times New Roman" w:hAnsi="Times New Roman"/>
          <w:color w:val="000000"/>
          <w:sz w:val="24"/>
          <w:szCs w:val="24"/>
        </w:rPr>
      </w:pPr>
    </w:p>
    <w:p w:rsidR="00622F23"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Mikotoksinler içerisinde aflatoksinler sadece ekonomik açıdan değil aynı zamanda halk sağlığın</w:t>
      </w:r>
      <w:r>
        <w:rPr>
          <w:rFonts w:ascii="Times New Roman" w:hAnsi="Times New Roman"/>
          <w:color w:val="000000"/>
          <w:sz w:val="24"/>
          <w:szCs w:val="24"/>
        </w:rPr>
        <w:t>ı</w:t>
      </w:r>
      <w:r w:rsidRPr="00605732">
        <w:rPr>
          <w:rFonts w:ascii="Times New Roman" w:hAnsi="Times New Roman"/>
          <w:color w:val="000000"/>
          <w:sz w:val="24"/>
          <w:szCs w:val="24"/>
        </w:rPr>
        <w:t xml:space="preserve"> negatif etkilediklerinden dolayı en ciddi türlerdir (36). Aflatoksinler çoğu organizma için bağışıklık sistemini baskılayan, mutajenik, karsinojenik ve teratojenik bileşikler olarak bilinmektedir (4). İnsan ve hayvanlar için aflatoksin türlerinin maruziyetin</w:t>
      </w:r>
      <w:r>
        <w:rPr>
          <w:rFonts w:ascii="Times New Roman" w:hAnsi="Times New Roman"/>
          <w:color w:val="000000"/>
          <w:sz w:val="24"/>
          <w:szCs w:val="24"/>
        </w:rPr>
        <w:t>in</w:t>
      </w:r>
      <w:r w:rsidRPr="00605732">
        <w:rPr>
          <w:rFonts w:ascii="Times New Roman" w:hAnsi="Times New Roman"/>
          <w:color w:val="000000"/>
          <w:sz w:val="24"/>
          <w:szCs w:val="24"/>
        </w:rPr>
        <w:t xml:space="preserve"> ana kaynağı diyet ile alınmasıdır (36). Aflatoksin maruz kalma süresi ve miktarına bağlı olarak akut veya kronik aflatoksikozise neden olabilmektedir ve bu sağlık sorunlarına yol açabilmektedir. Metabolik ürünler 2-3 ay veya daha fazla süre kalıcı olabilir ve kan testleriyle tespit edilebilir (</w:t>
      </w:r>
      <w:r w:rsidRPr="00605732">
        <w:rPr>
          <w:rFonts w:ascii="Times New Roman" w:eastAsia="MyriadPro-Regular" w:hAnsi="Times New Roman"/>
          <w:color w:val="000000"/>
          <w:sz w:val="24"/>
          <w:szCs w:val="24"/>
        </w:rPr>
        <w:t xml:space="preserve">37). </w:t>
      </w:r>
      <w:r w:rsidRPr="00605732">
        <w:rPr>
          <w:rFonts w:ascii="Times New Roman" w:hAnsi="Times New Roman"/>
          <w:color w:val="000000"/>
          <w:sz w:val="24"/>
          <w:szCs w:val="24"/>
        </w:rPr>
        <w:t>Akut aflatoksikozis hemoraji, akut karaciğer hasarı, ödem ve ölüm ile karakterizedir ve diyetle yüksek dozda aflatoksin alımından kaynaklanabilmektedir. Aflatoksinler içerisinde en toksik olan AFB1 bilinen en güçlü karaciğer karsinojenidir. Hepatit B virüsü ile infekte olan insanlarda aflatoksine maruziyet tek başına maruziyetle kıyaslanınca sinerjistik etki yaparak hepatosellüler karsinom riskini artırabilmektedir (38). Kontamine gıdalarla alınan AFB1 absorbe edilmekte ve AFM1’e metabolize edilmekte ve metabolit de idrar ve süt yolu ile atılmaktadır (32).</w:t>
      </w: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 AFM1 sitotoksik olup, akut toksisitesi AFB1 ile benzerdir (39). Aflatoksinler, Uluslararası Kanser Araştırma Ajansı (IARC) tarafından Grup I karsinojen olarak belirtilmiştir (40, 41)</w:t>
      </w:r>
      <w:r w:rsidRPr="00605732">
        <w:rPr>
          <w:rFonts w:ascii="Times New Roman" w:eastAsia="MyriadPro-Regular" w:hAnsi="Times New Roman"/>
          <w:color w:val="000000"/>
          <w:sz w:val="24"/>
          <w:szCs w:val="24"/>
        </w:rPr>
        <w:t>.</w:t>
      </w:r>
      <w:r>
        <w:rPr>
          <w:rFonts w:ascii="Times New Roman" w:eastAsia="MyriadPro-Regular" w:hAnsi="Times New Roman"/>
          <w:color w:val="000000"/>
          <w:sz w:val="24"/>
          <w:szCs w:val="24"/>
        </w:rPr>
        <w:t xml:space="preserve"> </w:t>
      </w:r>
      <w:r w:rsidRPr="00605732">
        <w:rPr>
          <w:rFonts w:ascii="Times New Roman" w:hAnsi="Times New Roman"/>
          <w:color w:val="000000"/>
          <w:sz w:val="24"/>
          <w:szCs w:val="24"/>
        </w:rPr>
        <w:t xml:space="preserve">Bebeklerin </w:t>
      </w:r>
      <w:r w:rsidRPr="00605732">
        <w:rPr>
          <w:rFonts w:ascii="Times New Roman" w:hAnsi="Times New Roman"/>
          <w:color w:val="000000"/>
          <w:sz w:val="24"/>
          <w:szCs w:val="24"/>
        </w:rPr>
        <w:lastRenderedPageBreak/>
        <w:t xml:space="preserve">karsinojenik aflatoksinlere maruziyeti onların sağlıkları için ciddi bir etkendir. Bebeklerin hızlı gelişimlerine eşlik eden, vücut ağırlığının kilogramı başına yüksek besin alımları vardır. Karsinojenlerin biyotransformasyon yeteneği bebeklerde yetişkinlere kıyasla yavaştır; sonuç olarak toksinin dolaşım ve maruziyet süresi bebeklerin dokularında artış göstermektedir. Aflatoksinlerin düzeyleri yasal limitler içerisinde olsa bile sürekli maruz kalma durumu nedeniyle başlıca karsinojenik etkileri olmak üzere kronik etkileri önlenemez (31). Küçük çocuklarda büyüme geriliği ve çocuklarda kwashiorkor olmak üzere gelişimin duraksaması ve aflatoksin maruziyeti arasındaki muhtemel </w:t>
      </w:r>
      <w:r>
        <w:rPr>
          <w:rFonts w:ascii="Times New Roman" w:hAnsi="Times New Roman"/>
          <w:color w:val="000000"/>
          <w:sz w:val="24"/>
          <w:szCs w:val="24"/>
        </w:rPr>
        <w:t>ilişki araştırmalar ile gösteri</w:t>
      </w:r>
      <w:r w:rsidRPr="00605732">
        <w:rPr>
          <w:rFonts w:ascii="Times New Roman" w:hAnsi="Times New Roman"/>
          <w:color w:val="000000"/>
          <w:sz w:val="24"/>
          <w:szCs w:val="24"/>
        </w:rPr>
        <w:t xml:space="preserve">miştir (42). </w:t>
      </w:r>
    </w:p>
    <w:p w:rsidR="00622F23" w:rsidRDefault="00622F23" w:rsidP="00622F23">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rsidR="00622F23" w:rsidRDefault="00622F23" w:rsidP="00622F23">
      <w:pPr>
        <w:spacing w:after="0" w:line="240" w:lineRule="auto"/>
        <w:jc w:val="both"/>
        <w:rPr>
          <w:rFonts w:ascii="Times New Roman" w:eastAsia="MyriadPro-Regular" w:hAnsi="Times New Roman"/>
          <w:color w:val="000000"/>
          <w:sz w:val="24"/>
          <w:szCs w:val="24"/>
        </w:rPr>
      </w:pPr>
      <w:r w:rsidRPr="00605732">
        <w:rPr>
          <w:rFonts w:ascii="Times New Roman" w:hAnsi="Times New Roman"/>
          <w:color w:val="000000"/>
          <w:sz w:val="24"/>
          <w:szCs w:val="24"/>
        </w:rPr>
        <w:t xml:space="preserve">Emzirme sonrası bebeklerin aflatoksin ile kontamine gıdaları tüketmesi ile çocuklarda gelişim yavaşlamaktadır. Annelerin metabolizması diyetteki aflatoksinin süte geçişini sınırlandırmaktadır. Bebeklerin aflatoksine maruziyeti kanda bulunan aflatoksin-albümin (AF-ab) ile ölçülebilmektedir (36).  </w:t>
      </w:r>
      <w:r w:rsidRPr="00605732">
        <w:rPr>
          <w:rFonts w:ascii="Times New Roman" w:eastAsia="MyriadPro-Regular" w:hAnsi="Times New Roman"/>
          <w:color w:val="000000"/>
          <w:sz w:val="24"/>
          <w:szCs w:val="24"/>
        </w:rPr>
        <w:t>Aflatoksin maruziyeti çocuklarda gelişimi bağışıklık sistemini baskılayarak etkileyebilir ve infeksiyöz hastalıklara karşı artmış bir duyarlılığa,  aflatoksin kaynaklı RNA bozukluğu nedeniyle protein sentezinin inhibisyonuna veya intestinal malabsorbsiyona neden olabilmektedir. Çocukluk döneminde büyüme geriliği, yetişkin boyutunda azalma, iş kapasitesinde azalma ve olumsuz üreme sonuçları ile ilişkili olabilmektedir (42).</w:t>
      </w:r>
    </w:p>
    <w:p w:rsidR="00622F23" w:rsidRPr="00605732" w:rsidRDefault="00622F23" w:rsidP="00622F23">
      <w:pPr>
        <w:spacing w:after="0" w:line="240" w:lineRule="auto"/>
        <w:jc w:val="both"/>
        <w:rPr>
          <w:rFonts w:ascii="Times New Roman" w:eastAsia="MyriadPro-Regular" w:hAnsi="Times New Roman"/>
          <w:color w:val="000000"/>
          <w:sz w:val="24"/>
          <w:szCs w:val="24"/>
        </w:rPr>
      </w:pPr>
    </w:p>
    <w:p w:rsidR="00622F23" w:rsidRDefault="00622F23" w:rsidP="00622F23">
      <w:pPr>
        <w:autoSpaceDE w:val="0"/>
        <w:autoSpaceDN w:val="0"/>
        <w:adjustRightInd w:val="0"/>
        <w:spacing w:after="0" w:line="240" w:lineRule="auto"/>
        <w:jc w:val="both"/>
        <w:rPr>
          <w:rFonts w:ascii="Times New Roman" w:hAnsi="Times New Roman"/>
          <w:b/>
          <w:color w:val="000000"/>
          <w:sz w:val="24"/>
          <w:szCs w:val="24"/>
        </w:rPr>
      </w:pPr>
      <w:r w:rsidRPr="00605732">
        <w:rPr>
          <w:rFonts w:ascii="Times New Roman" w:hAnsi="Times New Roman"/>
          <w:b/>
          <w:color w:val="000000"/>
          <w:sz w:val="24"/>
          <w:szCs w:val="24"/>
        </w:rPr>
        <w:t>Bebek Gıdalarında Aflatoksinler İle İlgili Yasal Düzenlemeler</w:t>
      </w:r>
    </w:p>
    <w:p w:rsidR="00622F23" w:rsidRPr="00605732" w:rsidRDefault="00622F23" w:rsidP="00622F23">
      <w:pPr>
        <w:autoSpaceDE w:val="0"/>
        <w:autoSpaceDN w:val="0"/>
        <w:adjustRightInd w:val="0"/>
        <w:spacing w:after="0" w:line="240" w:lineRule="auto"/>
        <w:jc w:val="both"/>
        <w:rPr>
          <w:rFonts w:ascii="Times New Roman" w:hAnsi="Times New Roman"/>
          <w:caps/>
          <w:color w:val="000000"/>
          <w:sz w:val="24"/>
          <w:szCs w:val="24"/>
        </w:rPr>
      </w:pP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Bebekler tarafından mikotoksinlerin alımı ile ilgili riskler nedeniyle yaklaşık olarak 20 ülkede bebek gıdalarında mikotoksinlerin izin verilen düzeyleri için yasal düzenlemeler bulunmaktadır (18). </w:t>
      </w:r>
    </w:p>
    <w:p w:rsidR="00622F23" w:rsidRPr="00605732" w:rsidRDefault="00622F23" w:rsidP="00622F23">
      <w:pPr>
        <w:autoSpaceDE w:val="0"/>
        <w:autoSpaceDN w:val="0"/>
        <w:adjustRightInd w:val="0"/>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lastRenderedPageBreak/>
        <w:t xml:space="preserve">Bebekler için gıdalarda herhangi bir kontaminantın sağlık riski yetişkinlere göre üç kat daha fazladır ve sonuç olarak, bebek gıdalarında mikotoksinler için konulan AB yasal limitleri diğer matriksler için konulan limitlerden daha düşüktür ve daha kapsamlı kontroller gereklidir (32). Avrupa komisyonu işlenmiş tahıl </w:t>
      </w:r>
      <w:proofErr w:type="gramStart"/>
      <w:r w:rsidRPr="00605732">
        <w:rPr>
          <w:rFonts w:ascii="Times New Roman" w:hAnsi="Times New Roman"/>
          <w:color w:val="000000"/>
          <w:sz w:val="24"/>
          <w:szCs w:val="24"/>
        </w:rPr>
        <w:t>bazlı</w:t>
      </w:r>
      <w:proofErr w:type="gramEnd"/>
      <w:r w:rsidRPr="00605732">
        <w:rPr>
          <w:rFonts w:ascii="Times New Roman" w:hAnsi="Times New Roman"/>
          <w:color w:val="000000"/>
          <w:sz w:val="24"/>
          <w:szCs w:val="24"/>
        </w:rPr>
        <w:t xml:space="preserve"> gıdalar ve bebek gıdalarında AFB1 için maksimum limit değerini bebekler ve genç çocuklar için 0.1 µg/kg olarak belirlemiştir. Aynı zamanda bebekler için özel tıbbi amaçlı diyet gıdalar için de AFB1 maksimum limit değeri 0.1 µg/kg’dır (43). Süt ve süt ürünlerinde AFM1 varlığı</w:t>
      </w:r>
      <w:r>
        <w:rPr>
          <w:rFonts w:ascii="Times New Roman" w:hAnsi="Times New Roman"/>
          <w:color w:val="000000"/>
          <w:sz w:val="24"/>
          <w:szCs w:val="24"/>
        </w:rPr>
        <w:t>nın</w:t>
      </w:r>
      <w:r w:rsidRPr="00605732">
        <w:rPr>
          <w:rFonts w:ascii="Times New Roman" w:hAnsi="Times New Roman"/>
          <w:color w:val="000000"/>
          <w:sz w:val="24"/>
          <w:szCs w:val="24"/>
        </w:rPr>
        <w:t xml:space="preserve"> özellikle bebek ve çocuklar olmak üzere tüketiciler için sağlık açısından negatif etkileri vardır (32). Avrupa komisyonu sütlerdeki, bebek formüllerindeki ve devam formüllerindeki, bebek sütü ve devam sütünüde içeren ürünlerde ve bebekler için özel tıbbi amaçlı diyet gıdalarda AFM1 limitini 0.025 µg/kg olarak belirtmektedir (43). Türkiye’de diğer birçok ülkede olduğu gibi bebek gıdalarında aflatoksin kontaminasyonu ile ilgili yasal kısıtlamalar vardır. 1881/2006/EC sayılı gıdalardaki belirli bulaşanların maksimum limitlerinin belirlenmesi hakkında Avrupa Birliği Komisyon Tüzüğüne paralel olarak, Gıda, Tarım ve Hayvancılık Bakanlığı, Türk Gıda Kodeksi Bulaşanlar yönetmeliğinde aflatoksin ile ilgili limitler belirtilmiştir. Bu yönetmelikte bebek ve küçük çocuk ek gıdaları için maksimum AFB1 limiti 0,1 µg/kg olarak belirtilirken, bebek sütleri ve devam sütleri </w:t>
      </w:r>
      <w:proofErr w:type="gramStart"/>
      <w:r w:rsidRPr="00605732">
        <w:rPr>
          <w:rFonts w:ascii="Times New Roman" w:hAnsi="Times New Roman"/>
          <w:color w:val="000000"/>
          <w:sz w:val="24"/>
          <w:szCs w:val="24"/>
        </w:rPr>
        <w:t>dahil</w:t>
      </w:r>
      <w:proofErr w:type="gramEnd"/>
      <w:r w:rsidRPr="00605732">
        <w:rPr>
          <w:rFonts w:ascii="Times New Roman" w:hAnsi="Times New Roman"/>
          <w:color w:val="000000"/>
          <w:sz w:val="24"/>
          <w:szCs w:val="24"/>
        </w:rPr>
        <w:t xml:space="preserve"> olmak üzere maksimum AFM1 limiti 0,025 µg/kg olarak belirtilmiştir. Bebekler için özel tıbbi amaçlı diyet gıdalar için ise maksimum AFB1 ve AFM1 limitleri sırasıyla 0,1 µg/kg ve 0,025 µg/kg’dir (44).</w:t>
      </w:r>
    </w:p>
    <w:p w:rsidR="00622F23" w:rsidRDefault="00622F23" w:rsidP="00622F23">
      <w:pPr>
        <w:autoSpaceDE w:val="0"/>
        <w:autoSpaceDN w:val="0"/>
        <w:adjustRightInd w:val="0"/>
        <w:spacing w:after="0" w:line="240" w:lineRule="auto"/>
        <w:jc w:val="both"/>
        <w:rPr>
          <w:rFonts w:ascii="Times New Roman" w:hAnsi="Times New Roman"/>
          <w:b/>
          <w:bCs/>
          <w:caps/>
          <w:color w:val="000000"/>
          <w:sz w:val="24"/>
          <w:szCs w:val="24"/>
        </w:rPr>
      </w:pPr>
    </w:p>
    <w:p w:rsidR="00622F23" w:rsidRDefault="00622F23" w:rsidP="00622F23">
      <w:pPr>
        <w:autoSpaceDE w:val="0"/>
        <w:autoSpaceDN w:val="0"/>
        <w:adjustRightInd w:val="0"/>
        <w:spacing w:after="0" w:line="240" w:lineRule="auto"/>
        <w:jc w:val="both"/>
        <w:rPr>
          <w:rFonts w:ascii="Times New Roman" w:hAnsi="Times New Roman"/>
          <w:b/>
          <w:bCs/>
          <w:caps/>
          <w:color w:val="000000"/>
          <w:sz w:val="24"/>
          <w:szCs w:val="24"/>
        </w:rPr>
      </w:pPr>
      <w:r w:rsidRPr="00605732">
        <w:rPr>
          <w:rFonts w:ascii="Times New Roman" w:hAnsi="Times New Roman"/>
          <w:b/>
          <w:bCs/>
          <w:caps/>
          <w:color w:val="000000"/>
          <w:sz w:val="24"/>
          <w:szCs w:val="24"/>
        </w:rPr>
        <w:t xml:space="preserve">Sonuç </w:t>
      </w:r>
    </w:p>
    <w:p w:rsidR="00622F23" w:rsidRPr="00605732" w:rsidRDefault="00622F23" w:rsidP="00622F23">
      <w:pPr>
        <w:autoSpaceDE w:val="0"/>
        <w:autoSpaceDN w:val="0"/>
        <w:adjustRightInd w:val="0"/>
        <w:spacing w:after="0" w:line="240" w:lineRule="auto"/>
        <w:jc w:val="both"/>
        <w:rPr>
          <w:rFonts w:ascii="Times New Roman" w:hAnsi="Times New Roman"/>
          <w:caps/>
          <w:color w:val="000000"/>
          <w:sz w:val="24"/>
          <w:szCs w:val="24"/>
        </w:rPr>
      </w:pPr>
    </w:p>
    <w:p w:rsidR="00622F23" w:rsidRDefault="00622F23" w:rsidP="00622F23">
      <w:pPr>
        <w:spacing w:after="0" w:line="240" w:lineRule="auto"/>
        <w:jc w:val="both"/>
        <w:rPr>
          <w:rFonts w:ascii="Times New Roman" w:hAnsi="Times New Roman"/>
          <w:color w:val="000000"/>
          <w:sz w:val="24"/>
          <w:szCs w:val="24"/>
        </w:rPr>
      </w:pPr>
      <w:r w:rsidRPr="00605732">
        <w:rPr>
          <w:rFonts w:ascii="Times New Roman" w:hAnsi="Times New Roman"/>
          <w:color w:val="000000"/>
          <w:sz w:val="24"/>
          <w:szCs w:val="24"/>
        </w:rPr>
        <w:t xml:space="preserve">Bebekler gerek fizyolojileri gerekse diyetle maruziyet açısından </w:t>
      </w:r>
      <w:proofErr w:type="gramStart"/>
      <w:r w:rsidRPr="00605732">
        <w:rPr>
          <w:rFonts w:ascii="Times New Roman" w:hAnsi="Times New Roman"/>
          <w:color w:val="000000"/>
          <w:sz w:val="24"/>
          <w:szCs w:val="24"/>
        </w:rPr>
        <w:t>popülasyonun</w:t>
      </w:r>
      <w:proofErr w:type="gramEnd"/>
      <w:r w:rsidRPr="00605732">
        <w:rPr>
          <w:rFonts w:ascii="Times New Roman" w:hAnsi="Times New Roman"/>
          <w:color w:val="000000"/>
          <w:sz w:val="24"/>
          <w:szCs w:val="24"/>
        </w:rPr>
        <w:t xml:space="preserve"> savunmasız kısmını oluştururlar. Bebekler gibi duyarlı bireylerin diyetlerinde aflatoksinlerin varlığı büyük önem taşımaktadır.  Aflatoksinler toksik ve </w:t>
      </w:r>
      <w:r w:rsidRPr="00605732">
        <w:rPr>
          <w:rFonts w:ascii="Times New Roman" w:hAnsi="Times New Roman"/>
          <w:color w:val="000000"/>
          <w:sz w:val="24"/>
          <w:szCs w:val="24"/>
        </w:rPr>
        <w:lastRenderedPageBreak/>
        <w:t>karsinojenik etkilere sahiptir ve bebek sağlığı açısından önemli bir sorundur. Çocuklarda aflatoksin maruziyetinin bağışık</w:t>
      </w:r>
      <w:r>
        <w:rPr>
          <w:rFonts w:ascii="Times New Roman" w:hAnsi="Times New Roman"/>
          <w:color w:val="000000"/>
          <w:sz w:val="24"/>
          <w:szCs w:val="24"/>
        </w:rPr>
        <w:t>lık</w:t>
      </w:r>
      <w:r w:rsidRPr="00605732">
        <w:rPr>
          <w:rFonts w:ascii="Times New Roman" w:hAnsi="Times New Roman"/>
          <w:color w:val="000000"/>
          <w:sz w:val="24"/>
          <w:szCs w:val="24"/>
        </w:rPr>
        <w:t xml:space="preserve"> sistemini baskıladığı, beslenme bozukluğu, büyüme geriliği ve çeşitli hastalıklarla bağlantılı olduğuna dair araştırmalar vardır. Bebek gıdalarında süt tozu, tahıllar ve meyveler olmak üzere birçok bileşenlerin bulunması nedeniyle aflatoksin kontaminasyonu kaçınılmazdır. Gıdanın gördüğü işlemlerden etkilenmeyen bu toksinlerin yasal olarak izin verilen sınırların altında olması yönünde çaba gerekmektedir. Bu bağlamda, bebek gıdalarının aflatoksinler açısından periyodik olarak test edilmesi ile bebeklere sağlıklı beslenmeleri için güvenli gıda sağlanabilecektir.</w:t>
      </w:r>
    </w:p>
    <w:p w:rsidR="00622F23" w:rsidRPr="00605732" w:rsidRDefault="00622F23" w:rsidP="00622F23">
      <w:pPr>
        <w:spacing w:after="0" w:line="240" w:lineRule="auto"/>
        <w:jc w:val="both"/>
        <w:rPr>
          <w:rFonts w:ascii="Times New Roman" w:hAnsi="Times New Roman"/>
          <w:color w:val="000000"/>
          <w:sz w:val="24"/>
          <w:szCs w:val="24"/>
        </w:rPr>
      </w:pPr>
    </w:p>
    <w:p w:rsidR="00622F23" w:rsidRDefault="00622F23" w:rsidP="00622F23">
      <w:pPr>
        <w:pStyle w:val="ListeParagraf"/>
        <w:autoSpaceDE w:val="0"/>
        <w:autoSpaceDN w:val="0"/>
        <w:adjustRightInd w:val="0"/>
        <w:spacing w:after="0" w:line="240" w:lineRule="auto"/>
        <w:ind w:left="0"/>
        <w:jc w:val="both"/>
        <w:rPr>
          <w:rFonts w:ascii="Times New Roman" w:hAnsi="Times New Roman"/>
          <w:b/>
          <w:caps/>
          <w:color w:val="000000"/>
          <w:sz w:val="24"/>
          <w:szCs w:val="24"/>
          <w:lang w:val="tr-TR"/>
        </w:rPr>
      </w:pPr>
      <w:r w:rsidRPr="00605732">
        <w:rPr>
          <w:rFonts w:ascii="Times New Roman" w:hAnsi="Times New Roman"/>
          <w:b/>
          <w:caps/>
          <w:color w:val="000000"/>
          <w:sz w:val="24"/>
          <w:szCs w:val="24"/>
          <w:lang w:val="tr-TR"/>
        </w:rPr>
        <w:t>Kaynaklar</w:t>
      </w:r>
    </w:p>
    <w:p w:rsidR="00622F23" w:rsidRPr="00605732" w:rsidRDefault="00622F23" w:rsidP="00622F23">
      <w:pPr>
        <w:pStyle w:val="ListeParagraf"/>
        <w:autoSpaceDE w:val="0"/>
        <w:autoSpaceDN w:val="0"/>
        <w:adjustRightInd w:val="0"/>
        <w:spacing w:after="0" w:line="240" w:lineRule="auto"/>
        <w:ind w:left="0"/>
        <w:jc w:val="both"/>
        <w:rPr>
          <w:rFonts w:ascii="Times New Roman" w:hAnsi="Times New Roman"/>
          <w:b/>
          <w:caps/>
          <w:color w:val="000000"/>
          <w:sz w:val="24"/>
          <w:szCs w:val="24"/>
          <w:lang w:val="tr-TR"/>
        </w:rPr>
      </w:pP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Alvito PC, Sizoo EA, Almeida CMM, van Egmond HP. Occurrence of aflatoxins and ochratoxin a in baby foods in Portugal. Food Anal Methods. 2010; 3:22–30.</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Brera C, Debegnach F, De Santis B, Pannunzi E, Berdini C, Prantera E. et al. Simultaneous determination of aflatoxins and ochratoxin A in baby foods and paprika by HPLC with fluorescence detection: A single-laboratory validation study. Talanta. 2011; 83:1442–1446.</w:t>
      </w:r>
    </w:p>
    <w:p w:rsidR="00622F23" w:rsidRPr="00A61E6F" w:rsidRDefault="00622F23" w:rsidP="00622F23">
      <w:pPr>
        <w:pStyle w:val="ListeParagraf"/>
        <w:numPr>
          <w:ilvl w:val="0"/>
          <w:numId w:val="2"/>
        </w:numPr>
        <w:spacing w:after="0" w:line="240" w:lineRule="auto"/>
        <w:ind w:left="0"/>
        <w:jc w:val="both"/>
        <w:rPr>
          <w:rFonts w:ascii="Times New Roman" w:hAnsi="Times New Roman"/>
          <w:bCs/>
          <w:color w:val="000000"/>
          <w:sz w:val="20"/>
          <w:szCs w:val="20"/>
          <w:lang w:val="tr-TR"/>
        </w:rPr>
      </w:pPr>
      <w:r w:rsidRPr="00A61E6F">
        <w:rPr>
          <w:rFonts w:ascii="Times New Roman" w:hAnsi="Times New Roman"/>
          <w:bCs/>
          <w:color w:val="000000"/>
          <w:sz w:val="20"/>
          <w:szCs w:val="20"/>
          <w:lang w:val="tr-TR"/>
        </w:rPr>
        <w:t xml:space="preserve">Mottaghianpour E, Nazari F, Mehrasbia MR, Hosseini MJ. Occurrence of aflatoxin B1 in baby foods marketed in Iran. </w:t>
      </w:r>
      <w:hyperlink r:id="rId12" w:tooltip="Journal of the science of food and agriculture." w:history="1">
        <w:r w:rsidRPr="008C2DAA">
          <w:rPr>
            <w:rStyle w:val="Kpr"/>
            <w:rFonts w:ascii="Times New Roman" w:hAnsi="Times New Roman"/>
            <w:color w:val="000000"/>
            <w:sz w:val="20"/>
            <w:szCs w:val="20"/>
            <w:u w:val="none"/>
            <w:shd w:val="clear" w:color="auto" w:fill="FFFFFF"/>
            <w:lang w:val="tr-TR"/>
          </w:rPr>
          <w:t>J Sci Food Agric.</w:t>
        </w:r>
      </w:hyperlink>
      <w:r w:rsidRPr="00A61E6F">
        <w:rPr>
          <w:rStyle w:val="apple-converted-space"/>
          <w:rFonts w:ascii="Times New Roman" w:hAnsi="Times New Roman"/>
          <w:color w:val="000000"/>
          <w:sz w:val="20"/>
          <w:szCs w:val="20"/>
          <w:shd w:val="clear" w:color="auto" w:fill="FFFFFF"/>
          <w:lang w:val="tr-TR"/>
        </w:rPr>
        <w:t> </w:t>
      </w:r>
      <w:r w:rsidRPr="00A61E6F">
        <w:rPr>
          <w:rFonts w:ascii="Times New Roman" w:hAnsi="Times New Roman"/>
          <w:color w:val="000000"/>
          <w:sz w:val="20"/>
          <w:szCs w:val="20"/>
          <w:shd w:val="clear" w:color="auto" w:fill="FFFFFF"/>
          <w:lang w:val="tr-TR"/>
        </w:rPr>
        <w:t>2017; 97(9):2690-2694.</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Jin Q, Liu SY, Huang XH, Zhu GN. Determination of aflatoxin in infant cereals from Hangzhou, China. Anal Lett. 2013; 46(15):2319-2331.</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rPr>
        <w:t>Briefel RR, Reidy K, Karwe V, Devaney B. Feeding infants and toddlers study: Improvements needed in meeting infant feeding recommendations. J Am Diet Assoc. 2004; 104(1 Suppl 1); 31-37.</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rPr>
        <w:t>Devaney B. Kalb L, Briefel R, Zavitsky-Novak T, Clusen N, Ziegler P. Feeding infants and toddlers study: Overview of the study design. J Am Diet Assoc. 2004; 104(1 Suppl 1); 8-13.</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bCs/>
          <w:color w:val="000000"/>
          <w:sz w:val="20"/>
          <w:szCs w:val="20"/>
        </w:rPr>
        <w:t>Martin CR, Ling PR, Blackburn GL. Review of infant feeding: Key features of breast milk and infant formula. Nutrients. 2016; 8(5); 279.</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Beltrán E, Ibáñez M, Sancho JV, Cortés MÁ, Yusà V, Hernández F. UHPLC–MS/MS highly sensitive determination of aflatoxins, the aflatoxin metabolite M1 and ochratoxin A in baby food and milk. Food Chem.2011; 126:737–744.</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 xml:space="preserve">Akhtar S, Shahzad MA, Yoo SH, Ismail A, Hameed A, Ismail T. et al. Determination of aflatoxin m 1 and </w:t>
      </w:r>
      <w:r w:rsidRPr="00A61E6F">
        <w:rPr>
          <w:rFonts w:ascii="Times New Roman" w:hAnsi="Times New Roman"/>
          <w:color w:val="000000"/>
          <w:sz w:val="20"/>
          <w:szCs w:val="20"/>
          <w:lang w:val="tr-TR"/>
        </w:rPr>
        <w:lastRenderedPageBreak/>
        <w:t>heavy metals in infant formula milk brands available in Pakistani markets. Korean J Food Sci An. 2017; 37(1):79-86.</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Yentür G, Er B. Gıdalarda aﬂatoksin varlığının değerlendirilmesi. Turk Hij Den Biyol Derg. 2012; 69(1): 41-52.</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Kanungo L, Bhand S. A survey of aflatoxin M1 in some commercial milk samples and infant formula milk samples in Goa, India, Food and Agricultural Immunology. 2014; 25(4):467-476.</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bCs/>
          <w:color w:val="000000"/>
          <w:sz w:val="20"/>
          <w:szCs w:val="20"/>
          <w:lang w:val="tr-TR"/>
        </w:rPr>
        <w:t xml:space="preserve">Yentür G, Er B, Ozkan MG, Oktem AB. </w:t>
      </w:r>
      <w:r w:rsidRPr="00A61E6F">
        <w:rPr>
          <w:rFonts w:ascii="Times New Roman" w:hAnsi="Times New Roman"/>
          <w:color w:val="000000"/>
          <w:sz w:val="20"/>
          <w:szCs w:val="20"/>
          <w:lang w:val="tr-TR"/>
        </w:rPr>
        <w:t>Determination of aflatoxins in peanut butter and sesame samples using high-performance liquid chromatography method. Eur Food Res Technol. 2006; 224:167–170.</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Ware LY, Durand N, Nikiema PA, Alter P, Fontana A, Montet D. et al. Occurrence of mycotoxins in commercial infant formulas locally produced in Ouagadougou (Burkina Faso). Food Control. 2017; 73:518-523.</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Zhang K, Wong JW, Krynitsky AJ, Trucksess MW. Determining mycotoxins in baby foods and animal feeds using stable isotope dilution and liquid chromatography tandem mass spectrometry. J Agric Food Chem. 2014; 62:8935-8943.</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Michaelsen KF, Weaver L, Branca F, Robertson A. Feeding and nutrition of infants and young children. Guidelines for the WHO European Region, with emphasis on the former Soviet countries. 2000; No. 87, pp.1-288.</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World Health Organisation (WHO). Complementary feding of young children in developing countries: a review of current scientific knowledge. 1998; WHO/NUT/98.1, pp. 1-232.</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bCs/>
          <w:color w:val="000000"/>
          <w:sz w:val="20"/>
          <w:szCs w:val="20"/>
        </w:rPr>
        <w:t>T.C. Sağlık Bakanlığı Sağlık Eğitimi Genel Müdürlüğü</w:t>
      </w:r>
      <w:r w:rsidRPr="00A61E6F">
        <w:rPr>
          <w:rFonts w:ascii="Times New Roman" w:hAnsi="Times New Roman"/>
          <w:color w:val="000000"/>
          <w:sz w:val="20"/>
          <w:szCs w:val="20"/>
        </w:rPr>
        <w:t xml:space="preserve">. </w:t>
      </w:r>
      <w:r w:rsidRPr="00A61E6F">
        <w:rPr>
          <w:rFonts w:ascii="Times New Roman" w:hAnsi="Times New Roman"/>
          <w:bCs/>
          <w:color w:val="000000"/>
          <w:sz w:val="20"/>
          <w:szCs w:val="20"/>
        </w:rPr>
        <w:t>Eğitimciler İçin Eğitim Rehberi</w:t>
      </w:r>
      <w:r w:rsidRPr="00A61E6F">
        <w:rPr>
          <w:rFonts w:ascii="Times New Roman" w:hAnsi="Times New Roman"/>
          <w:bCs/>
          <w:color w:val="000000"/>
          <w:sz w:val="20"/>
          <w:szCs w:val="20"/>
        </w:rPr>
        <w:br/>
        <w:t xml:space="preserve">Beslenme Modülleri. </w:t>
      </w:r>
      <w:r w:rsidRPr="00A61E6F">
        <w:rPr>
          <w:rFonts w:ascii="Times New Roman" w:eastAsia="TimesNewRomanPSMT" w:hAnsi="Times New Roman"/>
          <w:color w:val="000000"/>
          <w:sz w:val="20"/>
          <w:szCs w:val="20"/>
        </w:rPr>
        <w:t>Ankara, 2008 Sağlık Bakanlığı Yayın No.: 722</w:t>
      </w:r>
      <w:r w:rsidRPr="00A61E6F">
        <w:rPr>
          <w:rFonts w:ascii="Times New Roman" w:eastAsia="TimesNewRomanPSMT" w:hAnsi="Times New Roman"/>
          <w:color w:val="000000"/>
          <w:sz w:val="20"/>
          <w:szCs w:val="20"/>
        </w:rPr>
        <w:br/>
        <w:t>ISBN: 978-975-590-238-8, s. 69-71.</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Al-Taher F, Cappozzo J, Zweigenbaum J, Lee HJ, Jackson L, Ryu D. Detection and quantitation of mycotoxins in infant cereals in the U.S. market by LC-MS/MS using a stable isotope dilution assay. Food Control. 2017; 72:27-35</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Marin S, Ramos AJ, Cano-Sancho G, Sanchis V. Mycotoxins: Occurrence, toxicology, and exposure assessment. Food Chem Toxicol. 2013; 60:218–237.</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 xml:space="preserve">Iha MH, Barbosa CB, Heck AR, Trucksess MW. Aﬂatoxin M1 and ochratoxin A in human milk in Ribeirão Preto-SP, Brazil. </w:t>
      </w:r>
      <w:r w:rsidRPr="00A61E6F">
        <w:rPr>
          <w:rFonts w:ascii="Times New Roman" w:hAnsi="Times New Roman"/>
          <w:iCs/>
          <w:color w:val="000000"/>
          <w:sz w:val="20"/>
          <w:szCs w:val="20"/>
          <w:lang w:val="tr-TR"/>
        </w:rPr>
        <w:t xml:space="preserve">Food Control. </w:t>
      </w:r>
      <w:r w:rsidRPr="00A61E6F">
        <w:rPr>
          <w:rFonts w:ascii="Times New Roman" w:hAnsi="Times New Roman"/>
          <w:color w:val="000000"/>
          <w:sz w:val="20"/>
          <w:szCs w:val="20"/>
          <w:lang w:val="tr-TR"/>
        </w:rPr>
        <w:t>2014; 40:310-313.</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Torović L. Aflatoxin M1 in processed milk and infant formulae and corresponding exposure of adult population in Serbia in 2013–2014. Food Addit Contam Part B. 2015; 8(4):235-244.</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Er B, Demirhan B, Onurdağ FK, Yentür G. Determination of aflatoxin M1 level in milk and white cheese consumed in Ankara region Turkey. J Anim Vet Adv. 2010; 9(12):1780-1784.</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lastRenderedPageBreak/>
        <w:t xml:space="preserve">Er B, Demirhan B, Yentür G. Short communication Investigation of aflatoxin M1 levels in infant follow on milks and infant formulas sold in the markets of Ankara Turkey. J Dairy Sci. 2014; 97(6):3328-3331. </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Radonić JR, Tanackov SDK, Mihajlović IJ, Grujić ZS, Miloradov MBV, Škrinjar MM. et al. Occurrence of aflatoxin M1 in human milk samples in Vojvodina, Serbia: Estimation of average daily intake by babies. J Environ Sci Health B. 2017; 52(1):59-63.</w:t>
      </w:r>
    </w:p>
    <w:p w:rsidR="00622F23" w:rsidRPr="00A61E6F" w:rsidRDefault="00622F23" w:rsidP="00622F23">
      <w:pPr>
        <w:pStyle w:val="ListeParagraf"/>
        <w:numPr>
          <w:ilvl w:val="0"/>
          <w:numId w:val="2"/>
        </w:numPr>
        <w:spacing w:after="0" w:line="240" w:lineRule="auto"/>
        <w:ind w:left="0"/>
        <w:jc w:val="both"/>
        <w:rPr>
          <w:rFonts w:ascii="Times New Roman" w:hAnsi="Times New Roman"/>
          <w:iCs/>
          <w:color w:val="000000"/>
          <w:sz w:val="20"/>
          <w:szCs w:val="20"/>
          <w:lang w:val="tr-TR"/>
        </w:rPr>
      </w:pPr>
      <w:r w:rsidRPr="00A61E6F">
        <w:rPr>
          <w:rFonts w:ascii="Times New Roman" w:hAnsi="Times New Roman"/>
          <w:bCs/>
          <w:color w:val="000000"/>
          <w:sz w:val="20"/>
          <w:szCs w:val="20"/>
          <w:lang w:val="tr-TR"/>
        </w:rPr>
        <w:t xml:space="preserve">Kalantari H, Kalantari GH, Nazari Khorasgani Z. Evaluation of aflatoxins contamination in baby food supplements (Mamana &amp; Ghoncheh). </w:t>
      </w:r>
      <w:r w:rsidRPr="00A61E6F">
        <w:rPr>
          <w:rFonts w:ascii="Times New Roman" w:hAnsi="Times New Roman"/>
          <w:iCs/>
          <w:color w:val="000000"/>
          <w:sz w:val="20"/>
          <w:szCs w:val="20"/>
          <w:lang w:val="tr-TR"/>
        </w:rPr>
        <w:t>Jundishapur J Nat Pharm Prod. 2011; 6(1):42-50.</w:t>
      </w:r>
    </w:p>
    <w:p w:rsidR="00622F23" w:rsidRPr="00A61E6F" w:rsidRDefault="00622F23" w:rsidP="00622F23">
      <w:pPr>
        <w:pStyle w:val="ListeParagraf"/>
        <w:numPr>
          <w:ilvl w:val="0"/>
          <w:numId w:val="2"/>
        </w:numPr>
        <w:spacing w:after="0" w:line="240" w:lineRule="auto"/>
        <w:ind w:left="0"/>
        <w:jc w:val="both"/>
        <w:rPr>
          <w:rFonts w:ascii="Times New Roman" w:hAnsi="Times New Roman"/>
          <w:iCs/>
          <w:color w:val="000000"/>
          <w:sz w:val="20"/>
          <w:szCs w:val="20"/>
          <w:lang w:val="tr-TR"/>
        </w:rPr>
      </w:pPr>
      <w:r w:rsidRPr="00A61E6F">
        <w:rPr>
          <w:rStyle w:val="fontstyle01"/>
          <w:rFonts w:ascii="Times New Roman" w:hAnsi="Times New Roman" w:hint="default"/>
          <w:sz w:val="20"/>
          <w:szCs w:val="20"/>
          <w:lang w:val="tr-TR"/>
        </w:rPr>
        <w:t xml:space="preserve">Aidoo KE, Mohamed SM, Candlish AA, Tester RF, Elgerbi AM. </w:t>
      </w:r>
      <w:r w:rsidRPr="00A61E6F">
        <w:rPr>
          <w:rFonts w:ascii="Times New Roman" w:hAnsi="Times New Roman"/>
          <w:bCs/>
          <w:color w:val="000000"/>
          <w:sz w:val="20"/>
          <w:szCs w:val="20"/>
          <w:lang w:val="tr-TR"/>
        </w:rPr>
        <w:t xml:space="preserve">Occurrence of fungi and mycotoxins in some commercial baby foods in North Africa. </w:t>
      </w:r>
      <w:r w:rsidRPr="00A61E6F">
        <w:rPr>
          <w:rFonts w:ascii="Times New Roman" w:hAnsi="Times New Roman"/>
          <w:bCs/>
          <w:iCs/>
          <w:color w:val="000000"/>
          <w:sz w:val="20"/>
          <w:szCs w:val="20"/>
          <w:lang w:val="tr-TR"/>
        </w:rPr>
        <w:t>FNS.</w:t>
      </w:r>
      <w:r w:rsidRPr="00A61E6F">
        <w:rPr>
          <w:rFonts w:ascii="Times New Roman" w:hAnsi="Times New Roman"/>
          <w:bCs/>
          <w:color w:val="000000"/>
          <w:sz w:val="20"/>
          <w:szCs w:val="20"/>
          <w:lang w:val="tr-TR"/>
        </w:rPr>
        <w:t xml:space="preserve"> 2011; 2:751-758.</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Rastogi S, Dwivedi PD, Khanna SK, Das M. Detection of aflatoxin M1 contamination in milk and infant milk products from Indian markets by ELISA. Food Control. 2004; 15:287–290.</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Oveisi MR, Jannat B, Sadeghi NW, Hajimahmoodi M, Nikzad A. Presence of aflatoxin M1 in milk and infant milk products in Tehran, Iran. Food Control. 2007; 18:1216–1218.</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iCs/>
          <w:color w:val="000000"/>
          <w:sz w:val="20"/>
          <w:szCs w:val="20"/>
          <w:lang w:val="tr-TR"/>
        </w:rPr>
      </w:pPr>
      <w:r w:rsidRPr="00A61E6F">
        <w:rPr>
          <w:rFonts w:ascii="Times New Roman" w:hAnsi="Times New Roman"/>
          <w:bCs/>
          <w:color w:val="000000"/>
          <w:sz w:val="20"/>
          <w:szCs w:val="20"/>
          <w:lang w:val="tr-TR"/>
        </w:rPr>
        <w:t xml:space="preserve">Baydar T, Erkekoğlu P, Sipahi H, Sahin G. Aflatoxin B1, M1 and ochratoxin A levels in infant formulae and baby foods marketed in Ankara, Turkey. </w:t>
      </w:r>
      <w:r w:rsidRPr="00A61E6F">
        <w:rPr>
          <w:rFonts w:ascii="Times New Roman" w:hAnsi="Times New Roman"/>
          <w:iCs/>
          <w:color w:val="000000"/>
          <w:sz w:val="20"/>
          <w:szCs w:val="20"/>
          <w:lang w:val="tr-TR"/>
        </w:rPr>
        <w:t>J Food Drug Anal. 2007; 15(1):89-92.</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Meucci V, Razzuoli E, Soldani G, Massart F. Mycotoxin detection in infant formula milks in Italy. Food Addit Contam Part A. 2010; 27(1):64-71.</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iCs/>
          <w:color w:val="000000"/>
          <w:sz w:val="20"/>
          <w:szCs w:val="20"/>
          <w:lang w:val="tr-TR"/>
        </w:rPr>
        <w:t xml:space="preserve">Elsayed MS, El-Fatah ENA. </w:t>
      </w:r>
      <w:r w:rsidRPr="00A61E6F">
        <w:rPr>
          <w:rFonts w:ascii="Times New Roman" w:hAnsi="Times New Roman"/>
          <w:bCs/>
          <w:color w:val="000000"/>
          <w:sz w:val="20"/>
          <w:szCs w:val="20"/>
          <w:lang w:val="tr-TR"/>
        </w:rPr>
        <w:t xml:space="preserve">Prevalence of aflatoxin M1 in some milk products widely consumed by infants and children, marketed in Sharkia, Egypt. </w:t>
      </w:r>
      <w:r w:rsidRPr="00A61E6F">
        <w:rPr>
          <w:rFonts w:ascii="Times New Roman" w:hAnsi="Times New Roman"/>
          <w:color w:val="000000"/>
          <w:sz w:val="20"/>
          <w:szCs w:val="20"/>
          <w:lang w:val="tr-TR"/>
        </w:rPr>
        <w:t>Global Veterinaria. 2015; 14(4):560-566.</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Juan C, Raiola A, Mañes J, Ritieni A. Presence of mycotoxin in commercial infant formulas and baby foods from Italian market. Food Control. 2014; 39:227-236.</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Kabak B. Aflatoxin M1 and ochratoxin A in baby formulae in Turkey: Occurrence and safety evaluation. Food Control. 2012; 26:182-187.</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Kocasari FS. Occurrence of aflatoxin M1 in UHT milk and infant formula samples consumed in Burdur, Turkey. Environ Monit Assess. 2014; 186:6363–6368.</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 xml:space="preserve">Marta K, Ivana S, Ondrej L, Jana H. </w:t>
      </w:r>
      <w:r w:rsidRPr="00A61E6F">
        <w:rPr>
          <w:rFonts w:ascii="Times New Roman" w:hAnsi="Times New Roman"/>
          <w:bCs/>
          <w:color w:val="000000"/>
          <w:sz w:val="20"/>
          <w:szCs w:val="20"/>
          <w:lang w:val="tr-TR"/>
        </w:rPr>
        <w:t xml:space="preserve">Determination of mycotoxins in infant and baby food using UPLC-MS/MS analytical method. </w:t>
      </w:r>
      <w:r w:rsidRPr="00A61E6F">
        <w:rPr>
          <w:rFonts w:ascii="Times New Roman" w:hAnsi="Times New Roman"/>
          <w:color w:val="000000"/>
          <w:sz w:val="20"/>
          <w:szCs w:val="20"/>
          <w:lang w:val="tr-TR"/>
        </w:rPr>
        <w:t>Proceedings of 6th ISC Modern Analytical Chemistry Prague 2010. http://ukp.vscht.cz/files/uzel/0007349/Kostelanska+2010.</w:t>
      </w:r>
      <w:proofErr w:type="gramStart"/>
      <w:r w:rsidRPr="00A61E6F">
        <w:rPr>
          <w:rFonts w:ascii="Times New Roman" w:hAnsi="Times New Roman"/>
          <w:color w:val="000000"/>
          <w:sz w:val="20"/>
          <w:szCs w:val="20"/>
          <w:lang w:val="tr-TR"/>
        </w:rPr>
        <w:t>pdf ?redirected</w:t>
      </w:r>
      <w:proofErr w:type="gramEnd"/>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 xml:space="preserve">Bakırdere S, Bora S, Bakırdere EG, Aydın F, Arslan Y, Komesli OT. </w:t>
      </w:r>
      <w:proofErr w:type="gramStart"/>
      <w:r w:rsidRPr="00A61E6F">
        <w:rPr>
          <w:rFonts w:ascii="Times New Roman" w:hAnsi="Times New Roman"/>
          <w:color w:val="000000"/>
          <w:sz w:val="20"/>
          <w:szCs w:val="20"/>
          <w:lang w:val="tr-TR"/>
        </w:rPr>
        <w:t>et</w:t>
      </w:r>
      <w:proofErr w:type="gramEnd"/>
      <w:r w:rsidRPr="00A61E6F">
        <w:rPr>
          <w:rFonts w:ascii="Times New Roman" w:hAnsi="Times New Roman"/>
          <w:color w:val="000000"/>
          <w:sz w:val="20"/>
          <w:szCs w:val="20"/>
          <w:lang w:val="tr-TR"/>
        </w:rPr>
        <w:t xml:space="preserve"> al. Aﬂatoxin species: their health effects and determination methods in different foodstuffs. Cent Eur J Chem. 2012; 10(3):675-685.</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bCs/>
          <w:color w:val="000000"/>
          <w:sz w:val="20"/>
          <w:szCs w:val="20"/>
          <w:lang w:val="tr-TR"/>
        </w:rPr>
        <w:t xml:space="preserve">Umesha S, Manukumar HMG, Chandrasekhar B, Shivakumara P, Kumar JS, Raghava S. et al. </w:t>
      </w:r>
      <w:r w:rsidRPr="00A61E6F">
        <w:rPr>
          <w:rFonts w:ascii="Times New Roman" w:hAnsi="Times New Roman"/>
          <w:bCs/>
          <w:color w:val="000000"/>
          <w:sz w:val="20"/>
          <w:szCs w:val="20"/>
          <w:lang w:val="tr-TR"/>
        </w:rPr>
        <w:lastRenderedPageBreak/>
        <w:t xml:space="preserve">Aflatoxins and food pathogens: impact of biologically active aflatoxins and their control strategies. </w:t>
      </w:r>
      <w:r w:rsidRPr="00A61E6F">
        <w:rPr>
          <w:rFonts w:ascii="Times New Roman" w:hAnsi="Times New Roman"/>
          <w:iCs/>
          <w:color w:val="000000"/>
          <w:sz w:val="20"/>
          <w:szCs w:val="20"/>
          <w:lang w:val="tr-TR"/>
        </w:rPr>
        <w:t xml:space="preserve">J Sci Food Agric. </w:t>
      </w:r>
      <w:r w:rsidRPr="00A61E6F">
        <w:rPr>
          <w:rFonts w:ascii="Times New Roman" w:eastAsia="MyriadPro-Regular" w:hAnsi="Times New Roman"/>
          <w:color w:val="000000"/>
          <w:sz w:val="20"/>
          <w:szCs w:val="20"/>
          <w:lang w:val="tr-TR"/>
        </w:rPr>
        <w:t xml:space="preserve">2017; </w:t>
      </w:r>
      <w:r w:rsidRPr="00A61E6F">
        <w:rPr>
          <w:rFonts w:ascii="Times New Roman" w:hAnsi="Times New Roman"/>
          <w:bCs/>
          <w:color w:val="000000"/>
          <w:sz w:val="20"/>
          <w:szCs w:val="20"/>
          <w:lang w:val="tr-TR"/>
        </w:rPr>
        <w:t>97</w:t>
      </w:r>
      <w:r w:rsidRPr="00A61E6F">
        <w:rPr>
          <w:rFonts w:ascii="Times New Roman" w:eastAsia="MyriadPro-Regular" w:hAnsi="Times New Roman"/>
          <w:color w:val="000000"/>
          <w:sz w:val="20"/>
          <w:szCs w:val="20"/>
          <w:lang w:val="tr-TR"/>
        </w:rPr>
        <w:t>:1698–1707.</w:t>
      </w:r>
    </w:p>
    <w:p w:rsidR="00622F23" w:rsidRPr="00A61E6F" w:rsidRDefault="00622F23" w:rsidP="00622F23">
      <w:pPr>
        <w:pStyle w:val="ListeParagraf"/>
        <w:numPr>
          <w:ilvl w:val="0"/>
          <w:numId w:val="2"/>
        </w:numPr>
        <w:spacing w:after="0" w:line="240" w:lineRule="auto"/>
        <w:ind w:left="0"/>
        <w:jc w:val="both"/>
        <w:rPr>
          <w:rFonts w:ascii="Times New Roman" w:eastAsia="MyriadPro-Regular" w:hAnsi="Times New Roman"/>
          <w:color w:val="000000"/>
          <w:sz w:val="20"/>
          <w:szCs w:val="20"/>
          <w:lang w:val="tr-TR"/>
        </w:rPr>
      </w:pPr>
      <w:r w:rsidRPr="00A61E6F">
        <w:rPr>
          <w:rFonts w:ascii="Times New Roman" w:hAnsi="Times New Roman"/>
          <w:color w:val="000000"/>
          <w:sz w:val="20"/>
          <w:szCs w:val="20"/>
          <w:lang w:val="tr-TR"/>
        </w:rPr>
        <w:t xml:space="preserve">Khlangwiset P, Shephard GS, Wu F. Aflatoxins and growth impairment: A review. </w:t>
      </w:r>
      <w:r w:rsidRPr="00A61E6F">
        <w:rPr>
          <w:rFonts w:ascii="Times New Roman" w:hAnsi="Times New Roman"/>
          <w:iCs/>
          <w:color w:val="000000"/>
          <w:sz w:val="20"/>
          <w:szCs w:val="20"/>
          <w:lang w:val="tr-TR"/>
        </w:rPr>
        <w:t>Crit Rev Toxicol</w:t>
      </w:r>
      <w:r w:rsidRPr="00A61E6F">
        <w:rPr>
          <w:rFonts w:ascii="Times New Roman" w:eastAsia="MyriadPro-Regular" w:hAnsi="Times New Roman"/>
          <w:color w:val="000000"/>
          <w:sz w:val="20"/>
          <w:szCs w:val="20"/>
          <w:lang w:val="tr-TR"/>
        </w:rPr>
        <w:t>. 2011; 41(9):740–755.</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bCs/>
          <w:color w:val="000000"/>
          <w:sz w:val="20"/>
          <w:szCs w:val="20"/>
          <w:lang w:val="tr-TR"/>
        </w:rPr>
        <w:t xml:space="preserve">Khalil MMH, Gomaa AM, Sebaei AS. Reliable HPLC determination of aflatoxin M1 in eggs. </w:t>
      </w:r>
      <w:r w:rsidRPr="00A61E6F">
        <w:rPr>
          <w:rFonts w:ascii="Times New Roman" w:hAnsi="Times New Roman"/>
          <w:color w:val="000000"/>
          <w:sz w:val="20"/>
          <w:szCs w:val="20"/>
          <w:lang w:val="tr-TR"/>
        </w:rPr>
        <w:t>J Anal Methods Chem. 2013; Article id: 817091:1-5.</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IARC Monographs. On the evaluation of carcinogenic risks to human.  2002; 82:171-300. Date: 10.06.2017 Available: http://monographs.iarc.fr/ENG/Monographs/vol82/mono82-7A.pdf</w:t>
      </w:r>
    </w:p>
    <w:p w:rsidR="00622F23" w:rsidRPr="00A61E6F" w:rsidRDefault="00622F23" w:rsidP="00622F23">
      <w:pPr>
        <w:pStyle w:val="ListeParagraf"/>
        <w:numPr>
          <w:ilvl w:val="0"/>
          <w:numId w:val="2"/>
        </w:numPr>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 xml:space="preserve">IARC Monographs. Aflatoxins. In chemical agents and related occupations volume 100 F a review of human carcinogens. 2012; 100F: 225-248. Date: 10.06.2017 </w:t>
      </w:r>
      <w:r w:rsidRPr="00A61E6F">
        <w:rPr>
          <w:rFonts w:ascii="Times New Roman" w:hAnsi="Times New Roman"/>
          <w:color w:val="000000"/>
          <w:sz w:val="20"/>
          <w:szCs w:val="20"/>
          <w:shd w:val="clear" w:color="auto" w:fill="FFFFFF"/>
          <w:lang w:val="tr-TR"/>
        </w:rPr>
        <w:t>Available:</w:t>
      </w:r>
      <w:r w:rsidRPr="00A61E6F">
        <w:rPr>
          <w:rStyle w:val="apple-converted-space"/>
          <w:rFonts w:ascii="Times New Roman" w:hAnsi="Times New Roman"/>
          <w:color w:val="000000"/>
          <w:sz w:val="20"/>
          <w:szCs w:val="20"/>
          <w:shd w:val="clear" w:color="auto" w:fill="FFFFFF"/>
          <w:lang w:val="tr-TR"/>
        </w:rPr>
        <w:t> http://monographs.iarc.fr/ENG/Monographs/vol100F/mono100F-23.pdf</w:t>
      </w:r>
    </w:p>
    <w:p w:rsidR="00622F23" w:rsidRPr="00A61E6F" w:rsidRDefault="00622F23" w:rsidP="00622F23">
      <w:pPr>
        <w:pStyle w:val="ListeParagraf"/>
        <w:numPr>
          <w:ilvl w:val="0"/>
          <w:numId w:val="2"/>
        </w:numPr>
        <w:spacing w:after="0" w:line="240" w:lineRule="auto"/>
        <w:ind w:left="0"/>
        <w:jc w:val="both"/>
        <w:rPr>
          <w:rFonts w:ascii="Times New Roman" w:hAnsi="Times New Roman"/>
          <w:bCs/>
          <w:color w:val="000000"/>
          <w:sz w:val="20"/>
          <w:szCs w:val="20"/>
          <w:lang w:val="tr-TR"/>
        </w:rPr>
      </w:pPr>
      <w:r w:rsidRPr="00A61E6F">
        <w:rPr>
          <w:rFonts w:ascii="Times New Roman" w:hAnsi="Times New Roman"/>
          <w:bCs/>
          <w:color w:val="000000"/>
          <w:sz w:val="20"/>
          <w:szCs w:val="20"/>
          <w:lang w:val="tr-TR"/>
        </w:rPr>
        <w:t>Obade MI, Andang’o P, Obonyo C, F Lusweti. Exposure of children 4 to 6 months of age to aflatoxin in Kisumu County, Kenya. AJFAND. 2015; 15(2):9949-9963.</w:t>
      </w:r>
    </w:p>
    <w:p w:rsidR="00622F23" w:rsidRPr="00A61E6F"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0"/>
          <w:szCs w:val="20"/>
          <w:lang w:val="tr-TR"/>
        </w:rPr>
      </w:pPr>
      <w:r w:rsidRPr="00A61E6F">
        <w:rPr>
          <w:rFonts w:ascii="Times New Roman" w:hAnsi="Times New Roman"/>
          <w:color w:val="000000"/>
          <w:sz w:val="20"/>
          <w:szCs w:val="20"/>
          <w:lang w:val="tr-TR"/>
        </w:rPr>
        <w:t>European Commission. Commission regulation EC No. 165/2010 of 26 February 2010 amending regulation (EC) No 1881/2006 setting maximum levels for certain contaminants in foodstuffs as regards aflatoxins. Official Journal of the European Union. 2010; L50: 8-12. Date: 10.06.2017 Available: http://eur-lex.europa.eu/legal-content/EN/TXT/PDF/?uri=CELEX: 32010R0165&amp;from=EN.</w:t>
      </w:r>
    </w:p>
    <w:p w:rsidR="00622F23" w:rsidRPr="00605732" w:rsidRDefault="00622F23" w:rsidP="00622F23">
      <w:pPr>
        <w:pStyle w:val="ListeParagraf"/>
        <w:numPr>
          <w:ilvl w:val="0"/>
          <w:numId w:val="2"/>
        </w:numPr>
        <w:autoSpaceDE w:val="0"/>
        <w:autoSpaceDN w:val="0"/>
        <w:adjustRightInd w:val="0"/>
        <w:spacing w:after="0" w:line="240" w:lineRule="auto"/>
        <w:ind w:left="0"/>
        <w:jc w:val="both"/>
        <w:rPr>
          <w:rFonts w:ascii="Times New Roman" w:hAnsi="Times New Roman"/>
          <w:color w:val="000000"/>
          <w:sz w:val="24"/>
          <w:szCs w:val="24"/>
          <w:lang w:val="tr-TR"/>
        </w:rPr>
      </w:pPr>
      <w:r w:rsidRPr="00A61E6F">
        <w:rPr>
          <w:rFonts w:ascii="Times New Roman" w:hAnsi="Times New Roman"/>
          <w:color w:val="000000"/>
          <w:sz w:val="20"/>
          <w:szCs w:val="20"/>
          <w:lang w:val="tr-TR"/>
        </w:rPr>
        <w:t>TGK. Türk Gıda Kodeksi Bulaşanlar Yönetmeliği. 2011; Sayı: 28157 Available: http://www.resmigazete.gov.tr/eskiler/2011/12/20111229M3-8-1.pdf Date: 10.06.2017</w:t>
      </w:r>
      <w:r w:rsidRPr="00A61E6F">
        <w:rPr>
          <w:rFonts w:ascii="Times New Roman" w:eastAsia="Times New Roman" w:hAnsi="Times New Roman"/>
          <w:color w:val="000000"/>
          <w:sz w:val="20"/>
          <w:szCs w:val="20"/>
          <w:lang w:val="tr-TR" w:eastAsia="tr-TR"/>
        </w:rPr>
        <w:br/>
      </w:r>
    </w:p>
    <w:p w:rsidR="00622F23" w:rsidRDefault="00622F23" w:rsidP="00622F23">
      <w:pPr>
        <w:spacing w:line="240" w:lineRule="auto"/>
      </w:pPr>
    </w:p>
    <w:p w:rsidR="00622F23" w:rsidRDefault="00622F23" w:rsidP="00622F23">
      <w:pPr>
        <w:shd w:val="clear" w:color="auto" w:fill="FFFFFF"/>
        <w:spacing w:after="150" w:line="240" w:lineRule="auto"/>
        <w:rPr>
          <w:rFonts w:ascii="Helvetica" w:eastAsia="Times New Roman" w:hAnsi="Helvetica" w:cs="Helvetica"/>
          <w:color w:val="333333"/>
          <w:sz w:val="19"/>
          <w:szCs w:val="19"/>
          <w:lang w:eastAsia="tr-TR"/>
        </w:rPr>
        <w:sectPr w:rsidR="00622F23" w:rsidSect="00A61E6F">
          <w:type w:val="continuous"/>
          <w:pgSz w:w="11906" w:h="16838"/>
          <w:pgMar w:top="1417" w:right="1417" w:bottom="1417" w:left="1417" w:header="708" w:footer="708" w:gutter="0"/>
          <w:cols w:num="2" w:space="708"/>
          <w:titlePg/>
          <w:docGrid w:linePitch="360"/>
        </w:sectPr>
      </w:pPr>
    </w:p>
    <w:p w:rsidR="00622F23" w:rsidRDefault="00622F23" w:rsidP="00622F23">
      <w:pPr>
        <w:spacing w:line="256" w:lineRule="auto"/>
        <w:jc w:val="center"/>
        <w:rPr>
          <w:rFonts w:ascii="Times New Roman" w:hAnsi="Times New Roman"/>
          <w:b/>
          <w:sz w:val="24"/>
          <w:szCs w:val="24"/>
        </w:rPr>
      </w:pPr>
      <w:r>
        <w:rPr>
          <w:rFonts w:ascii="Times New Roman" w:hAnsi="Times New Roman"/>
          <w:b/>
          <w:sz w:val="24"/>
          <w:szCs w:val="24"/>
        </w:rPr>
        <w:lastRenderedPageBreak/>
        <w:tab/>
      </w:r>
      <w:r w:rsidRPr="004826AF">
        <w:rPr>
          <w:rFonts w:ascii="Times New Roman" w:hAnsi="Times New Roman"/>
          <w:b/>
          <w:sz w:val="24"/>
          <w:szCs w:val="24"/>
        </w:rPr>
        <w:t>GEBELİKTEN KORUYUCU YÖNTEM KULLANAN KADINLARDA CİNSEL FONK</w:t>
      </w:r>
      <w:r>
        <w:rPr>
          <w:rFonts w:ascii="Times New Roman" w:hAnsi="Times New Roman"/>
          <w:b/>
          <w:sz w:val="24"/>
          <w:szCs w:val="24"/>
        </w:rPr>
        <w:t>SİYON BOZUKLUĞUNUN BELİRLENMESİ*</w:t>
      </w:r>
    </w:p>
    <w:p w:rsidR="00622F23" w:rsidRDefault="00622F23" w:rsidP="00622F23">
      <w:pPr>
        <w:jc w:val="center"/>
        <w:rPr>
          <w:rFonts w:ascii="Times New Roman" w:hAnsi="Times New Roman"/>
          <w:b/>
          <w:sz w:val="24"/>
          <w:szCs w:val="24"/>
        </w:rPr>
      </w:pPr>
      <w:r>
        <w:rPr>
          <w:rFonts w:ascii="Times New Roman" w:hAnsi="Times New Roman"/>
          <w:b/>
          <w:sz w:val="24"/>
          <w:szCs w:val="24"/>
        </w:rPr>
        <w:t>Zehra Gölbaşı</w:t>
      </w:r>
      <w:r>
        <w:rPr>
          <w:rFonts w:ascii="Times New Roman" w:hAnsi="Times New Roman"/>
          <w:b/>
          <w:sz w:val="24"/>
          <w:szCs w:val="24"/>
          <w:vertAlign w:val="superscript"/>
        </w:rPr>
        <w:t>1</w:t>
      </w:r>
      <w:r>
        <w:rPr>
          <w:rFonts w:ascii="Times New Roman" w:hAnsi="Times New Roman"/>
          <w:b/>
          <w:sz w:val="24"/>
          <w:szCs w:val="24"/>
        </w:rPr>
        <w:t>, Ayten Şentürk Erenel</w:t>
      </w:r>
      <w:r>
        <w:rPr>
          <w:rFonts w:ascii="Times New Roman" w:hAnsi="Times New Roman"/>
          <w:b/>
          <w:sz w:val="24"/>
          <w:szCs w:val="24"/>
          <w:vertAlign w:val="superscript"/>
        </w:rPr>
        <w:t>2</w:t>
      </w:r>
      <w:r>
        <w:rPr>
          <w:rFonts w:ascii="Times New Roman" w:hAnsi="Times New Roman"/>
          <w:b/>
          <w:sz w:val="24"/>
          <w:szCs w:val="24"/>
        </w:rPr>
        <w:t>, Zekiye Turan</w:t>
      </w:r>
      <w:r>
        <w:rPr>
          <w:rFonts w:ascii="Times New Roman" w:hAnsi="Times New Roman"/>
          <w:b/>
          <w:sz w:val="24"/>
          <w:szCs w:val="24"/>
          <w:vertAlign w:val="superscript"/>
        </w:rPr>
        <w:t>3</w:t>
      </w:r>
      <w:r>
        <w:rPr>
          <w:rFonts w:ascii="Times New Roman" w:hAnsi="Times New Roman"/>
          <w:b/>
          <w:sz w:val="24"/>
          <w:szCs w:val="24"/>
        </w:rPr>
        <w:t xml:space="preserve">   </w:t>
      </w:r>
    </w:p>
    <w:p w:rsidR="00622F23" w:rsidRPr="007B427F" w:rsidRDefault="00622F23" w:rsidP="00622F23">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Pr="007B427F">
        <w:rPr>
          <w:rFonts w:ascii="Times New Roman" w:hAnsi="Times New Roman"/>
          <w:i/>
          <w:sz w:val="20"/>
          <w:szCs w:val="20"/>
        </w:rPr>
        <w:t>Cumhuriyet Üniversitesi Sağlık Bilimleri Fakültesi, Hemşirelik Bölümü, Sivas</w:t>
      </w:r>
    </w:p>
    <w:p w:rsidR="00622F23" w:rsidRPr="007B427F" w:rsidRDefault="00622F23" w:rsidP="00622F23">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Pr="007B427F">
        <w:rPr>
          <w:rFonts w:ascii="Times New Roman" w:hAnsi="Times New Roman"/>
          <w:i/>
          <w:sz w:val="20"/>
          <w:szCs w:val="20"/>
        </w:rPr>
        <w:t>Gazi Üniversitesi Sağlık Bilimleri Fakültesi, Hemşirelik Bölümü, Ankara</w:t>
      </w:r>
    </w:p>
    <w:p w:rsidR="00622F23" w:rsidRDefault="00622F23" w:rsidP="00622F23">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sidRPr="007B427F">
        <w:rPr>
          <w:rFonts w:ascii="Times New Roman" w:hAnsi="Times New Roman"/>
          <w:i/>
          <w:sz w:val="20"/>
          <w:szCs w:val="20"/>
        </w:rPr>
        <w:t xml:space="preserve">Sakarya Üniversitesi Sağlık </w:t>
      </w:r>
      <w:r>
        <w:rPr>
          <w:rFonts w:ascii="Times New Roman" w:hAnsi="Times New Roman"/>
          <w:i/>
          <w:sz w:val="20"/>
          <w:szCs w:val="20"/>
        </w:rPr>
        <w:t xml:space="preserve">Bilimleri Fakültesi </w:t>
      </w:r>
      <w:r w:rsidRPr="007B427F">
        <w:rPr>
          <w:rFonts w:ascii="Times New Roman" w:hAnsi="Times New Roman"/>
          <w:i/>
          <w:sz w:val="20"/>
          <w:szCs w:val="20"/>
        </w:rPr>
        <w:t>Ebelik Bölümü, Sakarya</w:t>
      </w:r>
    </w:p>
    <w:p w:rsidR="00622F23" w:rsidRPr="007B427F" w:rsidRDefault="00622F23" w:rsidP="00622F23">
      <w:pPr>
        <w:spacing w:after="0" w:line="240" w:lineRule="auto"/>
        <w:jc w:val="center"/>
        <w:rPr>
          <w:rFonts w:ascii="Times New Roman" w:hAnsi="Times New Roman"/>
          <w:i/>
          <w:sz w:val="20"/>
          <w:szCs w:val="20"/>
        </w:rPr>
      </w:pPr>
    </w:p>
    <w:p w:rsidR="00622F23" w:rsidRPr="00E53DC8" w:rsidRDefault="00622F23" w:rsidP="00622F23">
      <w:pPr>
        <w:spacing w:line="240" w:lineRule="auto"/>
        <w:jc w:val="center"/>
        <w:rPr>
          <w:rFonts w:ascii="Times New Roman" w:hAnsi="Times New Roman"/>
          <w:b/>
          <w:sz w:val="20"/>
          <w:szCs w:val="20"/>
        </w:rPr>
      </w:pPr>
      <w:r w:rsidRPr="00E53DC8">
        <w:rPr>
          <w:rFonts w:ascii="Times New Roman" w:hAnsi="Times New Roman"/>
          <w:b/>
          <w:sz w:val="20"/>
          <w:szCs w:val="20"/>
        </w:rPr>
        <w:t>ÖZET</w:t>
      </w:r>
    </w:p>
    <w:p w:rsidR="00622F23" w:rsidRPr="00E53DC8" w:rsidRDefault="00622F23" w:rsidP="00622F23">
      <w:pPr>
        <w:spacing w:line="240" w:lineRule="auto"/>
        <w:jc w:val="both"/>
        <w:rPr>
          <w:rFonts w:ascii="Times New Roman" w:hAnsi="Times New Roman"/>
          <w:sz w:val="20"/>
          <w:szCs w:val="20"/>
        </w:rPr>
      </w:pPr>
      <w:r w:rsidRPr="00E53DC8">
        <w:rPr>
          <w:rFonts w:ascii="Times New Roman" w:hAnsi="Times New Roman"/>
          <w:sz w:val="20"/>
          <w:szCs w:val="20"/>
        </w:rPr>
        <w:t>Bu çalışma gebelikten koruyucu yöntem kullanan kadınlarda cinsel fonksiyon bozukluğunun belirlenmesi amacıyla yapılmıştır. Çalışma Hatay’da bi</w:t>
      </w:r>
      <w:r>
        <w:rPr>
          <w:rFonts w:ascii="Times New Roman" w:hAnsi="Times New Roman"/>
          <w:sz w:val="20"/>
          <w:szCs w:val="20"/>
        </w:rPr>
        <w:t>r aile sağlığı merkezin</w:t>
      </w:r>
      <w:r w:rsidRPr="00E53DC8">
        <w:rPr>
          <w:rFonts w:ascii="Times New Roman" w:hAnsi="Times New Roman"/>
          <w:sz w:val="20"/>
          <w:szCs w:val="20"/>
        </w:rPr>
        <w:t xml:space="preserve">de gerçekleştirilmiştir. Örneklem, herhangi bir nedenden dolayı aile sağlığı merkezine başvuran, evli, gebelikten koruyucu yöntem kullanan ve çalışmaya katılmayı sözel olarak kabul eden 257 kadından oluşmuştur. Veriler, “Bireysel Özellikleri Belirleme Formu” ve “Arizona Cinsel Yaşantılar Ölçeği (ACYÖ)” kullanılarak toplanmıştır. Verilerin değerlendirilmesinde Kruskal Wallis ve tek yönlü ANOVA testleri kullanılmıştır. Kadınların yaş ortalaması 30.69 (SD=7.84) ve %88’i ilkokul mezunudur. Kadınların ACYÖ puan ortalaması 15.62±5.18 olup, kesme noktası dikkate alındığında %23’ünde cinsel fonksiyon bozukluğu bulunmuştur. Cinsel fonksiyonun alt boyutları değerlendirildiğinde istek puan ortalaması 3.04±1.0 orgazm puan ortalaması 3.04±1.08 ve doyum puan ortalaması 3.53±1.21 olarak belirlenmiştir. Kadınların kullandıkları gebelikten koruyucu yönteme göre ACYÖ puan ortalamaları arasında istatistiksel olarak anlamlı bir fark olduğu saptanmıştır (p&lt;0.05). Tüp ligasyonu olan kadınların ACYÖ puan ortalaması diğer yöntemleri kullananlardan istatistiksel olarak anlamlı düzeyde yüksektir ( p &lt;0.05).  Çalışmamızın sonucunda kadınların yaklaşık 1/4 ‘ünde cinsel fonksiyon bozukluğu olduğu saptanmıştır. Tüp ligasyonu yapılan kadınlarda cinsel fonksiyon bozukluğu diğer yöntemleri kullananlardan önemli derecede yüksek bulunmuştur. </w:t>
      </w:r>
    </w:p>
    <w:p w:rsidR="00622F23" w:rsidRPr="00E53DC8" w:rsidRDefault="00622F23" w:rsidP="00622F23">
      <w:pPr>
        <w:spacing w:line="240" w:lineRule="auto"/>
        <w:jc w:val="both"/>
        <w:rPr>
          <w:rFonts w:ascii="Times New Roman" w:hAnsi="Times New Roman"/>
          <w:sz w:val="20"/>
          <w:szCs w:val="20"/>
        </w:rPr>
      </w:pPr>
      <w:r w:rsidRPr="00E53DC8">
        <w:rPr>
          <w:rFonts w:ascii="Times New Roman" w:hAnsi="Times New Roman"/>
          <w:b/>
          <w:sz w:val="20"/>
          <w:szCs w:val="20"/>
        </w:rPr>
        <w:t>Anahtar Kelimeler</w:t>
      </w:r>
      <w:r w:rsidRPr="00E53DC8">
        <w:rPr>
          <w:rFonts w:ascii="Times New Roman" w:hAnsi="Times New Roman"/>
          <w:sz w:val="20"/>
          <w:szCs w:val="20"/>
        </w:rPr>
        <w:t>: Cinsel fonksiyon bozukluğu, kadın, gebelikten koruyucu yöntemler</w:t>
      </w:r>
    </w:p>
    <w:p w:rsidR="00622F23" w:rsidRPr="00151F10" w:rsidRDefault="00622F23" w:rsidP="00622F23">
      <w:pPr>
        <w:jc w:val="center"/>
        <w:rPr>
          <w:rFonts w:ascii="Times New Roman" w:hAnsi="Times New Roman"/>
          <w:b/>
          <w:sz w:val="20"/>
          <w:szCs w:val="20"/>
        </w:rPr>
      </w:pPr>
      <w:r w:rsidRPr="00151F10">
        <w:rPr>
          <w:rFonts w:ascii="Times New Roman" w:hAnsi="Times New Roman"/>
          <w:b/>
          <w:sz w:val="20"/>
          <w:szCs w:val="20"/>
        </w:rPr>
        <w:t>DETERMINATION OF SEXUAL DYSFUNCTION IN WOMEN USING CONTRACEPTIVE METHODS</w:t>
      </w:r>
    </w:p>
    <w:p w:rsidR="00622F23" w:rsidRPr="00E53DC8" w:rsidRDefault="00622F23" w:rsidP="00622F23">
      <w:pPr>
        <w:spacing w:line="240" w:lineRule="auto"/>
        <w:jc w:val="center"/>
        <w:rPr>
          <w:rFonts w:ascii="Times New Roman" w:hAnsi="Times New Roman"/>
          <w:b/>
          <w:sz w:val="20"/>
          <w:szCs w:val="20"/>
        </w:rPr>
      </w:pPr>
      <w:r w:rsidRPr="00E53DC8">
        <w:rPr>
          <w:rFonts w:ascii="Times New Roman" w:hAnsi="Times New Roman"/>
          <w:b/>
          <w:sz w:val="20"/>
          <w:szCs w:val="20"/>
        </w:rPr>
        <w:t>ABSTRACT</w:t>
      </w:r>
    </w:p>
    <w:p w:rsidR="00622F23" w:rsidRPr="00E53DC8" w:rsidRDefault="00622F23" w:rsidP="00622F23">
      <w:pPr>
        <w:spacing w:line="240" w:lineRule="auto"/>
        <w:jc w:val="both"/>
        <w:rPr>
          <w:rFonts w:ascii="Times New Roman" w:hAnsi="Times New Roman"/>
          <w:sz w:val="20"/>
          <w:szCs w:val="20"/>
        </w:rPr>
      </w:pPr>
      <w:r w:rsidRPr="00E53DC8">
        <w:rPr>
          <w:rFonts w:ascii="Times New Roman" w:hAnsi="Times New Roman"/>
          <w:sz w:val="20"/>
          <w:szCs w:val="20"/>
        </w:rPr>
        <w:t xml:space="preserve">This study was conducted to determine sexual dysfunction in women using a contraceptive method. The study was carried out in a family health center in Hatay. Sample was created from 257 women who apply to family health center for various reasons who were over the age of 18, married, using any contraceptive method and verbally stating that they were participated in the study. Data were collected by Individual Characteristics Forms and Arizona Sexual Experience Scale (ASEX). Kruskal Wallis and One Way ANOVA test </w:t>
      </w:r>
      <w:proofErr w:type="gramStart"/>
      <w:r w:rsidRPr="00E53DC8">
        <w:rPr>
          <w:rFonts w:ascii="Times New Roman" w:hAnsi="Times New Roman"/>
          <w:sz w:val="20"/>
          <w:szCs w:val="20"/>
        </w:rPr>
        <w:t>were  used</w:t>
      </w:r>
      <w:proofErr w:type="gramEnd"/>
      <w:r w:rsidRPr="00E53DC8">
        <w:rPr>
          <w:rFonts w:ascii="Times New Roman" w:hAnsi="Times New Roman"/>
          <w:sz w:val="20"/>
          <w:szCs w:val="20"/>
        </w:rPr>
        <w:t xml:space="preserve"> for the statistical evaluation of data. The average age of the women was 30.69 (SD = 7.84) and 88.3% of women has primary school education level. Women’s ASEX total score was found 15.62 ± 5.18 and when considering the cut of point of scale, 23 % of women had sexual dysfunction. </w:t>
      </w:r>
      <w:proofErr w:type="gramStart"/>
      <w:r w:rsidRPr="00E53DC8">
        <w:rPr>
          <w:rFonts w:ascii="Times New Roman" w:hAnsi="Times New Roman"/>
          <w:sz w:val="20"/>
          <w:szCs w:val="20"/>
        </w:rPr>
        <w:t xml:space="preserve">When the sub-dimensions of sexual function were evaluated, mean score of desire was 3.04 ± 1.0 orgasm score was 3.04 ± 1.08 and satisfaction score was 3.53 ± 1.21. There was a significant difference between mean scores of ASEX depending on the type of contraceptive methods (p&lt;0.05). </w:t>
      </w:r>
      <w:proofErr w:type="gramEnd"/>
      <w:r w:rsidRPr="00E53DC8">
        <w:rPr>
          <w:rFonts w:ascii="Times New Roman" w:hAnsi="Times New Roman"/>
          <w:sz w:val="20"/>
          <w:szCs w:val="20"/>
        </w:rPr>
        <w:t xml:space="preserve">It was found that the ASEX average score who had tub ligation was significantly higher than women using other methods (p &lt;0.05). </w:t>
      </w:r>
    </w:p>
    <w:p w:rsidR="00622F23" w:rsidRPr="00E53DC8" w:rsidRDefault="00622F23" w:rsidP="00622F23">
      <w:pPr>
        <w:spacing w:line="240" w:lineRule="auto"/>
        <w:jc w:val="both"/>
        <w:rPr>
          <w:rFonts w:ascii="Times New Roman" w:hAnsi="Times New Roman"/>
          <w:sz w:val="20"/>
          <w:szCs w:val="20"/>
        </w:rPr>
      </w:pPr>
      <w:r w:rsidRPr="00E53DC8">
        <w:rPr>
          <w:rFonts w:ascii="Times New Roman" w:hAnsi="Times New Roman"/>
          <w:sz w:val="20"/>
          <w:szCs w:val="20"/>
        </w:rPr>
        <w:t xml:space="preserve">As a result of our study, approximately 1/4 of women had sexual dysfunction. Sexual dysfunction was found to be significantly higher in women with tube ligation than women who were using other methods. </w:t>
      </w:r>
    </w:p>
    <w:p w:rsidR="00622F23" w:rsidRPr="002E1B2B" w:rsidRDefault="00622F23" w:rsidP="00622F23">
      <w:pPr>
        <w:spacing w:line="240" w:lineRule="auto"/>
        <w:jc w:val="both"/>
        <w:rPr>
          <w:rFonts w:ascii="Times New Roman" w:hAnsi="Times New Roman"/>
          <w:sz w:val="20"/>
          <w:szCs w:val="20"/>
        </w:rPr>
      </w:pPr>
      <w:r w:rsidRPr="00E53DC8">
        <w:rPr>
          <w:rFonts w:ascii="Times New Roman" w:hAnsi="Times New Roman"/>
          <w:b/>
          <w:sz w:val="20"/>
          <w:szCs w:val="20"/>
        </w:rPr>
        <w:t xml:space="preserve">Key words: </w:t>
      </w:r>
      <w:r w:rsidRPr="00E53DC8">
        <w:rPr>
          <w:rFonts w:ascii="Times New Roman" w:hAnsi="Times New Roman"/>
          <w:sz w:val="20"/>
          <w:szCs w:val="20"/>
        </w:rPr>
        <w:t>Sexual dysfunction, woman, contraceptive methods</w:t>
      </w:r>
    </w:p>
    <w:p w:rsidR="00622F23" w:rsidRDefault="00622F23" w:rsidP="00622F23">
      <w:pPr>
        <w:spacing w:line="240" w:lineRule="auto"/>
        <w:jc w:val="both"/>
        <w:rPr>
          <w:rFonts w:ascii="Times New Roman" w:hAnsi="Times New Roman"/>
          <w:b/>
          <w:sz w:val="24"/>
          <w:szCs w:val="24"/>
        </w:rPr>
        <w:sectPr w:rsidR="00622F23" w:rsidSect="00151F10">
          <w:headerReference w:type="default" r:id="rId13"/>
          <w:headerReference w:type="first" r:id="rId14"/>
          <w:footerReference w:type="first" r:id="rId15"/>
          <w:pgSz w:w="11906" w:h="16838"/>
          <w:pgMar w:top="1417" w:right="1417" w:bottom="1417" w:left="1417" w:header="708" w:footer="708" w:gutter="0"/>
          <w:cols w:space="708"/>
          <w:titlePg/>
          <w:docGrid w:linePitch="360"/>
        </w:sectPr>
      </w:pPr>
    </w:p>
    <w:p w:rsidR="002D1DDE" w:rsidRDefault="002D1DDE" w:rsidP="00622F23">
      <w:pPr>
        <w:spacing w:line="240" w:lineRule="auto"/>
        <w:jc w:val="both"/>
        <w:rPr>
          <w:rFonts w:ascii="Times New Roman" w:hAnsi="Times New Roman"/>
          <w:b/>
          <w:sz w:val="24"/>
          <w:szCs w:val="24"/>
        </w:rPr>
      </w:pPr>
    </w:p>
    <w:p w:rsidR="002D1DDE" w:rsidRDefault="002D1DDE" w:rsidP="00622F23">
      <w:pPr>
        <w:spacing w:line="240" w:lineRule="auto"/>
        <w:jc w:val="both"/>
        <w:rPr>
          <w:rFonts w:ascii="Times New Roman" w:hAnsi="Times New Roman"/>
          <w:b/>
          <w:sz w:val="24"/>
          <w:szCs w:val="24"/>
        </w:rPr>
      </w:pPr>
    </w:p>
    <w:p w:rsidR="00622F23" w:rsidRPr="004B2C80" w:rsidRDefault="00622F23" w:rsidP="00622F23">
      <w:pPr>
        <w:spacing w:line="240" w:lineRule="auto"/>
        <w:jc w:val="both"/>
        <w:rPr>
          <w:rFonts w:ascii="Times New Roman" w:hAnsi="Times New Roman"/>
          <w:b/>
          <w:sz w:val="24"/>
          <w:szCs w:val="24"/>
        </w:rPr>
      </w:pPr>
      <w:r w:rsidRPr="004B2C80">
        <w:rPr>
          <w:rFonts w:ascii="Times New Roman" w:hAnsi="Times New Roman"/>
          <w:b/>
          <w:sz w:val="24"/>
          <w:szCs w:val="24"/>
        </w:rPr>
        <w:lastRenderedPageBreak/>
        <w:t>GİRİŞ</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Cinsellik, insan olmanın temel unsurlarından birisi olup, cinsiyet, cinsel kimlik, toplumsal cinsiyet rolleri, cinsel yönelim, erotizm, cinsel doyum, yakınlık ve üremeyi kapsamaktadır (1).</w:t>
      </w:r>
      <w:r>
        <w:t xml:space="preserve"> </w:t>
      </w:r>
      <w:r>
        <w:rPr>
          <w:rFonts w:ascii="Times New Roman" w:hAnsi="Times New Roman"/>
          <w:sz w:val="24"/>
          <w:szCs w:val="24"/>
        </w:rPr>
        <w:t xml:space="preserve">Cinsel sağlık, Dünya Sağlık Örgütü (DSÖ) tarafından "cinsel yaşamın bedensel, ruhsal, zihinsel ve sosyal açıdan bir bütün olarak ele alınması yoluyla kişilik, iletişim ve sevginin olumlu yönde zenginleşmesi ve güçlenmesi olarak tanımlanmaktadır. Ayrıca cinsel sağlık bireyin bütüncül sağlığının ve yaşam kalitesinin önemli ve pozitif bir boyutunu oluşturmaktadır.  Buna karşın cinsel fonksiyon bozuklukları birçok toplumda görülen önemli sağlık sorunları arasında yer almakta olup, dünya genelinde kadınlarda görülme sıklığı % 27-70 arasında değişmektedir (2-5).  Yapılan çalışmalarda Türkiye’de kadınlarda cinsel fonksiyon bozukluğu görülme sıklığının % 28.6-69.4 arasında değişen ve önemsenecek derecede yüksek oranlarda olduğu saptanmıştır (6-9). </w:t>
      </w:r>
    </w:p>
    <w:p w:rsidR="00622F23" w:rsidRDefault="00622F23" w:rsidP="00622F23">
      <w:pPr>
        <w:spacing w:line="240" w:lineRule="auto"/>
        <w:jc w:val="both"/>
        <w:rPr>
          <w:rFonts w:ascii="Times New Roman" w:hAnsi="Times New Roman"/>
          <w:sz w:val="24"/>
          <w:szCs w:val="24"/>
        </w:rPr>
      </w:pPr>
      <w:proofErr w:type="gramStart"/>
      <w:r>
        <w:rPr>
          <w:rFonts w:ascii="Times New Roman" w:hAnsi="Times New Roman"/>
          <w:sz w:val="24"/>
          <w:szCs w:val="24"/>
        </w:rPr>
        <w:t xml:space="preserve">Cinsel fonksiyon bozukluklarının bütün toplumlarda yaygın olmasının nedeni; cinselliğin biyolojik, psikolojik, sosyal, ekonomik, politik, kültürel durum, din, çeşitli sağlık sorunları, yaşam dönemi, eşler arası ilişkiler, gebelik, gebelikten koruyucu yöntemler hakkında bilgi sahibi olunması, yöntem kullanma, kullanılan yöntemin yan etkileri gibi birçok faktörden etkilenen bir durum olması şeklinde ifade edilmektedir (1-7, 9-12). </w:t>
      </w:r>
      <w:proofErr w:type="gramEnd"/>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Gebelikten koruyucu yöntem kullanımı ve başarılı doğurganlık kontrolünün kadın hayatına birçok yönden olumlu katkısı bulunmaktadır. Bunlardan bazıları; kadının sahip olacağı çocuğun sayısına ve zamanlamasına karar vermesi, doğurganlığı ile ilgili sorumluluk alması, planlanmamış gebelikler nedeniyle eğitim ve sosyal yaşamın kesintiye uğramasının veya yarım kalmasının engellenmesidir. Ayrıca başarılı doğurganlık kontrolünün, kadının bir birey olarak kişisel özerkliğinin gelişmesine katkıda bulunarak, yaşam </w:t>
      </w:r>
    </w:p>
    <w:p w:rsidR="00622F23" w:rsidRDefault="00622F23" w:rsidP="00622F23">
      <w:pPr>
        <w:spacing w:line="240" w:lineRule="auto"/>
        <w:jc w:val="both"/>
        <w:rPr>
          <w:rFonts w:ascii="Times New Roman" w:hAnsi="Times New Roman"/>
          <w:sz w:val="24"/>
          <w:szCs w:val="24"/>
        </w:rPr>
      </w:pPr>
    </w:p>
    <w:p w:rsidR="00622F23" w:rsidRDefault="00622F23" w:rsidP="00622F23">
      <w:pPr>
        <w:spacing w:line="240" w:lineRule="auto"/>
        <w:jc w:val="both"/>
        <w:rPr>
          <w:rFonts w:ascii="Times New Roman" w:hAnsi="Times New Roman"/>
          <w:sz w:val="24"/>
          <w:szCs w:val="24"/>
        </w:rPr>
      </w:pPr>
      <w:proofErr w:type="gramStart"/>
      <w:r>
        <w:rPr>
          <w:rFonts w:ascii="Times New Roman" w:hAnsi="Times New Roman"/>
          <w:sz w:val="24"/>
          <w:szCs w:val="24"/>
        </w:rPr>
        <w:t>kalitesinin</w:t>
      </w:r>
      <w:proofErr w:type="gramEnd"/>
      <w:r>
        <w:rPr>
          <w:rFonts w:ascii="Times New Roman" w:hAnsi="Times New Roman"/>
          <w:sz w:val="24"/>
          <w:szCs w:val="24"/>
        </w:rPr>
        <w:t xml:space="preserve"> ve sağlığının olumlu etkilenmesine yol açacağı belirtilmektedir (12).  </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Gebelikten koruyucu yöntemler aslında cinsel aktivite için tasarlanmış olsalar bile gebelikten koruyucu yöntem kullanan kadınlarda cinsel sağlığın değerlendirilmesi sağlık personeli tarafından da ihmal edilen bir durumdur. Bu nedenle </w:t>
      </w:r>
      <w:proofErr w:type="gramStart"/>
      <w:r>
        <w:rPr>
          <w:rFonts w:ascii="Times New Roman" w:hAnsi="Times New Roman"/>
          <w:sz w:val="24"/>
          <w:szCs w:val="24"/>
        </w:rPr>
        <w:t>literatürde</w:t>
      </w:r>
      <w:proofErr w:type="gramEnd"/>
      <w:r>
        <w:rPr>
          <w:rFonts w:ascii="Times New Roman" w:hAnsi="Times New Roman"/>
          <w:sz w:val="24"/>
          <w:szCs w:val="24"/>
        </w:rPr>
        <w:t xml:space="preserve"> de konu ile ilgili sınırlı sayıda çalışma bulunduğu ve çalışma sonuçlarının bazısında gebelikten koruyucu yöntem kullanan kadınlarda cinsel sağlığın etkilenmediği, bazılarında olumlu, bazılarında da olumsuz etkilendiği belirlenmiştir (14-20). Oral Kontraseptif (OK) kullanımının kadın cinsel sağlığına etkisinin değerlendirildiği bir sistematik derlemede OK kullanan kadınlarda cinsel fonksiyonun önemli düzeyde etkilenmediği saptanmıştır (15). Zethraeus ve arkadaşları (2016) tarafından, gebelikten korunmak amacıyla OK kullanan kadınlar ile plasebo grubunda yer alan kadınlarda cinsel fonksiyonun değerlendirildiği çalışmada, cinsel fonksiyon toplam puan ortalamaları bakımından gruplar arasındaki farkın önemsiz olduğu belirlenmiştir. Buna karşın cinsel fonksiyonun istek, uyarılma ve memnuniyet alt gruplarına ilişkin fonksiyon bozukluğunun, OK kullanan kadınlarda önemli derecede fazla olduğu belirlenmiştir (19).  Shah MB’nin (2010) belirttiğine göre rahim içi araç (RİA) kullanımının libidoyu anlamlı düzeyde etkilemediği, kadının işlemi kendisinin istediği durumlarda kadın sterilizasyonunun cinsel fonksiyonu genellikle olumlu yönde etkilediği, bariyer ve doğal aile planlaması yöntemlerinin ise cinsel fonksiyona herhangi bir etkisi bulunmadığı saptanmıştır. Bununla birlikte kullanılan yöntemin yan etkileri veya kullanım güçlüğü olmasının yöntem kullanımının sonlandırılmasına neden olabilmektedir. Bu durumda istenmeyen gebelik riskinin artması nedeniyle kadınların cinsel ilişkiden kaçındıkları ve cinsel yaşam kalitesinin olumsuz </w:t>
      </w:r>
      <w:r>
        <w:rPr>
          <w:rFonts w:ascii="Times New Roman" w:hAnsi="Times New Roman"/>
          <w:sz w:val="24"/>
          <w:szCs w:val="24"/>
        </w:rPr>
        <w:lastRenderedPageBreak/>
        <w:t>etkilenebileceğine dikkat çekilmektedir (20).</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Yukarıda belirtildiği gibi </w:t>
      </w:r>
      <w:proofErr w:type="gramStart"/>
      <w:r>
        <w:rPr>
          <w:rFonts w:ascii="Times New Roman" w:hAnsi="Times New Roman"/>
          <w:sz w:val="24"/>
          <w:szCs w:val="24"/>
        </w:rPr>
        <w:t>literatürde</w:t>
      </w:r>
      <w:proofErr w:type="gramEnd"/>
      <w:r>
        <w:rPr>
          <w:rFonts w:ascii="Times New Roman" w:hAnsi="Times New Roman"/>
          <w:sz w:val="24"/>
          <w:szCs w:val="24"/>
        </w:rPr>
        <w:t xml:space="preserve"> gebelikten koruyucu yöntem kullanan kadınlarda cinsel fonksiyonuna belirlenmesine yönelik ulusal ve uluslararası literatürde sınırlı sayıda çalışma bulunmaktadır. Bu nedenle çalışmamızdan elde edilen sonuçların hem konuya ilişkin bilimsel bilginin artmasına katkıda bulunulacağı, hem de özelde kadın cinsel sağlığının, genelde toplum sağlığının korunup geliştirilmesine katkı sağlayabileceği düşünülmektedir. </w:t>
      </w:r>
    </w:p>
    <w:p w:rsidR="00622F23" w:rsidRDefault="00622F23" w:rsidP="00622F23">
      <w:pPr>
        <w:spacing w:line="240" w:lineRule="auto"/>
        <w:rPr>
          <w:rFonts w:ascii="Times New Roman" w:hAnsi="Times New Roman"/>
          <w:b/>
          <w:sz w:val="24"/>
          <w:szCs w:val="24"/>
        </w:rPr>
      </w:pPr>
      <w:r>
        <w:rPr>
          <w:rFonts w:ascii="Times New Roman" w:hAnsi="Times New Roman"/>
          <w:b/>
          <w:sz w:val="24"/>
          <w:szCs w:val="24"/>
        </w:rPr>
        <w:t>GEREÇ ve YÖNTEM</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Çalışma, gebeliği önleyici yöntem kullanan kadınlarda cinsel fonksiyonun belirlenmesi amacıyla tanımlayıcı olarak yapılmıştır. Örneklem Hatay ilinde 1 MART - AĞUSTOS 2013 tarihleri arasında çeşitli nedenlerle bir aile sağlığı merkezine başvuran, 15-49 yaş grubunda, en az </w:t>
      </w:r>
      <w:proofErr w:type="gramStart"/>
      <w:r>
        <w:rPr>
          <w:rFonts w:ascii="Times New Roman" w:hAnsi="Times New Roman"/>
          <w:sz w:val="24"/>
          <w:szCs w:val="24"/>
        </w:rPr>
        <w:t>okur yazar</w:t>
      </w:r>
      <w:proofErr w:type="gramEnd"/>
      <w:r>
        <w:rPr>
          <w:rFonts w:ascii="Times New Roman" w:hAnsi="Times New Roman"/>
          <w:sz w:val="24"/>
          <w:szCs w:val="24"/>
        </w:rPr>
        <w:t xml:space="preserve"> olan, evli ve herhangi bir gebelikten koruyucu yöntem kullanan 257 kadından oluşmuştur. Veri toplama aracı olarak araştırmacılar tarafından </w:t>
      </w:r>
      <w:proofErr w:type="gramStart"/>
      <w:r>
        <w:rPr>
          <w:rFonts w:ascii="Times New Roman" w:hAnsi="Times New Roman"/>
          <w:sz w:val="24"/>
          <w:szCs w:val="24"/>
        </w:rPr>
        <w:t>literatüre</w:t>
      </w:r>
      <w:proofErr w:type="gramEnd"/>
      <w:r>
        <w:rPr>
          <w:rFonts w:ascii="Times New Roman" w:hAnsi="Times New Roman"/>
          <w:sz w:val="24"/>
          <w:szCs w:val="24"/>
        </w:rPr>
        <w:t xml:space="preserve"> uygun olarak geliştirilen “Bireysel Özellikleri Belirleme Formu” ve “Arizona Cinsel Yaşantılar Ölçeği- kadın formu (ACYÖ)” kullanılmıştır (4, 6-8,16,19,21).</w:t>
      </w:r>
    </w:p>
    <w:p w:rsidR="00622F23" w:rsidRDefault="00622F23" w:rsidP="00622F23">
      <w:pPr>
        <w:spacing w:line="240" w:lineRule="auto"/>
        <w:jc w:val="both"/>
        <w:rPr>
          <w:rFonts w:ascii="Times New Roman" w:hAnsi="Times New Roman"/>
          <w:sz w:val="24"/>
          <w:szCs w:val="24"/>
        </w:rPr>
      </w:pPr>
      <w:r>
        <w:rPr>
          <w:rFonts w:ascii="Times New Roman" w:hAnsi="Times New Roman"/>
          <w:b/>
          <w:sz w:val="24"/>
          <w:szCs w:val="24"/>
        </w:rPr>
        <w:t>Bireysel Özellikleri Belirleme Formu</w:t>
      </w:r>
      <w:r>
        <w:rPr>
          <w:rFonts w:ascii="Times New Roman" w:hAnsi="Times New Roman"/>
          <w:sz w:val="24"/>
          <w:szCs w:val="24"/>
        </w:rPr>
        <w:t xml:space="preserve">: Kadının ve eşinin yaşı, eğitim durumu, yaşadığı yer, evlenme şekli, evlilik süresi, aile tipi, gelir durumu, gebelik sayısı, doğum sayısı, herhangi bir sağlık sorunu olup olmaması, kullandığı yöntem, yöntemi kullanma süresi ve memnun olma durumu gibi bazı özellikleri belirlemeye yönelik toplam 20 sorudan oluşmaktadır. </w:t>
      </w:r>
    </w:p>
    <w:p w:rsidR="00622F23" w:rsidRDefault="00622F23" w:rsidP="00622F23">
      <w:pPr>
        <w:spacing w:line="240" w:lineRule="auto"/>
        <w:jc w:val="both"/>
        <w:rPr>
          <w:rFonts w:ascii="Times New Roman" w:hAnsi="Times New Roman"/>
          <w:sz w:val="24"/>
          <w:szCs w:val="24"/>
        </w:rPr>
      </w:pPr>
      <w:r>
        <w:rPr>
          <w:rFonts w:ascii="Times New Roman" w:hAnsi="Times New Roman"/>
          <w:b/>
          <w:sz w:val="24"/>
          <w:szCs w:val="24"/>
        </w:rPr>
        <w:t>Arizona Cinsel Yaşantılar Ölçeği:</w:t>
      </w:r>
      <w:r>
        <w:rPr>
          <w:rFonts w:ascii="Times New Roman" w:hAnsi="Times New Roman"/>
          <w:sz w:val="24"/>
          <w:szCs w:val="24"/>
        </w:rPr>
        <w:t xml:space="preserve"> Arizona Cinsel Yaşantılar Ölçeği (ACYÖ) Mc Gahuey ve arkadaşları (2000) tarafından geliştirilmiş olup, cinsel işlevleri cinsel yönelim ve cinsel eşle olan ilişkiyi hariç tutarak değerlendirmeyi amaçlayan bir ölçektir (21). Ölçeğin Türkçe formunun geçerlik güvenilirlik çalışması Soykan </w:t>
      </w:r>
      <w:r>
        <w:rPr>
          <w:rFonts w:ascii="Times New Roman" w:hAnsi="Times New Roman"/>
          <w:sz w:val="24"/>
          <w:szCs w:val="24"/>
        </w:rPr>
        <w:lastRenderedPageBreak/>
        <w:t>(2004) tarafından yapılmıştır ve Cronbach alpha iç tutarlılık katsayısı 0.90 olarak bulunmuştur (22). Ölçek beş sorudan oluşmakta ve sorular sırasıyla cinsel istek, uyarılma, vajinal lubrikasyon, orgazma ulaşma kapasitesi ve orgazm sonucu doyum duygusunu irdelemektedir. Soruların son bir haftanın düşünülerek yanıtlanması istenmektedir. Her bir sorun 1-6 arasında puanlanır, böylece ölçekten alınabilecek toplam puan 5-30 arasında değişir. Düşük puanlar cinsel yanıtın güçlü, kolay ve tatmin edici olduğunu gösterirken, yüksek puanlar cinsel işlev bozukluğunun varlığını gösterir. Daha yüksek puan, daha şiddetli cinsel işlev bozukluğuna işaret eder. Toplam puanın 19 ve üzerinde olması, herhangi bir maddenin 5 ya da 6 puan olması veya üç ya da daha fazla maddenin 4 puan oluşu cinsel işlev bozukluğuna işaret etmekte olup, klinisyen tarafından tanımlanmış cinsel işlev bozuklukları ile yüksek oranda ilişkili bulunmaktadır.</w:t>
      </w:r>
    </w:p>
    <w:p w:rsidR="00622F23" w:rsidRDefault="00622F23" w:rsidP="00622F23">
      <w:pPr>
        <w:spacing w:line="240" w:lineRule="auto"/>
        <w:jc w:val="both"/>
        <w:rPr>
          <w:rFonts w:ascii="Times New Roman" w:hAnsi="Times New Roman"/>
          <w:b/>
          <w:sz w:val="24"/>
          <w:szCs w:val="24"/>
        </w:rPr>
      </w:pPr>
      <w:r>
        <w:rPr>
          <w:rFonts w:ascii="Times New Roman" w:hAnsi="Times New Roman"/>
          <w:b/>
          <w:sz w:val="24"/>
          <w:szCs w:val="24"/>
        </w:rPr>
        <w:t>Verilerin Toplanması</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Belirtilen tarihler arasında aile sağlığı merkezine başvuranlar arasında araştırmaya alınma </w:t>
      </w:r>
      <w:proofErr w:type="gramStart"/>
      <w:r>
        <w:rPr>
          <w:rFonts w:ascii="Times New Roman" w:hAnsi="Times New Roman"/>
          <w:sz w:val="24"/>
          <w:szCs w:val="24"/>
        </w:rPr>
        <w:t>kriterlerine</w:t>
      </w:r>
      <w:proofErr w:type="gramEnd"/>
      <w:r>
        <w:rPr>
          <w:rFonts w:ascii="Times New Roman" w:hAnsi="Times New Roman"/>
          <w:sz w:val="24"/>
          <w:szCs w:val="24"/>
        </w:rPr>
        <w:t xml:space="preserve"> uygun olan kadınlara araştırmacı tarafından çalışma ile ilgili bilgi verilmiştir. Çalışmaya katılmaya gönüllü olan kadınlar, aile sağlığı merkezindeki uygun bir odaya alınarak veri toplama formlarını bireysel olarak doldurmaları sağlanmıştır. Bu süreçte araştırmacı kadınların yanında bulunmuş ve gerektiğinde sorularını yanıtlamıştır. Veri toplama işlemi her bir kadın için ortalama 10 dakika sürmüştür. </w:t>
      </w:r>
    </w:p>
    <w:p w:rsidR="00622F23" w:rsidRDefault="00622F23" w:rsidP="00622F23">
      <w:pPr>
        <w:spacing w:line="240" w:lineRule="auto"/>
        <w:jc w:val="both"/>
        <w:rPr>
          <w:rFonts w:ascii="Times New Roman" w:hAnsi="Times New Roman"/>
          <w:sz w:val="24"/>
          <w:szCs w:val="24"/>
        </w:rPr>
      </w:pPr>
      <w:r>
        <w:rPr>
          <w:rFonts w:ascii="Times New Roman" w:hAnsi="Times New Roman"/>
          <w:b/>
          <w:sz w:val="24"/>
          <w:szCs w:val="24"/>
        </w:rPr>
        <w:t xml:space="preserve"> Araştırmanın Etik Boyutu</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Veri toplama işlemi öncesi çalışmanın yapılacağı kurumdan yazılı izin ve Mustafa Kemal Üniversitesi Tayfur Ata Sökmen Tıp Fakültesi Klinik Araştırmalar Etik Kurul’undan etik onay alınmıştır (2013/175).  Araştırmaya katılım gönüllülük esasına dayalı olup, araştırma “Helsinki Deklerasyonu” prensiplerine uygun olarak yapılmıştır. </w:t>
      </w:r>
    </w:p>
    <w:p w:rsidR="00622F23" w:rsidRDefault="00622F23" w:rsidP="00622F23">
      <w:pPr>
        <w:spacing w:line="240" w:lineRule="auto"/>
        <w:jc w:val="both"/>
        <w:rPr>
          <w:rFonts w:ascii="Times New Roman" w:hAnsi="Times New Roman"/>
          <w:b/>
          <w:sz w:val="24"/>
          <w:szCs w:val="24"/>
        </w:rPr>
      </w:pPr>
      <w:r>
        <w:rPr>
          <w:rFonts w:ascii="Times New Roman" w:hAnsi="Times New Roman"/>
          <w:b/>
          <w:sz w:val="24"/>
          <w:szCs w:val="24"/>
        </w:rPr>
        <w:lastRenderedPageBreak/>
        <w:t>İstatistiksel Analiz</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Araştırmada elde edilen veriler, bilgisayarda Statistical Package for the Social Sciences (SPSS) for Windows 17.0 istatistik programında analiz edilmiştir. Veriler sayı, yüzde, ortalama ve standart sapma şeklinde sunulmuş, istatistiksel analizde Kruskal Wallis varyans analizi ve tek yönlü ANOVA kullanılmıştır. İstatistiksel anlamlılık düzeyi olarak p &lt;0.05 kabul edilmiştir.</w:t>
      </w: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sz w:val="24"/>
          <w:szCs w:val="24"/>
        </w:rPr>
      </w:pPr>
      <w:r>
        <w:rPr>
          <w:rFonts w:ascii="Times New Roman" w:hAnsi="Times New Roman"/>
          <w:b/>
          <w:sz w:val="24"/>
          <w:szCs w:val="24"/>
        </w:rPr>
        <w:t>BULGULAR</w:t>
      </w:r>
    </w:p>
    <w:p w:rsidR="00622F23" w:rsidRDefault="00622F23" w:rsidP="00622F23">
      <w:pPr>
        <w:spacing w:after="200" w:line="240" w:lineRule="auto"/>
        <w:jc w:val="both"/>
        <w:rPr>
          <w:rFonts w:ascii="Times New Roman" w:hAnsi="Times New Roman"/>
          <w:sz w:val="24"/>
          <w:szCs w:val="24"/>
        </w:rPr>
      </w:pPr>
      <w:r>
        <w:rPr>
          <w:rFonts w:ascii="Times New Roman" w:hAnsi="Times New Roman"/>
          <w:sz w:val="24"/>
          <w:szCs w:val="24"/>
        </w:rPr>
        <w:lastRenderedPageBreak/>
        <w:t>Kadınların bazı sosyo-demografik özellikleri değerlendirildiğinde; % 50.6’si 18-29 yaş grubunda olup, yaş ortalaması 30.69 (SD=7.84) dur.  Kadınların %63’ü ilkokul mezunudur ve %75’i görücü usulü ile evlenmiştir. Kadınların % 86.4’ü çekirdek ailede ve %63’ü ilçede yaşamakta, % 63’ü gelir durumunu orta düzey olarak tanımlamaktadır. Kadınların evlilik yaş ortalaması 18.85, evlilik yılı ortalaması 11.80’dir. Kadınların gebelik sayı ortalaması 3.73 ve doğum sayısı ortalaması 3.25’dir.  Kadınların %7.4’ ünün tanısı konmuş fiziksel bir hastalığı, % 8.6’ sının ruhsal ve % 4.7’ sinin jinekolojik bir hastalığı olduğu belirlenmiştir.</w:t>
      </w:r>
    </w:p>
    <w:p w:rsidR="00622F23" w:rsidRDefault="00622F23" w:rsidP="00622F23">
      <w:pPr>
        <w:jc w:val="both"/>
        <w:rPr>
          <w:rFonts w:ascii="Times New Roman" w:hAnsi="Times New Roman"/>
          <w:b/>
          <w:sz w:val="24"/>
          <w:szCs w:val="24"/>
        </w:rPr>
        <w:sectPr w:rsidR="00622F23" w:rsidSect="00F957F1">
          <w:headerReference w:type="first" r:id="rId16"/>
          <w:footerReference w:type="first" r:id="rId17"/>
          <w:type w:val="continuous"/>
          <w:pgSz w:w="11906" w:h="16838"/>
          <w:pgMar w:top="1417" w:right="1417" w:bottom="1417" w:left="1417" w:header="708" w:footer="708" w:gutter="0"/>
          <w:cols w:num="2" w:space="708"/>
          <w:titlePg/>
          <w:docGrid w:linePitch="360"/>
        </w:sectPr>
      </w:pPr>
    </w:p>
    <w:p w:rsidR="00622F23" w:rsidRDefault="00622F23" w:rsidP="00622F23">
      <w:pPr>
        <w:jc w:val="both"/>
        <w:rPr>
          <w:rFonts w:ascii="Times New Roman" w:hAnsi="Times New Roman"/>
          <w:b/>
          <w:sz w:val="24"/>
          <w:szCs w:val="24"/>
        </w:rPr>
      </w:pPr>
    </w:p>
    <w:p w:rsidR="00622F23" w:rsidRPr="00724965" w:rsidRDefault="00622F23" w:rsidP="00622F23">
      <w:pPr>
        <w:jc w:val="both"/>
        <w:rPr>
          <w:rFonts w:ascii="Times New Roman" w:hAnsi="Times New Roman"/>
          <w:b/>
          <w:sz w:val="24"/>
          <w:szCs w:val="24"/>
        </w:rPr>
      </w:pPr>
      <w:r w:rsidRPr="00724965">
        <w:rPr>
          <w:rFonts w:ascii="Times New Roman" w:hAnsi="Times New Roman"/>
          <w:b/>
          <w:sz w:val="24"/>
          <w:szCs w:val="24"/>
        </w:rPr>
        <w:t xml:space="preserve">Tablo 1. </w:t>
      </w:r>
      <w:r w:rsidRPr="00D90902">
        <w:rPr>
          <w:rFonts w:ascii="Times New Roman" w:hAnsi="Times New Roman"/>
          <w:sz w:val="24"/>
          <w:szCs w:val="24"/>
        </w:rPr>
        <w:t>Kadınların gebeliği önleyici yöntem kullanma özelliklerinin dağılımı</w:t>
      </w:r>
    </w:p>
    <w:tbl>
      <w:tblPr>
        <w:tblW w:w="0" w:type="auto"/>
        <w:tblLook w:val="04A0" w:firstRow="1" w:lastRow="0" w:firstColumn="1" w:lastColumn="0" w:noHBand="0" w:noVBand="1"/>
      </w:tblPr>
      <w:tblGrid>
        <w:gridCol w:w="4503"/>
        <w:gridCol w:w="1842"/>
      </w:tblGrid>
      <w:tr w:rsidR="00622F23" w:rsidRPr="00F957F1" w:rsidTr="00517147">
        <w:tc>
          <w:tcPr>
            <w:tcW w:w="4503" w:type="dxa"/>
            <w:tcBorders>
              <w:top w:val="single" w:sz="4" w:space="0" w:color="auto"/>
              <w:bottom w:val="single" w:sz="4" w:space="0" w:color="auto"/>
            </w:tcBorders>
            <w:shd w:val="clear" w:color="auto" w:fill="auto"/>
          </w:tcPr>
          <w:p w:rsidR="00622F23" w:rsidRPr="00F957F1" w:rsidRDefault="00622F23" w:rsidP="00517147">
            <w:pPr>
              <w:spacing w:after="0"/>
              <w:jc w:val="both"/>
              <w:rPr>
                <w:rFonts w:ascii="Times New Roman" w:hAnsi="Times New Roman"/>
                <w:b/>
              </w:rPr>
            </w:pPr>
            <w:r w:rsidRPr="00F957F1">
              <w:rPr>
                <w:rFonts w:ascii="Times New Roman" w:hAnsi="Times New Roman"/>
                <w:b/>
              </w:rPr>
              <w:t>Değişkenler</w:t>
            </w:r>
          </w:p>
        </w:tc>
        <w:tc>
          <w:tcPr>
            <w:tcW w:w="1842" w:type="dxa"/>
            <w:tcBorders>
              <w:top w:val="single" w:sz="4" w:space="0" w:color="auto"/>
              <w:bottom w:val="single" w:sz="4" w:space="0" w:color="auto"/>
            </w:tcBorders>
            <w:shd w:val="clear" w:color="auto" w:fill="auto"/>
          </w:tcPr>
          <w:p w:rsidR="00622F23" w:rsidRPr="00F957F1" w:rsidRDefault="00622F23" w:rsidP="00517147">
            <w:pPr>
              <w:spacing w:after="0"/>
              <w:jc w:val="center"/>
              <w:rPr>
                <w:rFonts w:ascii="Times New Roman" w:hAnsi="Times New Roman"/>
                <w:b/>
              </w:rPr>
            </w:pPr>
            <w:r w:rsidRPr="00F957F1">
              <w:rPr>
                <w:rFonts w:ascii="Times New Roman" w:hAnsi="Times New Roman"/>
                <w:b/>
              </w:rPr>
              <w:t>Sayı   (%)</w:t>
            </w:r>
          </w:p>
        </w:tc>
      </w:tr>
      <w:tr w:rsidR="00622F23" w:rsidRPr="00F957F1" w:rsidTr="00517147">
        <w:tc>
          <w:tcPr>
            <w:tcW w:w="4503" w:type="dxa"/>
            <w:tcBorders>
              <w:top w:val="single" w:sz="4" w:space="0" w:color="auto"/>
            </w:tcBorders>
            <w:shd w:val="clear" w:color="auto" w:fill="auto"/>
          </w:tcPr>
          <w:p w:rsidR="00622F23" w:rsidRPr="00F957F1" w:rsidRDefault="00622F23" w:rsidP="00517147">
            <w:pPr>
              <w:spacing w:after="0"/>
              <w:jc w:val="both"/>
              <w:rPr>
                <w:rFonts w:ascii="Times New Roman" w:hAnsi="Times New Roman"/>
                <w:b/>
              </w:rPr>
            </w:pPr>
            <w:r w:rsidRPr="00F957F1">
              <w:rPr>
                <w:rFonts w:ascii="Times New Roman" w:hAnsi="Times New Roman"/>
                <w:b/>
              </w:rPr>
              <w:t>Kullanılan yöntem türü</w:t>
            </w:r>
          </w:p>
        </w:tc>
        <w:tc>
          <w:tcPr>
            <w:tcW w:w="1842" w:type="dxa"/>
            <w:tcBorders>
              <w:top w:val="single" w:sz="4" w:space="0" w:color="auto"/>
            </w:tcBorders>
            <w:shd w:val="clear" w:color="auto" w:fill="auto"/>
          </w:tcPr>
          <w:p w:rsidR="00622F23" w:rsidRPr="00F957F1" w:rsidRDefault="00622F23" w:rsidP="00517147">
            <w:pPr>
              <w:spacing w:after="0"/>
              <w:jc w:val="center"/>
              <w:rPr>
                <w:rFonts w:ascii="Times New Roman" w:hAnsi="Times New Roman"/>
                <w:b/>
              </w:rPr>
            </w:pP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rPr>
            </w:pPr>
            <w:r w:rsidRPr="00F957F1">
              <w:rPr>
                <w:rFonts w:ascii="Times New Roman" w:hAnsi="Times New Roman"/>
              </w:rPr>
              <w:t>Geri Çekme</w:t>
            </w:r>
          </w:p>
          <w:p w:rsidR="00622F23" w:rsidRPr="00F957F1" w:rsidRDefault="00622F23" w:rsidP="00517147">
            <w:pPr>
              <w:spacing w:after="0"/>
              <w:jc w:val="both"/>
              <w:rPr>
                <w:rFonts w:ascii="Times New Roman" w:hAnsi="Times New Roman"/>
              </w:rPr>
            </w:pPr>
            <w:r w:rsidRPr="00F957F1">
              <w:rPr>
                <w:rFonts w:ascii="Times New Roman" w:hAnsi="Times New Roman"/>
              </w:rPr>
              <w:t>RİA</w:t>
            </w:r>
          </w:p>
          <w:p w:rsidR="00622F23" w:rsidRPr="00F957F1" w:rsidRDefault="00622F23" w:rsidP="00517147">
            <w:pPr>
              <w:spacing w:after="0"/>
              <w:jc w:val="both"/>
              <w:rPr>
                <w:rFonts w:ascii="Times New Roman" w:hAnsi="Times New Roman"/>
              </w:rPr>
            </w:pPr>
            <w:r w:rsidRPr="00F957F1">
              <w:rPr>
                <w:rFonts w:ascii="Times New Roman" w:hAnsi="Times New Roman"/>
              </w:rPr>
              <w:t>Tüp ligasyonu</w:t>
            </w:r>
          </w:p>
          <w:p w:rsidR="00622F23" w:rsidRPr="00F957F1" w:rsidRDefault="00622F23" w:rsidP="00517147">
            <w:pPr>
              <w:spacing w:after="0"/>
              <w:jc w:val="both"/>
              <w:rPr>
                <w:rFonts w:ascii="Times New Roman" w:hAnsi="Times New Roman"/>
              </w:rPr>
            </w:pPr>
            <w:r w:rsidRPr="00F957F1">
              <w:rPr>
                <w:rFonts w:ascii="Times New Roman" w:hAnsi="Times New Roman"/>
              </w:rPr>
              <w:t>Kondom</w:t>
            </w:r>
          </w:p>
          <w:p w:rsidR="00622F23" w:rsidRPr="00F957F1" w:rsidRDefault="00622F23" w:rsidP="00517147">
            <w:pPr>
              <w:spacing w:after="0"/>
              <w:jc w:val="both"/>
              <w:rPr>
                <w:rFonts w:ascii="Times New Roman" w:hAnsi="Times New Roman"/>
              </w:rPr>
            </w:pPr>
            <w:r w:rsidRPr="00F957F1">
              <w:rPr>
                <w:rFonts w:ascii="Times New Roman" w:hAnsi="Times New Roman"/>
              </w:rPr>
              <w:t>Enjeksiyon</w:t>
            </w:r>
          </w:p>
          <w:p w:rsidR="00622F23" w:rsidRPr="00F957F1" w:rsidRDefault="00622F23" w:rsidP="00517147">
            <w:pPr>
              <w:spacing w:after="0"/>
              <w:jc w:val="both"/>
              <w:rPr>
                <w:rFonts w:ascii="Times New Roman" w:hAnsi="Times New Roman"/>
              </w:rPr>
            </w:pPr>
            <w:r w:rsidRPr="00F957F1">
              <w:rPr>
                <w:rFonts w:ascii="Times New Roman" w:hAnsi="Times New Roman"/>
              </w:rPr>
              <w:t>KOK</w:t>
            </w:r>
          </w:p>
        </w:tc>
        <w:tc>
          <w:tcPr>
            <w:tcW w:w="1842" w:type="dxa"/>
            <w:shd w:val="clear" w:color="auto" w:fill="auto"/>
          </w:tcPr>
          <w:p w:rsidR="00622F23" w:rsidRPr="00F957F1" w:rsidRDefault="00622F23" w:rsidP="00517147">
            <w:pPr>
              <w:spacing w:after="0"/>
              <w:jc w:val="center"/>
              <w:rPr>
                <w:rFonts w:ascii="Times New Roman" w:hAnsi="Times New Roman"/>
              </w:rPr>
            </w:pPr>
            <w:r w:rsidRPr="00F957F1">
              <w:rPr>
                <w:rFonts w:ascii="Times New Roman" w:hAnsi="Times New Roman"/>
              </w:rPr>
              <w:t>77   (30.0)</w:t>
            </w:r>
          </w:p>
          <w:p w:rsidR="00622F23" w:rsidRPr="00F957F1" w:rsidRDefault="00622F23" w:rsidP="00517147">
            <w:pPr>
              <w:spacing w:after="0"/>
              <w:jc w:val="center"/>
              <w:rPr>
                <w:rFonts w:ascii="Times New Roman" w:hAnsi="Times New Roman"/>
              </w:rPr>
            </w:pPr>
            <w:r w:rsidRPr="00F957F1">
              <w:rPr>
                <w:rFonts w:ascii="Times New Roman" w:hAnsi="Times New Roman"/>
              </w:rPr>
              <w:t>70   (27.2)</w:t>
            </w:r>
          </w:p>
          <w:p w:rsidR="00622F23" w:rsidRPr="00F957F1" w:rsidRDefault="00622F23" w:rsidP="00517147">
            <w:pPr>
              <w:spacing w:after="0"/>
              <w:jc w:val="center"/>
              <w:rPr>
                <w:rFonts w:ascii="Times New Roman" w:hAnsi="Times New Roman"/>
              </w:rPr>
            </w:pPr>
            <w:r w:rsidRPr="00F957F1">
              <w:rPr>
                <w:rFonts w:ascii="Times New Roman" w:hAnsi="Times New Roman"/>
              </w:rPr>
              <w:t>43   (16.7)</w:t>
            </w:r>
          </w:p>
          <w:p w:rsidR="00622F23" w:rsidRPr="00F957F1" w:rsidRDefault="00622F23" w:rsidP="00517147">
            <w:pPr>
              <w:spacing w:after="0"/>
              <w:jc w:val="center"/>
              <w:rPr>
                <w:rFonts w:ascii="Times New Roman" w:hAnsi="Times New Roman"/>
              </w:rPr>
            </w:pPr>
            <w:r w:rsidRPr="00F957F1">
              <w:rPr>
                <w:rFonts w:ascii="Times New Roman" w:hAnsi="Times New Roman"/>
              </w:rPr>
              <w:t>39   (15.2)</w:t>
            </w:r>
          </w:p>
          <w:p w:rsidR="00622F23" w:rsidRPr="00F957F1" w:rsidRDefault="00622F23" w:rsidP="00517147">
            <w:pPr>
              <w:spacing w:after="0"/>
              <w:jc w:val="center"/>
              <w:rPr>
                <w:rFonts w:ascii="Times New Roman" w:hAnsi="Times New Roman"/>
              </w:rPr>
            </w:pPr>
            <w:r w:rsidRPr="00F957F1">
              <w:rPr>
                <w:rFonts w:ascii="Times New Roman" w:hAnsi="Times New Roman"/>
              </w:rPr>
              <w:t>23     (8.9)</w:t>
            </w:r>
          </w:p>
          <w:p w:rsidR="00622F23" w:rsidRPr="00F957F1" w:rsidRDefault="00622F23" w:rsidP="00517147">
            <w:pPr>
              <w:spacing w:after="0"/>
              <w:jc w:val="center"/>
              <w:rPr>
                <w:rFonts w:ascii="Times New Roman" w:hAnsi="Times New Roman"/>
              </w:rPr>
            </w:pPr>
            <w:r w:rsidRPr="00F957F1">
              <w:rPr>
                <w:rFonts w:ascii="Times New Roman" w:hAnsi="Times New Roman"/>
              </w:rPr>
              <w:t>5       (1.9)</w:t>
            </w: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b/>
              </w:rPr>
            </w:pPr>
            <w:r w:rsidRPr="00F957F1">
              <w:rPr>
                <w:rFonts w:ascii="Times New Roman" w:hAnsi="Times New Roman"/>
                <w:b/>
              </w:rPr>
              <w:t>Yöntemi kullanma süresi</w:t>
            </w:r>
          </w:p>
        </w:tc>
        <w:tc>
          <w:tcPr>
            <w:tcW w:w="1842" w:type="dxa"/>
            <w:shd w:val="clear" w:color="auto" w:fill="auto"/>
          </w:tcPr>
          <w:p w:rsidR="00622F23" w:rsidRPr="00F957F1" w:rsidRDefault="00622F23" w:rsidP="00517147">
            <w:pPr>
              <w:spacing w:after="0"/>
              <w:jc w:val="center"/>
              <w:rPr>
                <w:rFonts w:ascii="Times New Roman" w:hAnsi="Times New Roman"/>
              </w:rPr>
            </w:pP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rPr>
            </w:pPr>
            <w:r w:rsidRPr="00F957F1">
              <w:rPr>
                <w:rFonts w:ascii="Times New Roman" w:hAnsi="Times New Roman"/>
              </w:rPr>
              <w:t>12 dan az</w:t>
            </w:r>
          </w:p>
          <w:p w:rsidR="00622F23" w:rsidRPr="00F957F1" w:rsidRDefault="00622F23" w:rsidP="00517147">
            <w:pPr>
              <w:spacing w:after="0"/>
              <w:jc w:val="both"/>
              <w:rPr>
                <w:rFonts w:ascii="Times New Roman" w:hAnsi="Times New Roman"/>
              </w:rPr>
            </w:pPr>
            <w:r w:rsidRPr="00F957F1">
              <w:rPr>
                <w:rFonts w:ascii="Times New Roman" w:hAnsi="Times New Roman"/>
              </w:rPr>
              <w:t>12 ay ve üzeri</w:t>
            </w:r>
          </w:p>
        </w:tc>
        <w:tc>
          <w:tcPr>
            <w:tcW w:w="1842" w:type="dxa"/>
            <w:shd w:val="clear" w:color="auto" w:fill="auto"/>
          </w:tcPr>
          <w:p w:rsidR="00622F23" w:rsidRPr="00F957F1" w:rsidRDefault="00622F23" w:rsidP="00517147">
            <w:pPr>
              <w:spacing w:after="0"/>
              <w:jc w:val="center"/>
              <w:rPr>
                <w:rFonts w:ascii="Times New Roman" w:hAnsi="Times New Roman"/>
              </w:rPr>
            </w:pPr>
            <w:r w:rsidRPr="00F957F1">
              <w:rPr>
                <w:rFonts w:ascii="Times New Roman" w:hAnsi="Times New Roman"/>
              </w:rPr>
              <w:t>124  (48.2)</w:t>
            </w:r>
          </w:p>
          <w:p w:rsidR="00622F23" w:rsidRPr="00F957F1" w:rsidRDefault="00622F23" w:rsidP="00517147">
            <w:pPr>
              <w:spacing w:after="0"/>
              <w:jc w:val="center"/>
              <w:rPr>
                <w:rFonts w:ascii="Times New Roman" w:hAnsi="Times New Roman"/>
              </w:rPr>
            </w:pPr>
            <w:r w:rsidRPr="00F957F1">
              <w:rPr>
                <w:rFonts w:ascii="Times New Roman" w:hAnsi="Times New Roman"/>
              </w:rPr>
              <w:t>133  (51.8)</w:t>
            </w: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b/>
              </w:rPr>
            </w:pPr>
            <w:r w:rsidRPr="00F957F1">
              <w:rPr>
                <w:rFonts w:ascii="Times New Roman" w:hAnsi="Times New Roman"/>
                <w:b/>
              </w:rPr>
              <w:t xml:space="preserve">Kullanılan yöntemle ilgili </w:t>
            </w:r>
          </w:p>
          <w:p w:rsidR="00622F23" w:rsidRPr="00F957F1" w:rsidRDefault="00622F23" w:rsidP="00517147">
            <w:pPr>
              <w:spacing w:after="0"/>
              <w:jc w:val="both"/>
              <w:rPr>
                <w:rFonts w:ascii="Times New Roman" w:hAnsi="Times New Roman"/>
                <w:b/>
              </w:rPr>
            </w:pPr>
            <w:proofErr w:type="gramStart"/>
            <w:r w:rsidRPr="00F957F1">
              <w:rPr>
                <w:rFonts w:ascii="Times New Roman" w:hAnsi="Times New Roman"/>
                <w:b/>
              </w:rPr>
              <w:t>şikayeti</w:t>
            </w:r>
            <w:proofErr w:type="gramEnd"/>
          </w:p>
        </w:tc>
        <w:tc>
          <w:tcPr>
            <w:tcW w:w="1842" w:type="dxa"/>
            <w:shd w:val="clear" w:color="auto" w:fill="auto"/>
          </w:tcPr>
          <w:p w:rsidR="00622F23" w:rsidRPr="00F957F1" w:rsidRDefault="00622F23" w:rsidP="00517147">
            <w:pPr>
              <w:spacing w:after="0"/>
              <w:jc w:val="center"/>
              <w:rPr>
                <w:rFonts w:ascii="Times New Roman" w:hAnsi="Times New Roman"/>
              </w:rPr>
            </w:pP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rPr>
            </w:pPr>
            <w:r w:rsidRPr="00F957F1">
              <w:rPr>
                <w:rFonts w:ascii="Times New Roman" w:hAnsi="Times New Roman"/>
              </w:rPr>
              <w:t>Var</w:t>
            </w:r>
          </w:p>
          <w:p w:rsidR="00622F23" w:rsidRPr="00F957F1" w:rsidRDefault="00622F23" w:rsidP="00517147">
            <w:pPr>
              <w:spacing w:after="0"/>
              <w:jc w:val="both"/>
              <w:rPr>
                <w:rFonts w:ascii="Times New Roman" w:hAnsi="Times New Roman"/>
              </w:rPr>
            </w:pPr>
            <w:r w:rsidRPr="00F957F1">
              <w:rPr>
                <w:rFonts w:ascii="Times New Roman" w:hAnsi="Times New Roman"/>
              </w:rPr>
              <w:t xml:space="preserve">Yok </w:t>
            </w:r>
          </w:p>
        </w:tc>
        <w:tc>
          <w:tcPr>
            <w:tcW w:w="1842" w:type="dxa"/>
            <w:shd w:val="clear" w:color="auto" w:fill="auto"/>
          </w:tcPr>
          <w:p w:rsidR="00622F23" w:rsidRPr="00F957F1" w:rsidRDefault="00622F23" w:rsidP="00517147">
            <w:pPr>
              <w:spacing w:after="0"/>
              <w:jc w:val="center"/>
              <w:rPr>
                <w:rFonts w:ascii="Times New Roman" w:hAnsi="Times New Roman"/>
              </w:rPr>
            </w:pPr>
            <w:r w:rsidRPr="00F957F1">
              <w:rPr>
                <w:rFonts w:ascii="Times New Roman" w:hAnsi="Times New Roman"/>
              </w:rPr>
              <w:t>25   (9.7)</w:t>
            </w:r>
          </w:p>
          <w:p w:rsidR="00622F23" w:rsidRPr="00F957F1" w:rsidRDefault="00622F23" w:rsidP="00517147">
            <w:pPr>
              <w:spacing w:after="0"/>
              <w:jc w:val="center"/>
              <w:rPr>
                <w:rFonts w:ascii="Times New Roman" w:hAnsi="Times New Roman"/>
              </w:rPr>
            </w:pPr>
            <w:r w:rsidRPr="00F957F1">
              <w:rPr>
                <w:rFonts w:ascii="Times New Roman" w:hAnsi="Times New Roman"/>
              </w:rPr>
              <w:t>232  (90.3)</w:t>
            </w:r>
          </w:p>
        </w:tc>
      </w:tr>
      <w:tr w:rsidR="00622F23" w:rsidRPr="00F957F1" w:rsidTr="00517147">
        <w:tc>
          <w:tcPr>
            <w:tcW w:w="4503" w:type="dxa"/>
            <w:shd w:val="clear" w:color="auto" w:fill="auto"/>
          </w:tcPr>
          <w:p w:rsidR="00622F23" w:rsidRPr="00F957F1" w:rsidRDefault="00622F23" w:rsidP="00517147">
            <w:pPr>
              <w:spacing w:after="0"/>
              <w:jc w:val="both"/>
              <w:rPr>
                <w:rFonts w:ascii="Times New Roman" w:hAnsi="Times New Roman"/>
                <w:b/>
              </w:rPr>
            </w:pPr>
            <w:r w:rsidRPr="00F957F1">
              <w:rPr>
                <w:rFonts w:ascii="Times New Roman" w:hAnsi="Times New Roman"/>
                <w:b/>
              </w:rPr>
              <w:t>Yöntemin cinsel yaşamı etkileme durumu</w:t>
            </w:r>
          </w:p>
        </w:tc>
        <w:tc>
          <w:tcPr>
            <w:tcW w:w="1842" w:type="dxa"/>
            <w:shd w:val="clear" w:color="auto" w:fill="auto"/>
          </w:tcPr>
          <w:p w:rsidR="00622F23" w:rsidRPr="00F957F1" w:rsidRDefault="00622F23" w:rsidP="00517147">
            <w:pPr>
              <w:spacing w:after="0"/>
              <w:jc w:val="center"/>
              <w:rPr>
                <w:rFonts w:ascii="Times New Roman" w:hAnsi="Times New Roman"/>
              </w:rPr>
            </w:pPr>
          </w:p>
        </w:tc>
      </w:tr>
      <w:tr w:rsidR="00622F23" w:rsidRPr="00F957F1" w:rsidTr="00517147">
        <w:tc>
          <w:tcPr>
            <w:tcW w:w="4503" w:type="dxa"/>
            <w:tcBorders>
              <w:bottom w:val="single" w:sz="4" w:space="0" w:color="auto"/>
            </w:tcBorders>
            <w:shd w:val="clear" w:color="auto" w:fill="auto"/>
          </w:tcPr>
          <w:p w:rsidR="00622F23" w:rsidRPr="00F957F1" w:rsidRDefault="00622F23" w:rsidP="00517147">
            <w:pPr>
              <w:spacing w:after="0"/>
              <w:jc w:val="both"/>
              <w:rPr>
                <w:rFonts w:ascii="Times New Roman" w:hAnsi="Times New Roman"/>
              </w:rPr>
            </w:pPr>
            <w:r w:rsidRPr="00F957F1">
              <w:rPr>
                <w:rFonts w:ascii="Times New Roman" w:hAnsi="Times New Roman"/>
              </w:rPr>
              <w:t>Olumlu Etkiliyor</w:t>
            </w:r>
          </w:p>
          <w:p w:rsidR="00622F23" w:rsidRPr="00F957F1" w:rsidRDefault="00622F23" w:rsidP="00517147">
            <w:pPr>
              <w:spacing w:after="0"/>
              <w:jc w:val="both"/>
              <w:rPr>
                <w:rFonts w:ascii="Times New Roman" w:hAnsi="Times New Roman"/>
              </w:rPr>
            </w:pPr>
            <w:r w:rsidRPr="00F957F1">
              <w:rPr>
                <w:rFonts w:ascii="Times New Roman" w:hAnsi="Times New Roman"/>
              </w:rPr>
              <w:t>Olumsuz etkiliyor</w:t>
            </w:r>
          </w:p>
          <w:p w:rsidR="00622F23" w:rsidRPr="00F957F1" w:rsidRDefault="00622F23" w:rsidP="00517147">
            <w:pPr>
              <w:spacing w:after="0"/>
              <w:jc w:val="both"/>
              <w:rPr>
                <w:rFonts w:ascii="Times New Roman" w:hAnsi="Times New Roman"/>
              </w:rPr>
            </w:pPr>
            <w:r w:rsidRPr="00F957F1">
              <w:rPr>
                <w:rFonts w:ascii="Times New Roman" w:hAnsi="Times New Roman"/>
              </w:rPr>
              <w:t>Etkilemiyor</w:t>
            </w:r>
          </w:p>
        </w:tc>
        <w:tc>
          <w:tcPr>
            <w:tcW w:w="1842" w:type="dxa"/>
            <w:tcBorders>
              <w:bottom w:val="single" w:sz="4" w:space="0" w:color="auto"/>
            </w:tcBorders>
            <w:shd w:val="clear" w:color="auto" w:fill="auto"/>
          </w:tcPr>
          <w:p w:rsidR="00622F23" w:rsidRPr="00F957F1" w:rsidRDefault="00622F23" w:rsidP="00517147">
            <w:pPr>
              <w:spacing w:after="0"/>
              <w:jc w:val="center"/>
              <w:rPr>
                <w:rFonts w:ascii="Times New Roman" w:hAnsi="Times New Roman"/>
              </w:rPr>
            </w:pPr>
            <w:r w:rsidRPr="00F957F1">
              <w:rPr>
                <w:rFonts w:ascii="Times New Roman" w:hAnsi="Times New Roman"/>
              </w:rPr>
              <w:t>2     (0.8)</w:t>
            </w:r>
          </w:p>
          <w:p w:rsidR="00622F23" w:rsidRPr="00F957F1" w:rsidRDefault="00622F23" w:rsidP="00517147">
            <w:pPr>
              <w:spacing w:after="0"/>
              <w:jc w:val="center"/>
              <w:rPr>
                <w:rFonts w:ascii="Times New Roman" w:hAnsi="Times New Roman"/>
              </w:rPr>
            </w:pPr>
            <w:r w:rsidRPr="00F957F1">
              <w:rPr>
                <w:rFonts w:ascii="Times New Roman" w:hAnsi="Times New Roman"/>
              </w:rPr>
              <w:t>12   (4.7)</w:t>
            </w:r>
          </w:p>
          <w:p w:rsidR="00622F23" w:rsidRPr="00F957F1" w:rsidRDefault="00622F23" w:rsidP="00517147">
            <w:pPr>
              <w:spacing w:after="0"/>
              <w:jc w:val="center"/>
              <w:rPr>
                <w:rFonts w:ascii="Times New Roman" w:hAnsi="Times New Roman"/>
              </w:rPr>
            </w:pPr>
            <w:r w:rsidRPr="00F957F1">
              <w:rPr>
                <w:rFonts w:ascii="Times New Roman" w:hAnsi="Times New Roman"/>
              </w:rPr>
              <w:t>243  (94.6)</w:t>
            </w:r>
          </w:p>
        </w:tc>
      </w:tr>
    </w:tbl>
    <w:p w:rsidR="00622F23" w:rsidRDefault="00622F23" w:rsidP="00622F23">
      <w:pPr>
        <w:spacing w:line="240" w:lineRule="auto"/>
        <w:jc w:val="both"/>
        <w:rPr>
          <w:rFonts w:ascii="Times New Roman" w:hAnsi="Times New Roman"/>
          <w:sz w:val="24"/>
          <w:szCs w:val="24"/>
        </w:rPr>
      </w:pPr>
    </w:p>
    <w:p w:rsidR="00622F23" w:rsidRDefault="00622F23" w:rsidP="00622F23">
      <w:pPr>
        <w:spacing w:line="240" w:lineRule="auto"/>
        <w:jc w:val="both"/>
        <w:rPr>
          <w:rFonts w:ascii="Times New Roman" w:hAnsi="Times New Roman"/>
          <w:sz w:val="24"/>
          <w:szCs w:val="24"/>
        </w:rPr>
      </w:pPr>
    </w:p>
    <w:p w:rsidR="00622F23" w:rsidRDefault="00622F23" w:rsidP="00622F23">
      <w:pPr>
        <w:spacing w:line="240" w:lineRule="auto"/>
        <w:jc w:val="both"/>
        <w:rPr>
          <w:rFonts w:ascii="Times New Roman" w:hAnsi="Times New Roman"/>
          <w:sz w:val="24"/>
          <w:szCs w:val="24"/>
        </w:rPr>
        <w:sectPr w:rsidR="00622F23" w:rsidSect="00F957F1">
          <w:type w:val="continuous"/>
          <w:pgSz w:w="11906" w:h="16838"/>
          <w:pgMar w:top="1417" w:right="1417" w:bottom="1417" w:left="1417" w:header="708" w:footer="708" w:gutter="0"/>
          <w:cols w:space="708"/>
          <w:titlePg/>
          <w:docGrid w:linePitch="360"/>
        </w:sectPr>
      </w:pP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lastRenderedPageBreak/>
        <w:t xml:space="preserve">Tablo 1’de kadınların gebelikten koruyucu yöntem kullanma durumlarının dağılımı bulunmaktadır. Kadınların kullandıkları yöntemler arasında ilk üç sırada geri çekme (%30), RİA (%27) ve tüp ligasyonu (%16.7) yer almaktadır. Kadınların % </w:t>
      </w:r>
      <w:r>
        <w:rPr>
          <w:rFonts w:ascii="Times New Roman" w:hAnsi="Times New Roman"/>
          <w:sz w:val="24"/>
          <w:szCs w:val="24"/>
        </w:rPr>
        <w:lastRenderedPageBreak/>
        <w:t xml:space="preserve">48.2’sinin yöntemi kullanma süresi 12 aydan kısadır. Kadınların % 90.3’ü kullanılan yöntemle ilgili bir </w:t>
      </w:r>
      <w:proofErr w:type="gramStart"/>
      <w:r>
        <w:rPr>
          <w:rFonts w:ascii="Times New Roman" w:hAnsi="Times New Roman"/>
          <w:sz w:val="24"/>
          <w:szCs w:val="24"/>
        </w:rPr>
        <w:t>şikayeti</w:t>
      </w:r>
      <w:proofErr w:type="gramEnd"/>
      <w:r>
        <w:rPr>
          <w:rFonts w:ascii="Times New Roman" w:hAnsi="Times New Roman"/>
          <w:sz w:val="24"/>
          <w:szCs w:val="24"/>
        </w:rPr>
        <w:t xml:space="preserve"> olmadığını, %94.6’sı ise kullandıkları yöntemin cinsel yaşantısını herhangi bir biçimde etkilemediğini belirtmiştir.  </w:t>
      </w:r>
    </w:p>
    <w:p w:rsidR="00622F23" w:rsidRDefault="00622F23" w:rsidP="00622F23">
      <w:pPr>
        <w:spacing w:line="240" w:lineRule="auto"/>
        <w:jc w:val="both"/>
        <w:rPr>
          <w:rFonts w:ascii="Times New Roman" w:hAnsi="Times New Roman"/>
          <w:b/>
          <w:sz w:val="24"/>
          <w:szCs w:val="24"/>
        </w:rPr>
        <w:sectPr w:rsidR="00622F23" w:rsidSect="00F957F1">
          <w:type w:val="continuous"/>
          <w:pgSz w:w="11906" w:h="16838"/>
          <w:pgMar w:top="1417" w:right="1417" w:bottom="1417" w:left="1417" w:header="708" w:footer="708" w:gutter="0"/>
          <w:cols w:num="2" w:space="708"/>
          <w:titlePg/>
          <w:docGrid w:linePitch="360"/>
        </w:sectPr>
      </w:pPr>
    </w:p>
    <w:p w:rsidR="00622F23" w:rsidRDefault="00622F23" w:rsidP="00622F23">
      <w:pPr>
        <w:rPr>
          <w:rFonts w:ascii="Times New Roman" w:hAnsi="Times New Roman"/>
          <w:b/>
          <w:sz w:val="24"/>
          <w:szCs w:val="24"/>
        </w:rPr>
      </w:pPr>
    </w:p>
    <w:p w:rsidR="00622F23" w:rsidRPr="00724965" w:rsidRDefault="00622F23" w:rsidP="00622F23">
      <w:pPr>
        <w:rPr>
          <w:rFonts w:ascii="Times New Roman" w:hAnsi="Times New Roman"/>
          <w:b/>
          <w:sz w:val="24"/>
          <w:szCs w:val="24"/>
        </w:rPr>
      </w:pPr>
      <w:r w:rsidRPr="00724965">
        <w:rPr>
          <w:rFonts w:ascii="Times New Roman" w:hAnsi="Times New Roman"/>
          <w:b/>
          <w:sz w:val="24"/>
          <w:szCs w:val="24"/>
        </w:rPr>
        <w:lastRenderedPageBreak/>
        <w:t xml:space="preserve">Tablo 2. </w:t>
      </w:r>
      <w:r w:rsidRPr="00D90902">
        <w:rPr>
          <w:rFonts w:ascii="Times New Roman" w:hAnsi="Times New Roman"/>
          <w:sz w:val="24"/>
          <w:szCs w:val="24"/>
        </w:rPr>
        <w:t>Kadınların ACYÖ* toplam ve alt boyut puan ortalaması</w:t>
      </w:r>
    </w:p>
    <w:tbl>
      <w:tblPr>
        <w:tblW w:w="0" w:type="auto"/>
        <w:tblLook w:val="04A0" w:firstRow="1" w:lastRow="0" w:firstColumn="1" w:lastColumn="0" w:noHBand="0" w:noVBand="1"/>
      </w:tblPr>
      <w:tblGrid>
        <w:gridCol w:w="3070"/>
        <w:gridCol w:w="2268"/>
      </w:tblGrid>
      <w:tr w:rsidR="00622F23" w:rsidRPr="00636E3B" w:rsidTr="00517147">
        <w:tc>
          <w:tcPr>
            <w:tcW w:w="3070" w:type="dxa"/>
            <w:tcBorders>
              <w:top w:val="single" w:sz="4" w:space="0" w:color="auto"/>
              <w:bottom w:val="single" w:sz="4" w:space="0" w:color="auto"/>
            </w:tcBorders>
          </w:tcPr>
          <w:p w:rsidR="00622F23" w:rsidRPr="00772E0D" w:rsidRDefault="00622F23" w:rsidP="00517147">
            <w:pPr>
              <w:spacing w:after="0"/>
              <w:rPr>
                <w:rFonts w:ascii="Times New Roman" w:hAnsi="Times New Roman"/>
                <w:b/>
              </w:rPr>
            </w:pPr>
            <w:r>
              <w:rPr>
                <w:rFonts w:ascii="Times New Roman" w:hAnsi="Times New Roman"/>
                <w:b/>
              </w:rPr>
              <w:t>ACYÖ Al boyutu</w:t>
            </w:r>
          </w:p>
        </w:tc>
        <w:tc>
          <w:tcPr>
            <w:tcW w:w="2268" w:type="dxa"/>
            <w:tcBorders>
              <w:top w:val="single" w:sz="4" w:space="0" w:color="auto"/>
              <w:bottom w:val="single" w:sz="4" w:space="0" w:color="auto"/>
            </w:tcBorders>
            <w:hideMark/>
          </w:tcPr>
          <w:p w:rsidR="00622F23" w:rsidRPr="00772E0D" w:rsidRDefault="001F5B90" w:rsidP="00517147">
            <w:pPr>
              <w:tabs>
                <w:tab w:val="left" w:pos="1380"/>
              </w:tabs>
              <w:spacing w:after="0" w:line="240" w:lineRule="auto"/>
              <w:jc w:val="center"/>
              <w:rPr>
                <w:rFonts w:ascii="Times New Roman" w:hAnsi="Times New Roman"/>
                <w:b/>
                <w:sz w:val="24"/>
                <w:szCs w:val="24"/>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72E0D">
              <w:rPr>
                <w:rFonts w:ascii="Times New Roman" w:hAnsi="Times New Roman"/>
                <w:b/>
                <w:sz w:val="24"/>
                <w:szCs w:val="24"/>
              </w:rPr>
              <w:t>±SS</w:t>
            </w:r>
          </w:p>
        </w:tc>
      </w:tr>
      <w:tr w:rsidR="00622F23" w:rsidRPr="00636E3B" w:rsidTr="00517147">
        <w:tc>
          <w:tcPr>
            <w:tcW w:w="3070" w:type="dxa"/>
            <w:tcBorders>
              <w:top w:val="single" w:sz="4" w:space="0" w:color="auto"/>
            </w:tcBorders>
            <w:hideMark/>
          </w:tcPr>
          <w:p w:rsidR="00622F23" w:rsidRPr="00636E3B" w:rsidRDefault="00622F23" w:rsidP="00517147">
            <w:pPr>
              <w:spacing w:after="0"/>
              <w:rPr>
                <w:rFonts w:ascii="Times New Roman" w:hAnsi="Times New Roman"/>
              </w:rPr>
            </w:pPr>
            <w:r w:rsidRPr="00636E3B">
              <w:rPr>
                <w:rFonts w:ascii="Times New Roman" w:hAnsi="Times New Roman"/>
              </w:rPr>
              <w:t>İstek *</w:t>
            </w:r>
          </w:p>
        </w:tc>
        <w:tc>
          <w:tcPr>
            <w:tcW w:w="2268" w:type="dxa"/>
            <w:tcBorders>
              <w:top w:val="single" w:sz="4" w:space="0" w:color="auto"/>
            </w:tcBorders>
            <w:hideMark/>
          </w:tcPr>
          <w:p w:rsidR="00622F23" w:rsidRPr="00636E3B" w:rsidRDefault="00622F23" w:rsidP="00517147">
            <w:pPr>
              <w:spacing w:after="0"/>
              <w:jc w:val="center"/>
              <w:rPr>
                <w:rFonts w:ascii="Times New Roman" w:hAnsi="Times New Roman"/>
              </w:rPr>
            </w:pPr>
            <w:r w:rsidRPr="00636E3B">
              <w:rPr>
                <w:rFonts w:ascii="Times New Roman" w:hAnsi="Times New Roman"/>
              </w:rPr>
              <w:t>3.03 ± 1.13</w:t>
            </w:r>
          </w:p>
        </w:tc>
      </w:tr>
      <w:tr w:rsidR="00622F23" w:rsidRPr="00636E3B" w:rsidTr="00517147">
        <w:tc>
          <w:tcPr>
            <w:tcW w:w="3070" w:type="dxa"/>
            <w:hideMark/>
          </w:tcPr>
          <w:p w:rsidR="00622F23" w:rsidRPr="00636E3B" w:rsidRDefault="00622F23" w:rsidP="00517147">
            <w:pPr>
              <w:spacing w:after="0"/>
              <w:rPr>
                <w:rFonts w:ascii="Times New Roman" w:hAnsi="Times New Roman"/>
              </w:rPr>
            </w:pPr>
            <w:r w:rsidRPr="00636E3B">
              <w:rPr>
                <w:rFonts w:ascii="Times New Roman" w:hAnsi="Times New Roman"/>
              </w:rPr>
              <w:t>Uyarılma</w:t>
            </w:r>
          </w:p>
        </w:tc>
        <w:tc>
          <w:tcPr>
            <w:tcW w:w="2268" w:type="dxa"/>
            <w:hideMark/>
          </w:tcPr>
          <w:p w:rsidR="00622F23" w:rsidRPr="00636E3B" w:rsidRDefault="00622F23" w:rsidP="00517147">
            <w:pPr>
              <w:spacing w:after="0"/>
              <w:jc w:val="center"/>
              <w:rPr>
                <w:rFonts w:ascii="Times New Roman" w:hAnsi="Times New Roman"/>
              </w:rPr>
            </w:pPr>
            <w:r w:rsidRPr="00636E3B">
              <w:rPr>
                <w:rFonts w:ascii="Times New Roman" w:hAnsi="Times New Roman"/>
              </w:rPr>
              <w:t>2.99 ± 1.09</w:t>
            </w:r>
          </w:p>
        </w:tc>
      </w:tr>
      <w:tr w:rsidR="00622F23" w:rsidRPr="00636E3B" w:rsidTr="00517147">
        <w:tc>
          <w:tcPr>
            <w:tcW w:w="3070" w:type="dxa"/>
            <w:hideMark/>
          </w:tcPr>
          <w:p w:rsidR="00622F23" w:rsidRPr="00636E3B" w:rsidRDefault="00622F23" w:rsidP="00517147">
            <w:pPr>
              <w:spacing w:after="0"/>
              <w:rPr>
                <w:rFonts w:ascii="Times New Roman" w:hAnsi="Times New Roman"/>
              </w:rPr>
            </w:pPr>
            <w:r w:rsidRPr="00636E3B">
              <w:rPr>
                <w:rFonts w:ascii="Times New Roman" w:hAnsi="Times New Roman"/>
              </w:rPr>
              <w:t>Lubrikasyon*</w:t>
            </w:r>
          </w:p>
        </w:tc>
        <w:tc>
          <w:tcPr>
            <w:tcW w:w="2268" w:type="dxa"/>
            <w:hideMark/>
          </w:tcPr>
          <w:p w:rsidR="00622F23" w:rsidRPr="00636E3B" w:rsidRDefault="00622F23" w:rsidP="00517147">
            <w:pPr>
              <w:spacing w:after="0"/>
              <w:jc w:val="center"/>
              <w:rPr>
                <w:rFonts w:ascii="Times New Roman" w:hAnsi="Times New Roman"/>
              </w:rPr>
            </w:pPr>
            <w:r w:rsidRPr="00636E3B">
              <w:rPr>
                <w:rFonts w:ascii="Times New Roman" w:hAnsi="Times New Roman"/>
              </w:rPr>
              <w:t>3.01 ± 1.08</w:t>
            </w:r>
          </w:p>
        </w:tc>
      </w:tr>
      <w:tr w:rsidR="00622F23" w:rsidRPr="00636E3B" w:rsidTr="00517147">
        <w:tc>
          <w:tcPr>
            <w:tcW w:w="3070" w:type="dxa"/>
            <w:hideMark/>
          </w:tcPr>
          <w:p w:rsidR="00622F23" w:rsidRPr="00636E3B" w:rsidRDefault="00622F23" w:rsidP="00517147">
            <w:pPr>
              <w:spacing w:after="0"/>
              <w:rPr>
                <w:rFonts w:ascii="Times New Roman" w:hAnsi="Times New Roman"/>
              </w:rPr>
            </w:pPr>
            <w:r w:rsidRPr="00636E3B">
              <w:rPr>
                <w:rFonts w:ascii="Times New Roman" w:hAnsi="Times New Roman"/>
              </w:rPr>
              <w:t>Orgazm*</w:t>
            </w:r>
          </w:p>
        </w:tc>
        <w:tc>
          <w:tcPr>
            <w:tcW w:w="2268" w:type="dxa"/>
            <w:hideMark/>
          </w:tcPr>
          <w:p w:rsidR="00622F23" w:rsidRPr="00636E3B" w:rsidRDefault="00622F23" w:rsidP="00517147">
            <w:pPr>
              <w:spacing w:after="0"/>
              <w:jc w:val="center"/>
              <w:rPr>
                <w:rFonts w:ascii="Times New Roman" w:hAnsi="Times New Roman"/>
              </w:rPr>
            </w:pPr>
            <w:r w:rsidRPr="00636E3B">
              <w:rPr>
                <w:rFonts w:ascii="Times New Roman" w:hAnsi="Times New Roman"/>
              </w:rPr>
              <w:t>3.04 ± 1.08</w:t>
            </w:r>
          </w:p>
        </w:tc>
      </w:tr>
      <w:tr w:rsidR="00622F23" w:rsidRPr="00636E3B" w:rsidTr="00517147">
        <w:tc>
          <w:tcPr>
            <w:tcW w:w="3070" w:type="dxa"/>
            <w:hideMark/>
          </w:tcPr>
          <w:p w:rsidR="00622F23" w:rsidRPr="00636E3B" w:rsidRDefault="00622F23" w:rsidP="00517147">
            <w:pPr>
              <w:spacing w:after="0"/>
              <w:rPr>
                <w:rFonts w:ascii="Times New Roman" w:hAnsi="Times New Roman"/>
              </w:rPr>
            </w:pPr>
            <w:r w:rsidRPr="00636E3B">
              <w:rPr>
                <w:rFonts w:ascii="Times New Roman" w:hAnsi="Times New Roman"/>
              </w:rPr>
              <w:t>Doyum*</w:t>
            </w:r>
          </w:p>
        </w:tc>
        <w:tc>
          <w:tcPr>
            <w:tcW w:w="2268" w:type="dxa"/>
            <w:hideMark/>
          </w:tcPr>
          <w:p w:rsidR="00622F23" w:rsidRPr="00636E3B" w:rsidRDefault="00622F23" w:rsidP="00517147">
            <w:pPr>
              <w:spacing w:after="0"/>
              <w:jc w:val="center"/>
              <w:rPr>
                <w:rFonts w:ascii="Times New Roman" w:hAnsi="Times New Roman"/>
              </w:rPr>
            </w:pPr>
            <w:r w:rsidRPr="00636E3B">
              <w:rPr>
                <w:rFonts w:ascii="Times New Roman" w:hAnsi="Times New Roman"/>
              </w:rPr>
              <w:t>3.53 ± 1.21</w:t>
            </w:r>
          </w:p>
        </w:tc>
      </w:tr>
      <w:tr w:rsidR="00622F23" w:rsidRPr="00636E3B" w:rsidTr="00517147">
        <w:tc>
          <w:tcPr>
            <w:tcW w:w="3070" w:type="dxa"/>
            <w:tcBorders>
              <w:bottom w:val="single" w:sz="4" w:space="0" w:color="auto"/>
            </w:tcBorders>
            <w:hideMark/>
          </w:tcPr>
          <w:p w:rsidR="00622F23" w:rsidRPr="00636E3B" w:rsidRDefault="00622F23" w:rsidP="00517147">
            <w:pPr>
              <w:spacing w:after="0"/>
              <w:rPr>
                <w:rFonts w:ascii="Times New Roman" w:hAnsi="Times New Roman"/>
              </w:rPr>
            </w:pPr>
            <w:r w:rsidRPr="00636E3B">
              <w:rPr>
                <w:rFonts w:ascii="Times New Roman" w:hAnsi="Times New Roman"/>
              </w:rPr>
              <w:t>Toplam ACYÖ puanı**</w:t>
            </w:r>
          </w:p>
        </w:tc>
        <w:tc>
          <w:tcPr>
            <w:tcW w:w="2268" w:type="dxa"/>
            <w:tcBorders>
              <w:bottom w:val="single" w:sz="4" w:space="0" w:color="auto"/>
            </w:tcBorders>
            <w:hideMark/>
          </w:tcPr>
          <w:p w:rsidR="00622F23" w:rsidRPr="00636E3B" w:rsidRDefault="00622F23" w:rsidP="00517147">
            <w:pPr>
              <w:spacing w:after="0"/>
              <w:jc w:val="center"/>
              <w:rPr>
                <w:rFonts w:ascii="Times New Roman" w:hAnsi="Times New Roman"/>
              </w:rPr>
            </w:pPr>
            <w:r w:rsidRPr="00636E3B">
              <w:rPr>
                <w:rFonts w:ascii="Times New Roman" w:hAnsi="Times New Roman"/>
              </w:rPr>
              <w:t>15.62 ± 5.18</w:t>
            </w:r>
          </w:p>
        </w:tc>
      </w:tr>
      <w:tr w:rsidR="00622F23" w:rsidRPr="00636E3B" w:rsidTr="00517147">
        <w:tc>
          <w:tcPr>
            <w:tcW w:w="5338" w:type="dxa"/>
            <w:gridSpan w:val="2"/>
            <w:tcBorders>
              <w:top w:val="single" w:sz="4" w:space="0" w:color="auto"/>
              <w:bottom w:val="single" w:sz="4" w:space="0" w:color="auto"/>
            </w:tcBorders>
            <w:hideMark/>
          </w:tcPr>
          <w:p w:rsidR="00622F23" w:rsidRPr="00636E3B" w:rsidRDefault="00622F23" w:rsidP="00517147">
            <w:pPr>
              <w:spacing w:after="0"/>
              <w:jc w:val="center"/>
              <w:rPr>
                <w:rFonts w:ascii="Times New Roman" w:hAnsi="Times New Roman"/>
              </w:rPr>
            </w:pPr>
            <w:r w:rsidRPr="00636E3B">
              <w:rPr>
                <w:rFonts w:ascii="Times New Roman" w:hAnsi="Times New Roman"/>
              </w:rPr>
              <w:t>ACYÖ toplam puanı  ≥19 ( 23 %, cinsel fonksiyon bozukluğu)</w:t>
            </w:r>
          </w:p>
        </w:tc>
      </w:tr>
    </w:tbl>
    <w:p w:rsidR="00622F23" w:rsidRDefault="00622F23" w:rsidP="00622F23">
      <w:pPr>
        <w:spacing w:after="0" w:line="240" w:lineRule="auto"/>
        <w:rPr>
          <w:rFonts w:ascii="Times New Roman" w:hAnsi="Times New Roman"/>
          <w:sz w:val="16"/>
          <w:szCs w:val="16"/>
        </w:rPr>
      </w:pPr>
      <w:r w:rsidRPr="00636E3B">
        <w:rPr>
          <w:rFonts w:ascii="Times New Roman" w:hAnsi="Times New Roman"/>
          <w:sz w:val="16"/>
          <w:szCs w:val="16"/>
        </w:rPr>
        <w:t xml:space="preserve">*En yüksek puan 6 olup, puanların yüksekliği cinsel fonksiyon bozukluğuna işaret etmektedir </w:t>
      </w:r>
    </w:p>
    <w:p w:rsidR="00622F23" w:rsidRDefault="00622F23" w:rsidP="00622F23">
      <w:pPr>
        <w:spacing w:after="0" w:line="240" w:lineRule="auto"/>
        <w:rPr>
          <w:rFonts w:ascii="Times New Roman" w:hAnsi="Times New Roman"/>
          <w:sz w:val="16"/>
          <w:szCs w:val="16"/>
        </w:rPr>
      </w:pPr>
      <w:r>
        <w:rPr>
          <w:rFonts w:ascii="Times New Roman" w:hAnsi="Times New Roman"/>
          <w:sz w:val="16"/>
          <w:szCs w:val="16"/>
        </w:rPr>
        <w:t>** En yüksek puan 30 olup, puanların yüksekliği cinsel fonksiyon bozukluğuna işaret etmektedir.</w:t>
      </w:r>
    </w:p>
    <w:p w:rsidR="00622F23" w:rsidRPr="00636E3B" w:rsidRDefault="00622F23" w:rsidP="00622F23">
      <w:pPr>
        <w:spacing w:after="0" w:line="240" w:lineRule="auto"/>
        <w:rPr>
          <w:rFonts w:ascii="Times New Roman" w:hAnsi="Times New Roman"/>
          <w:sz w:val="16"/>
          <w:szCs w:val="16"/>
        </w:rPr>
      </w:pPr>
    </w:p>
    <w:p w:rsidR="00622F23" w:rsidRDefault="00622F23" w:rsidP="00622F23">
      <w:pPr>
        <w:spacing w:line="240" w:lineRule="auto"/>
        <w:jc w:val="both"/>
        <w:rPr>
          <w:rFonts w:ascii="Times New Roman" w:hAnsi="Times New Roman"/>
          <w:sz w:val="24"/>
          <w:szCs w:val="24"/>
        </w:rPr>
        <w:sectPr w:rsidR="00622F23" w:rsidSect="00F957F1">
          <w:headerReference w:type="first" r:id="rId18"/>
          <w:type w:val="continuous"/>
          <w:pgSz w:w="11906" w:h="16838"/>
          <w:pgMar w:top="1417" w:right="1417" w:bottom="1417" w:left="1417" w:header="708" w:footer="708" w:gutter="0"/>
          <w:cols w:space="708"/>
          <w:titlePg/>
          <w:docGrid w:linePitch="360"/>
        </w:sectPr>
      </w:pP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lastRenderedPageBreak/>
        <w:t xml:space="preserve">Tablo 2’de kadınların ACYÖ toplam ve alt boyut puan ortalaması verilmiştir. Buna göre kadınların ACYÖ toplam puanı 15.62±5.18 olup, kesme noktası dikkate alındığında %23’ünün cinsel fonksiyon bozukluğu olduğu belirlenmiştir. </w:t>
      </w:r>
      <w:r>
        <w:rPr>
          <w:rFonts w:ascii="Times New Roman" w:hAnsi="Times New Roman"/>
          <w:sz w:val="24"/>
          <w:szCs w:val="24"/>
        </w:rPr>
        <w:lastRenderedPageBreak/>
        <w:t xml:space="preserve">Kadınların ACYÖ alt boyut puan ortalamaları incelendiğinde; istek puan ortalamasının 3.03 ± 1.13, uyarılma 2.99 ±1.09, lubrikasyon 3.01±1.08, orgazm 3.04±1.08 ve doyum puan ortalamasının 3.53±1.21olduğu belirlenmiştir. </w:t>
      </w:r>
    </w:p>
    <w:p w:rsidR="00622F23" w:rsidRDefault="00622F23" w:rsidP="00622F23">
      <w:pPr>
        <w:rPr>
          <w:rFonts w:ascii="Times New Roman" w:hAnsi="Times New Roman"/>
          <w:b/>
          <w:sz w:val="24"/>
          <w:szCs w:val="24"/>
        </w:rPr>
        <w:sectPr w:rsidR="00622F23" w:rsidSect="00D90902">
          <w:type w:val="continuous"/>
          <w:pgSz w:w="11906" w:h="16838"/>
          <w:pgMar w:top="1417" w:right="1417" w:bottom="1417" w:left="1417" w:header="708" w:footer="708" w:gutter="0"/>
          <w:cols w:num="2" w:space="708"/>
          <w:titlePg/>
          <w:docGrid w:linePitch="360"/>
        </w:sectPr>
      </w:pPr>
    </w:p>
    <w:p w:rsidR="00622F23" w:rsidRDefault="00622F23" w:rsidP="00622F23">
      <w:pPr>
        <w:rPr>
          <w:rFonts w:ascii="Times New Roman" w:hAnsi="Times New Roman"/>
          <w:b/>
          <w:sz w:val="24"/>
          <w:szCs w:val="24"/>
        </w:rPr>
      </w:pPr>
    </w:p>
    <w:p w:rsidR="00622F23" w:rsidRDefault="00622F23" w:rsidP="00622F23">
      <w:pPr>
        <w:rPr>
          <w:rFonts w:ascii="Times New Roman" w:hAnsi="Times New Roman"/>
          <w:b/>
          <w:sz w:val="24"/>
          <w:szCs w:val="24"/>
        </w:rPr>
      </w:pPr>
      <w:r w:rsidRPr="00724965">
        <w:rPr>
          <w:rFonts w:ascii="Times New Roman" w:hAnsi="Times New Roman"/>
          <w:b/>
          <w:sz w:val="24"/>
          <w:szCs w:val="24"/>
        </w:rPr>
        <w:t>Tablo 3</w:t>
      </w:r>
      <w:r w:rsidRPr="00724965">
        <w:rPr>
          <w:rFonts w:ascii="Times New Roman" w:hAnsi="Times New Roman"/>
          <w:sz w:val="24"/>
          <w:szCs w:val="24"/>
        </w:rPr>
        <w:t xml:space="preserve">. </w:t>
      </w:r>
      <w:r w:rsidRPr="00D90902">
        <w:rPr>
          <w:rFonts w:ascii="Times New Roman" w:hAnsi="Times New Roman"/>
          <w:sz w:val="24"/>
          <w:szCs w:val="24"/>
        </w:rPr>
        <w:t>Kadınların kullandıkları kontraseptif yöntem türüne göre ACYÖ alt boyut ve toplam puan ortalamaları</w:t>
      </w:r>
      <w:r w:rsidRPr="00724965">
        <w:rPr>
          <w:rFonts w:ascii="Times New Roman" w:hAnsi="Times New Roman"/>
          <w:b/>
          <w:sz w:val="24"/>
          <w:szCs w:val="24"/>
        </w:rPr>
        <w:t xml:space="preserve"> </w:t>
      </w:r>
    </w:p>
    <w:tbl>
      <w:tblPr>
        <w:tblW w:w="0" w:type="auto"/>
        <w:tblLook w:val="04A0" w:firstRow="1" w:lastRow="0" w:firstColumn="1" w:lastColumn="0" w:noHBand="0" w:noVBand="1"/>
      </w:tblPr>
      <w:tblGrid>
        <w:gridCol w:w="1436"/>
        <w:gridCol w:w="1172"/>
        <w:gridCol w:w="1307"/>
        <w:gridCol w:w="1317"/>
        <w:gridCol w:w="1272"/>
        <w:gridCol w:w="1307"/>
        <w:gridCol w:w="1261"/>
      </w:tblGrid>
      <w:tr w:rsidR="00622F23" w:rsidRPr="00796039" w:rsidTr="00517147">
        <w:tc>
          <w:tcPr>
            <w:tcW w:w="1509" w:type="dxa"/>
            <w:tcBorders>
              <w:top w:val="single" w:sz="4" w:space="0" w:color="auto"/>
            </w:tcBorders>
            <w:shd w:val="clear" w:color="auto" w:fill="auto"/>
          </w:tcPr>
          <w:p w:rsidR="00622F23" w:rsidRPr="00796039" w:rsidRDefault="00622F23" w:rsidP="00517147">
            <w:pPr>
              <w:rPr>
                <w:rFonts w:ascii="Times New Roman" w:hAnsi="Times New Roman"/>
                <w:b/>
                <w:sz w:val="24"/>
                <w:szCs w:val="24"/>
              </w:rPr>
            </w:pPr>
          </w:p>
        </w:tc>
        <w:tc>
          <w:tcPr>
            <w:tcW w:w="7779" w:type="dxa"/>
            <w:gridSpan w:val="6"/>
            <w:tcBorders>
              <w:top w:val="single" w:sz="4" w:space="0" w:color="auto"/>
            </w:tcBorders>
            <w:shd w:val="clear" w:color="auto" w:fill="auto"/>
          </w:tcPr>
          <w:p w:rsidR="00622F23" w:rsidRPr="00796039" w:rsidRDefault="00622F23" w:rsidP="00517147">
            <w:pPr>
              <w:spacing w:after="0"/>
              <w:jc w:val="center"/>
              <w:rPr>
                <w:rFonts w:ascii="Times New Roman" w:hAnsi="Times New Roman"/>
                <w:b/>
                <w:sz w:val="24"/>
                <w:szCs w:val="24"/>
              </w:rPr>
            </w:pPr>
            <w:r w:rsidRPr="00796039">
              <w:rPr>
                <w:rFonts w:ascii="Times New Roman" w:hAnsi="Times New Roman"/>
                <w:b/>
                <w:sz w:val="20"/>
                <w:szCs w:val="20"/>
              </w:rPr>
              <w:t>ACYÖ alt boyut ve toplam puan</w:t>
            </w:r>
          </w:p>
        </w:tc>
      </w:tr>
      <w:tr w:rsidR="00622F23" w:rsidRPr="00796039" w:rsidTr="00517147">
        <w:tc>
          <w:tcPr>
            <w:tcW w:w="1509" w:type="dxa"/>
            <w:shd w:val="clear" w:color="auto" w:fill="auto"/>
          </w:tcPr>
          <w:p w:rsidR="00622F23" w:rsidRPr="00796039" w:rsidRDefault="00622F23" w:rsidP="00517147">
            <w:pPr>
              <w:rPr>
                <w:rFonts w:ascii="Times New Roman" w:hAnsi="Times New Roman"/>
                <w:b/>
                <w:sz w:val="24"/>
                <w:szCs w:val="24"/>
              </w:rPr>
            </w:pPr>
          </w:p>
        </w:tc>
        <w:tc>
          <w:tcPr>
            <w:tcW w:w="1172" w:type="dxa"/>
            <w:shd w:val="clear" w:color="auto" w:fill="auto"/>
          </w:tcPr>
          <w:p w:rsidR="00622F23" w:rsidRPr="00796039" w:rsidRDefault="00622F23" w:rsidP="00517147">
            <w:pPr>
              <w:rPr>
                <w:rFonts w:ascii="Times New Roman" w:hAnsi="Times New Roman"/>
                <w:b/>
                <w:sz w:val="24"/>
                <w:szCs w:val="24"/>
              </w:rPr>
            </w:pPr>
            <w:r w:rsidRPr="00796039">
              <w:rPr>
                <w:rFonts w:ascii="Times New Roman" w:hAnsi="Times New Roman"/>
                <w:b/>
                <w:sz w:val="20"/>
                <w:szCs w:val="20"/>
                <w:lang w:eastAsia="tr-TR"/>
              </w:rPr>
              <w:t>İstek</w:t>
            </w:r>
          </w:p>
        </w:tc>
        <w:tc>
          <w:tcPr>
            <w:tcW w:w="1337" w:type="dxa"/>
            <w:shd w:val="clear" w:color="auto" w:fill="auto"/>
          </w:tcPr>
          <w:p w:rsidR="00622F23" w:rsidRPr="00796039" w:rsidRDefault="00622F23" w:rsidP="00517147">
            <w:pPr>
              <w:rPr>
                <w:rFonts w:ascii="Times New Roman" w:hAnsi="Times New Roman"/>
                <w:b/>
                <w:sz w:val="24"/>
                <w:szCs w:val="24"/>
              </w:rPr>
            </w:pPr>
            <w:r w:rsidRPr="00796039">
              <w:rPr>
                <w:rFonts w:ascii="Times New Roman" w:hAnsi="Times New Roman"/>
                <w:b/>
                <w:sz w:val="20"/>
                <w:szCs w:val="20"/>
                <w:lang w:eastAsia="tr-TR"/>
              </w:rPr>
              <w:t>Uyarılma</w:t>
            </w:r>
          </w:p>
        </w:tc>
        <w:tc>
          <w:tcPr>
            <w:tcW w:w="1317" w:type="dxa"/>
            <w:shd w:val="clear" w:color="auto" w:fill="auto"/>
          </w:tcPr>
          <w:p w:rsidR="00622F23" w:rsidRPr="00796039" w:rsidRDefault="00622F23" w:rsidP="00517147">
            <w:pPr>
              <w:spacing w:after="0" w:line="276" w:lineRule="auto"/>
              <w:jc w:val="center"/>
              <w:rPr>
                <w:rFonts w:ascii="Times New Roman" w:hAnsi="Times New Roman"/>
                <w:b/>
                <w:sz w:val="20"/>
                <w:szCs w:val="20"/>
                <w:lang w:eastAsia="tr-TR"/>
              </w:rPr>
            </w:pPr>
            <w:r w:rsidRPr="00796039">
              <w:rPr>
                <w:rFonts w:ascii="Times New Roman" w:hAnsi="Times New Roman"/>
                <w:b/>
                <w:sz w:val="20"/>
                <w:szCs w:val="20"/>
                <w:lang w:eastAsia="tr-TR"/>
              </w:rPr>
              <w:t>Lubrikasyon</w:t>
            </w:r>
          </w:p>
        </w:tc>
        <w:tc>
          <w:tcPr>
            <w:tcW w:w="1272" w:type="dxa"/>
            <w:shd w:val="clear" w:color="auto" w:fill="auto"/>
          </w:tcPr>
          <w:p w:rsidR="00622F23" w:rsidRPr="00796039" w:rsidRDefault="00622F23" w:rsidP="00517147">
            <w:pPr>
              <w:spacing w:after="0" w:line="276" w:lineRule="auto"/>
              <w:jc w:val="center"/>
              <w:rPr>
                <w:rFonts w:ascii="Times New Roman" w:hAnsi="Times New Roman"/>
                <w:b/>
                <w:sz w:val="20"/>
                <w:szCs w:val="20"/>
                <w:lang w:eastAsia="tr-TR"/>
              </w:rPr>
            </w:pPr>
            <w:r w:rsidRPr="00796039">
              <w:rPr>
                <w:rFonts w:ascii="Times New Roman" w:hAnsi="Times New Roman"/>
                <w:b/>
                <w:sz w:val="20"/>
                <w:szCs w:val="20"/>
                <w:lang w:eastAsia="tr-TR"/>
              </w:rPr>
              <w:t>Orgazm</w:t>
            </w:r>
          </w:p>
        </w:tc>
        <w:tc>
          <w:tcPr>
            <w:tcW w:w="1337" w:type="dxa"/>
            <w:shd w:val="clear" w:color="auto" w:fill="auto"/>
          </w:tcPr>
          <w:p w:rsidR="00622F23" w:rsidRPr="00796039" w:rsidRDefault="00622F23" w:rsidP="00517147">
            <w:pPr>
              <w:spacing w:after="0" w:line="276" w:lineRule="auto"/>
              <w:jc w:val="center"/>
              <w:rPr>
                <w:rFonts w:ascii="Times New Roman" w:hAnsi="Times New Roman"/>
                <w:b/>
                <w:sz w:val="20"/>
                <w:szCs w:val="20"/>
                <w:lang w:eastAsia="tr-TR"/>
              </w:rPr>
            </w:pPr>
            <w:r w:rsidRPr="00796039">
              <w:rPr>
                <w:rFonts w:ascii="Times New Roman" w:hAnsi="Times New Roman"/>
                <w:b/>
                <w:sz w:val="20"/>
                <w:szCs w:val="20"/>
                <w:lang w:eastAsia="tr-TR"/>
              </w:rPr>
              <w:t>Doyum</w:t>
            </w:r>
          </w:p>
        </w:tc>
        <w:tc>
          <w:tcPr>
            <w:tcW w:w="1344" w:type="dxa"/>
            <w:shd w:val="clear" w:color="auto" w:fill="auto"/>
          </w:tcPr>
          <w:p w:rsidR="00622F23" w:rsidRPr="00796039" w:rsidRDefault="00622F23" w:rsidP="00517147">
            <w:pPr>
              <w:spacing w:after="0" w:line="276" w:lineRule="auto"/>
              <w:jc w:val="center"/>
              <w:rPr>
                <w:rFonts w:ascii="Times New Roman" w:hAnsi="Times New Roman"/>
                <w:b/>
                <w:sz w:val="20"/>
                <w:szCs w:val="20"/>
                <w:lang w:eastAsia="tr-TR"/>
              </w:rPr>
            </w:pPr>
            <w:r w:rsidRPr="00796039">
              <w:rPr>
                <w:rFonts w:ascii="Times New Roman" w:hAnsi="Times New Roman"/>
                <w:b/>
                <w:sz w:val="20"/>
                <w:szCs w:val="20"/>
                <w:lang w:eastAsia="tr-TR"/>
              </w:rPr>
              <w:t>Toplam ACYÖ</w:t>
            </w:r>
          </w:p>
        </w:tc>
      </w:tr>
      <w:tr w:rsidR="00622F23" w:rsidRPr="00796039" w:rsidTr="00517147">
        <w:tc>
          <w:tcPr>
            <w:tcW w:w="1509" w:type="dxa"/>
            <w:tcBorders>
              <w:bottom w:val="single" w:sz="4" w:space="0" w:color="auto"/>
            </w:tcBorders>
            <w:shd w:val="clear" w:color="auto" w:fill="auto"/>
          </w:tcPr>
          <w:p w:rsidR="00622F23" w:rsidRPr="00796039" w:rsidRDefault="00622F23" w:rsidP="00517147">
            <w:pPr>
              <w:spacing w:after="0"/>
              <w:rPr>
                <w:rFonts w:ascii="Times New Roman" w:hAnsi="Times New Roman"/>
                <w:b/>
                <w:sz w:val="24"/>
                <w:szCs w:val="24"/>
              </w:rPr>
            </w:pPr>
            <w:r w:rsidRPr="00796039">
              <w:rPr>
                <w:rFonts w:ascii="Times New Roman" w:hAnsi="Times New Roman"/>
                <w:b/>
                <w:sz w:val="20"/>
                <w:szCs w:val="20"/>
                <w:lang w:eastAsia="tr-TR"/>
              </w:rPr>
              <w:t>Yöntem Türü</w:t>
            </w:r>
          </w:p>
        </w:tc>
        <w:tc>
          <w:tcPr>
            <w:tcW w:w="1172"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c>
          <w:tcPr>
            <w:tcW w:w="1337"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c>
          <w:tcPr>
            <w:tcW w:w="1317"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c>
          <w:tcPr>
            <w:tcW w:w="1272"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c>
          <w:tcPr>
            <w:tcW w:w="1337"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c>
          <w:tcPr>
            <w:tcW w:w="1344" w:type="dxa"/>
            <w:tcBorders>
              <w:bottom w:val="single" w:sz="4" w:space="0" w:color="auto"/>
            </w:tcBorders>
            <w:shd w:val="clear" w:color="auto" w:fill="auto"/>
          </w:tcPr>
          <w:p w:rsidR="00622F23" w:rsidRPr="00796039" w:rsidRDefault="001F5B90" w:rsidP="00517147">
            <w:pPr>
              <w:tabs>
                <w:tab w:val="left" w:pos="1380"/>
              </w:tabs>
              <w:spacing w:after="0" w:line="240" w:lineRule="auto"/>
              <w:jc w:val="center"/>
              <w:rPr>
                <w:rFonts w:ascii="Times New Roman" w:hAnsi="Times New Roman"/>
                <w:sz w:val="20"/>
                <w:szCs w:val="20"/>
                <w:lang w:eastAsia="tr-TR"/>
              </w:rPr>
            </w:pPr>
            <m:oMath>
              <m:acc>
                <m:accPr>
                  <m:chr m:val="̃"/>
                  <m:ctrlPr>
                    <w:rPr>
                      <w:rFonts w:ascii="Cambria Math" w:hAnsi="Cambria Math"/>
                      <w:b/>
                      <w:i/>
                      <w:sz w:val="18"/>
                      <w:szCs w:val="18"/>
                    </w:rPr>
                  </m:ctrlPr>
                </m:accPr>
                <m:e>
                  <m:r>
                    <m:rPr>
                      <m:sty m:val="bi"/>
                    </m:rPr>
                    <w:rPr>
                      <w:rFonts w:ascii="Cambria Math" w:hAnsi="Cambria Math"/>
                      <w:sz w:val="18"/>
                      <w:szCs w:val="18"/>
                    </w:rPr>
                    <m:t>x</m:t>
                  </m:r>
                </m:e>
              </m:acc>
            </m:oMath>
            <w:r w:rsidR="00622F23" w:rsidRPr="00796039">
              <w:rPr>
                <w:rFonts w:ascii="Times New Roman" w:hAnsi="Times New Roman"/>
                <w:b/>
                <w:sz w:val="18"/>
                <w:szCs w:val="18"/>
              </w:rPr>
              <w:t>±SS</w:t>
            </w:r>
          </w:p>
        </w:tc>
      </w:tr>
      <w:tr w:rsidR="00622F23" w:rsidRPr="00796039" w:rsidTr="00517147">
        <w:tc>
          <w:tcPr>
            <w:tcW w:w="1509" w:type="dxa"/>
            <w:tcBorders>
              <w:top w:val="single" w:sz="4" w:space="0" w:color="auto"/>
            </w:tcBorders>
            <w:shd w:val="clear" w:color="auto" w:fill="auto"/>
          </w:tcPr>
          <w:p w:rsidR="00622F23" w:rsidRPr="00796039" w:rsidRDefault="00622F23" w:rsidP="00517147">
            <w:pPr>
              <w:spacing w:after="0" w:line="276" w:lineRule="auto"/>
              <w:rPr>
                <w:rFonts w:ascii="Times New Roman" w:hAnsi="Times New Roman"/>
                <w:sz w:val="21"/>
                <w:szCs w:val="21"/>
                <w:lang w:eastAsia="tr-TR"/>
              </w:rPr>
            </w:pPr>
            <w:r w:rsidRPr="00796039">
              <w:rPr>
                <w:rFonts w:ascii="Times New Roman" w:hAnsi="Times New Roman"/>
                <w:sz w:val="21"/>
                <w:szCs w:val="21"/>
                <w:lang w:eastAsia="tr-TR"/>
              </w:rPr>
              <w:t xml:space="preserve">Kondom </w:t>
            </w:r>
          </w:p>
        </w:tc>
        <w:tc>
          <w:tcPr>
            <w:tcW w:w="1172" w:type="dxa"/>
            <w:tcBorders>
              <w:top w:val="single" w:sz="4" w:space="0" w:color="auto"/>
            </w:tcBorders>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2.56 ±0.82</w:t>
            </w:r>
          </w:p>
        </w:tc>
        <w:tc>
          <w:tcPr>
            <w:tcW w:w="1337" w:type="dxa"/>
            <w:tcBorders>
              <w:top w:val="single" w:sz="4" w:space="0" w:color="auto"/>
            </w:tcBorders>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2.64 ± 0.81</w:t>
            </w:r>
          </w:p>
        </w:tc>
        <w:tc>
          <w:tcPr>
            <w:tcW w:w="1317" w:type="dxa"/>
            <w:tcBorders>
              <w:top w:val="single" w:sz="4" w:space="0" w:color="auto"/>
            </w:tcBorders>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2.69 ± 0.76</w:t>
            </w:r>
          </w:p>
        </w:tc>
        <w:tc>
          <w:tcPr>
            <w:tcW w:w="1272" w:type="dxa"/>
            <w:tcBorders>
              <w:top w:val="single" w:sz="4" w:space="0" w:color="auto"/>
            </w:tcBorders>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2.71 ± 0.82</w:t>
            </w:r>
          </w:p>
        </w:tc>
        <w:tc>
          <w:tcPr>
            <w:tcW w:w="1337" w:type="dxa"/>
            <w:tcBorders>
              <w:top w:val="single" w:sz="4" w:space="0" w:color="auto"/>
            </w:tcBorders>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3.17 ± 1.12</w:t>
            </w:r>
          </w:p>
        </w:tc>
        <w:tc>
          <w:tcPr>
            <w:tcW w:w="1344" w:type="dxa"/>
            <w:tcBorders>
              <w:top w:val="single" w:sz="4" w:space="0" w:color="auto"/>
            </w:tcBorders>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13.79 ± 3.60</w:t>
            </w:r>
          </w:p>
        </w:tc>
      </w:tr>
      <w:tr w:rsidR="00622F23" w:rsidRPr="00796039" w:rsidTr="00517147">
        <w:tc>
          <w:tcPr>
            <w:tcW w:w="1509" w:type="dxa"/>
            <w:shd w:val="clear" w:color="auto" w:fill="auto"/>
          </w:tcPr>
          <w:p w:rsidR="00622F23" w:rsidRPr="00796039" w:rsidRDefault="00622F23" w:rsidP="00517147">
            <w:pPr>
              <w:spacing w:after="0" w:line="276" w:lineRule="auto"/>
              <w:rPr>
                <w:rFonts w:ascii="Times New Roman" w:hAnsi="Times New Roman"/>
                <w:sz w:val="21"/>
                <w:szCs w:val="21"/>
                <w:lang w:eastAsia="tr-TR"/>
              </w:rPr>
            </w:pPr>
            <w:r w:rsidRPr="00796039">
              <w:rPr>
                <w:rFonts w:ascii="Times New Roman" w:hAnsi="Times New Roman"/>
                <w:sz w:val="21"/>
                <w:szCs w:val="21"/>
                <w:lang w:eastAsia="tr-TR"/>
              </w:rPr>
              <w:t>RİA</w:t>
            </w:r>
          </w:p>
        </w:tc>
        <w:tc>
          <w:tcPr>
            <w:tcW w:w="1172"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2.91 ±0.91</w:t>
            </w:r>
          </w:p>
        </w:tc>
        <w:tc>
          <w:tcPr>
            <w:tcW w:w="133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2.87 ± 0.94</w:t>
            </w:r>
          </w:p>
        </w:tc>
        <w:tc>
          <w:tcPr>
            <w:tcW w:w="131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2.88 ± 0.89</w:t>
            </w:r>
          </w:p>
        </w:tc>
        <w:tc>
          <w:tcPr>
            <w:tcW w:w="1272"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2.87 ± 0.89</w:t>
            </w:r>
          </w:p>
        </w:tc>
        <w:tc>
          <w:tcPr>
            <w:tcW w:w="1337"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3.64 ± 1.09</w:t>
            </w:r>
          </w:p>
        </w:tc>
        <w:tc>
          <w:tcPr>
            <w:tcW w:w="1344"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15.18 ± 4.23</w:t>
            </w:r>
          </w:p>
        </w:tc>
      </w:tr>
      <w:tr w:rsidR="00622F23" w:rsidRPr="00796039" w:rsidTr="00517147">
        <w:tc>
          <w:tcPr>
            <w:tcW w:w="1509" w:type="dxa"/>
            <w:shd w:val="clear" w:color="auto" w:fill="auto"/>
          </w:tcPr>
          <w:p w:rsidR="00622F23" w:rsidRPr="00796039" w:rsidRDefault="00622F23" w:rsidP="00517147">
            <w:pPr>
              <w:spacing w:after="0" w:line="276" w:lineRule="auto"/>
              <w:rPr>
                <w:rFonts w:ascii="Times New Roman" w:hAnsi="Times New Roman"/>
                <w:sz w:val="21"/>
                <w:szCs w:val="21"/>
                <w:lang w:eastAsia="tr-TR"/>
              </w:rPr>
            </w:pPr>
            <w:r w:rsidRPr="00796039">
              <w:rPr>
                <w:rFonts w:ascii="Times New Roman" w:hAnsi="Times New Roman"/>
                <w:sz w:val="21"/>
                <w:szCs w:val="21"/>
                <w:lang w:eastAsia="tr-TR"/>
              </w:rPr>
              <w:t>Hormonal yöntem</w:t>
            </w:r>
          </w:p>
        </w:tc>
        <w:tc>
          <w:tcPr>
            <w:tcW w:w="1172"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3.10 ±1.10</w:t>
            </w:r>
          </w:p>
        </w:tc>
        <w:tc>
          <w:tcPr>
            <w:tcW w:w="133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2.96 ± 1.10</w:t>
            </w:r>
          </w:p>
        </w:tc>
        <w:tc>
          <w:tcPr>
            <w:tcW w:w="131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2.92 ± 1.18</w:t>
            </w:r>
          </w:p>
        </w:tc>
        <w:tc>
          <w:tcPr>
            <w:tcW w:w="1272"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3.17 ± 1.15</w:t>
            </w:r>
          </w:p>
        </w:tc>
        <w:tc>
          <w:tcPr>
            <w:tcW w:w="1337"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3.50 ± 1.29</w:t>
            </w:r>
          </w:p>
        </w:tc>
        <w:tc>
          <w:tcPr>
            <w:tcW w:w="1344"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15.67 ± 5.49</w:t>
            </w:r>
          </w:p>
        </w:tc>
      </w:tr>
      <w:tr w:rsidR="00622F23" w:rsidRPr="00796039" w:rsidTr="00517147">
        <w:tc>
          <w:tcPr>
            <w:tcW w:w="1509"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Tup Ligasyonu</w:t>
            </w:r>
          </w:p>
        </w:tc>
        <w:tc>
          <w:tcPr>
            <w:tcW w:w="1172"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3.90 ±1.36</w:t>
            </w:r>
          </w:p>
        </w:tc>
        <w:tc>
          <w:tcPr>
            <w:tcW w:w="133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3.86 ± 1.22</w:t>
            </w:r>
          </w:p>
        </w:tc>
        <w:tc>
          <w:tcPr>
            <w:tcW w:w="1317" w:type="dxa"/>
            <w:shd w:val="clear" w:color="auto" w:fill="auto"/>
          </w:tcPr>
          <w:p w:rsidR="00622F23" w:rsidRPr="00796039" w:rsidRDefault="00622F23" w:rsidP="00517147">
            <w:pPr>
              <w:spacing w:after="0" w:line="276" w:lineRule="auto"/>
              <w:rPr>
                <w:rFonts w:ascii="Times New Roman" w:hAnsi="Times New Roman"/>
                <w:b/>
                <w:sz w:val="21"/>
                <w:szCs w:val="21"/>
              </w:rPr>
            </w:pPr>
            <w:r w:rsidRPr="00796039">
              <w:rPr>
                <w:rFonts w:ascii="Times New Roman" w:hAnsi="Times New Roman"/>
                <w:sz w:val="21"/>
                <w:szCs w:val="21"/>
                <w:lang w:eastAsia="tr-TR"/>
              </w:rPr>
              <w:t>3.86 ± 1.30</w:t>
            </w:r>
          </w:p>
        </w:tc>
        <w:tc>
          <w:tcPr>
            <w:tcW w:w="1272"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3.95 ± 1.21</w:t>
            </w:r>
          </w:p>
        </w:tc>
        <w:tc>
          <w:tcPr>
            <w:tcW w:w="1337"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4.34 ± 1.06</w:t>
            </w:r>
          </w:p>
        </w:tc>
        <w:tc>
          <w:tcPr>
            <w:tcW w:w="1344" w:type="dxa"/>
            <w:shd w:val="clear" w:color="auto" w:fill="auto"/>
          </w:tcPr>
          <w:p w:rsidR="00622F23" w:rsidRPr="00796039" w:rsidRDefault="00622F23" w:rsidP="00517147">
            <w:pPr>
              <w:spacing w:after="0" w:line="276" w:lineRule="auto"/>
              <w:jc w:val="center"/>
              <w:rPr>
                <w:rFonts w:ascii="Times New Roman" w:hAnsi="Times New Roman"/>
                <w:b/>
                <w:sz w:val="21"/>
                <w:szCs w:val="21"/>
              </w:rPr>
            </w:pPr>
            <w:r w:rsidRPr="00796039">
              <w:rPr>
                <w:rFonts w:ascii="Times New Roman" w:hAnsi="Times New Roman"/>
                <w:sz w:val="21"/>
                <w:szCs w:val="21"/>
                <w:lang w:eastAsia="tr-TR"/>
              </w:rPr>
              <w:t>19.93 ± 5.88</w:t>
            </w:r>
          </w:p>
        </w:tc>
      </w:tr>
      <w:tr w:rsidR="00622F23" w:rsidRPr="00796039" w:rsidTr="00517147">
        <w:tc>
          <w:tcPr>
            <w:tcW w:w="1509"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Geri çekme</w:t>
            </w:r>
          </w:p>
        </w:tc>
        <w:tc>
          <w:tcPr>
            <w:tcW w:w="1172"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2.87 ±1.21</w:t>
            </w:r>
          </w:p>
        </w:tc>
        <w:tc>
          <w:tcPr>
            <w:tcW w:w="1337"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2.80 ± 1.03</w:t>
            </w:r>
          </w:p>
        </w:tc>
        <w:tc>
          <w:tcPr>
            <w:tcW w:w="1317"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2.87 ± 0.99</w:t>
            </w:r>
          </w:p>
        </w:tc>
        <w:tc>
          <w:tcPr>
            <w:tcW w:w="1272"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2.81 ± 1.00</w:t>
            </w:r>
          </w:p>
        </w:tc>
        <w:tc>
          <w:tcPr>
            <w:tcW w:w="1337"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3.16 ± 1.19</w:t>
            </w:r>
          </w:p>
        </w:tc>
        <w:tc>
          <w:tcPr>
            <w:tcW w:w="1344" w:type="dxa"/>
            <w:shd w:val="clear" w:color="auto" w:fill="auto"/>
          </w:tcPr>
          <w:p w:rsidR="00622F23" w:rsidRPr="00796039" w:rsidRDefault="00622F23" w:rsidP="00517147">
            <w:pPr>
              <w:rPr>
                <w:rFonts w:ascii="Times New Roman" w:hAnsi="Times New Roman"/>
                <w:b/>
                <w:sz w:val="21"/>
                <w:szCs w:val="21"/>
              </w:rPr>
            </w:pPr>
            <w:r w:rsidRPr="00796039">
              <w:rPr>
                <w:rFonts w:ascii="Times New Roman" w:hAnsi="Times New Roman"/>
                <w:sz w:val="21"/>
                <w:szCs w:val="21"/>
                <w:lang w:eastAsia="tr-TR"/>
              </w:rPr>
              <w:t>14.53  ± 4.92</w:t>
            </w:r>
          </w:p>
        </w:tc>
      </w:tr>
      <w:tr w:rsidR="00622F23" w:rsidRPr="00796039" w:rsidTr="00517147">
        <w:tc>
          <w:tcPr>
            <w:tcW w:w="1509" w:type="dxa"/>
            <w:tcBorders>
              <w:bottom w:val="single" w:sz="4" w:space="0" w:color="auto"/>
            </w:tcBorders>
            <w:shd w:val="clear" w:color="auto" w:fill="auto"/>
          </w:tcPr>
          <w:p w:rsidR="00622F23" w:rsidRPr="00796039" w:rsidRDefault="00622F23" w:rsidP="00517147">
            <w:pPr>
              <w:spacing w:after="0"/>
              <w:rPr>
                <w:rFonts w:ascii="Times New Roman" w:hAnsi="Times New Roman"/>
                <w:b/>
                <w:sz w:val="21"/>
                <w:szCs w:val="21"/>
              </w:rPr>
            </w:pPr>
            <w:r w:rsidRPr="00796039">
              <w:rPr>
                <w:rFonts w:ascii="Times New Roman" w:hAnsi="Times New Roman"/>
                <w:sz w:val="21"/>
                <w:szCs w:val="21"/>
                <w:lang w:eastAsia="tr-TR"/>
              </w:rPr>
              <w:t>F  /  p</w:t>
            </w:r>
          </w:p>
        </w:tc>
        <w:tc>
          <w:tcPr>
            <w:tcW w:w="1172"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9,891/</w:t>
            </w:r>
            <w:r w:rsidRPr="00796039">
              <w:rPr>
                <w:rFonts w:ascii="Times New Roman" w:hAnsi="Times New Roman"/>
                <w:b/>
                <w:sz w:val="20"/>
                <w:szCs w:val="20"/>
                <w:lang w:eastAsia="tr-TR"/>
              </w:rPr>
              <w:t>0.001</w:t>
            </w:r>
          </w:p>
        </w:tc>
        <w:tc>
          <w:tcPr>
            <w:tcW w:w="1337"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9,737/</w:t>
            </w:r>
            <w:r w:rsidRPr="00796039">
              <w:rPr>
                <w:rFonts w:ascii="Times New Roman" w:hAnsi="Times New Roman"/>
                <w:b/>
                <w:sz w:val="20"/>
                <w:szCs w:val="20"/>
                <w:lang w:eastAsia="tr-TR"/>
              </w:rPr>
              <w:t>0.001</w:t>
            </w:r>
          </w:p>
        </w:tc>
        <w:tc>
          <w:tcPr>
            <w:tcW w:w="1317"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 xml:space="preserve">9,117 / </w:t>
            </w:r>
            <w:r w:rsidRPr="00796039">
              <w:rPr>
                <w:rFonts w:ascii="Times New Roman" w:hAnsi="Times New Roman"/>
                <w:b/>
                <w:sz w:val="20"/>
                <w:szCs w:val="20"/>
                <w:lang w:eastAsia="tr-TR"/>
              </w:rPr>
              <w:t>0.001</w:t>
            </w:r>
          </w:p>
        </w:tc>
        <w:tc>
          <w:tcPr>
            <w:tcW w:w="1272"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11,324/</w:t>
            </w:r>
            <w:r w:rsidRPr="00796039">
              <w:rPr>
                <w:rFonts w:ascii="Times New Roman" w:hAnsi="Times New Roman"/>
                <w:b/>
                <w:sz w:val="20"/>
                <w:szCs w:val="20"/>
                <w:lang w:eastAsia="tr-TR"/>
              </w:rPr>
              <w:t>0.001</w:t>
            </w:r>
          </w:p>
        </w:tc>
        <w:tc>
          <w:tcPr>
            <w:tcW w:w="1337"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8,475/</w:t>
            </w:r>
            <w:r w:rsidRPr="00796039">
              <w:rPr>
                <w:rFonts w:ascii="Times New Roman" w:hAnsi="Times New Roman"/>
                <w:b/>
                <w:sz w:val="20"/>
                <w:szCs w:val="20"/>
                <w:lang w:eastAsia="tr-TR"/>
              </w:rPr>
              <w:t>0.001</w:t>
            </w:r>
          </w:p>
        </w:tc>
        <w:tc>
          <w:tcPr>
            <w:tcW w:w="1344" w:type="dxa"/>
            <w:tcBorders>
              <w:bottom w:val="single" w:sz="4" w:space="0" w:color="auto"/>
            </w:tcBorders>
            <w:shd w:val="clear" w:color="auto" w:fill="auto"/>
          </w:tcPr>
          <w:p w:rsidR="00622F23" w:rsidRPr="00796039" w:rsidRDefault="00622F23" w:rsidP="00517147">
            <w:pPr>
              <w:spacing w:after="0" w:line="276" w:lineRule="auto"/>
              <w:jc w:val="center"/>
              <w:rPr>
                <w:rFonts w:ascii="Times New Roman" w:hAnsi="Times New Roman"/>
                <w:sz w:val="20"/>
                <w:szCs w:val="20"/>
                <w:lang w:eastAsia="tr-TR"/>
              </w:rPr>
            </w:pPr>
            <w:r w:rsidRPr="00796039">
              <w:rPr>
                <w:rFonts w:ascii="Times New Roman" w:hAnsi="Times New Roman"/>
                <w:sz w:val="20"/>
                <w:szCs w:val="20"/>
                <w:lang w:eastAsia="tr-TR"/>
              </w:rPr>
              <w:t xml:space="preserve">11.128/ </w:t>
            </w:r>
            <w:r w:rsidRPr="00796039">
              <w:rPr>
                <w:rFonts w:ascii="Times New Roman" w:hAnsi="Times New Roman"/>
                <w:b/>
                <w:sz w:val="20"/>
                <w:szCs w:val="20"/>
                <w:lang w:eastAsia="tr-TR"/>
              </w:rPr>
              <w:t>0.001</w:t>
            </w:r>
          </w:p>
        </w:tc>
      </w:tr>
    </w:tbl>
    <w:p w:rsidR="00622F23" w:rsidRPr="00724965" w:rsidRDefault="00622F23" w:rsidP="00622F23">
      <w:pPr>
        <w:rPr>
          <w:rFonts w:ascii="Times New Roman" w:hAnsi="Times New Roman"/>
          <w:b/>
          <w:sz w:val="24"/>
          <w:szCs w:val="24"/>
        </w:rPr>
      </w:pPr>
    </w:p>
    <w:p w:rsidR="00622F23" w:rsidRDefault="00622F23" w:rsidP="00622F23">
      <w:pPr>
        <w:spacing w:line="240" w:lineRule="auto"/>
        <w:jc w:val="both"/>
        <w:rPr>
          <w:rFonts w:ascii="Times New Roman" w:hAnsi="Times New Roman"/>
          <w:sz w:val="24"/>
          <w:szCs w:val="24"/>
        </w:rPr>
        <w:sectPr w:rsidR="00622F23" w:rsidSect="00F957F1">
          <w:type w:val="continuous"/>
          <w:pgSz w:w="11906" w:h="16838"/>
          <w:pgMar w:top="1417" w:right="1417" w:bottom="1417" w:left="1417" w:header="708" w:footer="708" w:gutter="0"/>
          <w:cols w:space="708"/>
          <w:titlePg/>
          <w:docGrid w:linePitch="360"/>
        </w:sectPr>
      </w:pP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lastRenderedPageBreak/>
        <w:t xml:space="preserve">Tablo 3’te kadınların kullandıkları gebelikten koruyucu yöntem türüne göre ACYÖ alt boyut ve toplam puan ortalamaları verilmiştir. Kullanılan yöntem türüne göre kadınların hem ACYÖ toplam puan ortalaması, hem de alt boyut puan ortalaması arasında anlamlı bir fark olduğu (p&lt;0.05) saptanmıştır. Yapılan ileri </w:t>
      </w:r>
      <w:r>
        <w:rPr>
          <w:rFonts w:ascii="Times New Roman" w:hAnsi="Times New Roman"/>
          <w:sz w:val="24"/>
          <w:szCs w:val="24"/>
        </w:rPr>
        <w:lastRenderedPageBreak/>
        <w:t xml:space="preserve">analizde farkın tüm alanlarda tüp ligasyonu yapılmış olan kadınlardan kaynaklandığı, bu grubun puan ortalamasının diğer yöntemleri kullanan kadınların puan ortalamasından anlamlı düzeyde yüksek olduğu belirlenmiştir. Hormonal yöntem, RİA, prezervatif ve geri çekme yöntemini kullanan kadınların puan ortalaması </w:t>
      </w:r>
      <w:r>
        <w:rPr>
          <w:rFonts w:ascii="Times New Roman" w:hAnsi="Times New Roman"/>
          <w:sz w:val="24"/>
          <w:szCs w:val="24"/>
        </w:rPr>
        <w:lastRenderedPageBreak/>
        <w:t xml:space="preserve">arasında ise anlamlı bir fark olmadığı belirlenmiştir (p&gt;0.05).  </w:t>
      </w:r>
    </w:p>
    <w:p w:rsidR="00622F23" w:rsidRDefault="00622F23" w:rsidP="00622F23">
      <w:pPr>
        <w:spacing w:line="240" w:lineRule="auto"/>
        <w:jc w:val="both"/>
        <w:rPr>
          <w:rFonts w:ascii="Times New Roman" w:hAnsi="Times New Roman"/>
          <w:b/>
          <w:sz w:val="24"/>
          <w:szCs w:val="24"/>
        </w:rPr>
        <w:sectPr w:rsidR="00622F23" w:rsidSect="00D90902">
          <w:type w:val="continuous"/>
          <w:pgSz w:w="11906" w:h="16838"/>
          <w:pgMar w:top="1417" w:right="1417" w:bottom="1417" w:left="1417" w:header="708" w:footer="708" w:gutter="0"/>
          <w:cols w:num="2" w:space="708"/>
          <w:titlePg/>
          <w:docGrid w:linePitch="360"/>
        </w:sectPr>
      </w:pP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b/>
          <w:sz w:val="24"/>
          <w:szCs w:val="24"/>
        </w:rPr>
      </w:pPr>
    </w:p>
    <w:p w:rsidR="00622F23" w:rsidRDefault="00622F23" w:rsidP="00622F23">
      <w:pPr>
        <w:spacing w:line="240" w:lineRule="auto"/>
        <w:jc w:val="both"/>
        <w:rPr>
          <w:rFonts w:ascii="Times New Roman" w:hAnsi="Times New Roman"/>
          <w:b/>
          <w:sz w:val="24"/>
          <w:szCs w:val="24"/>
        </w:rPr>
      </w:pPr>
      <w:r>
        <w:rPr>
          <w:rFonts w:ascii="Times New Roman" w:hAnsi="Times New Roman"/>
          <w:b/>
          <w:sz w:val="24"/>
          <w:szCs w:val="24"/>
        </w:rPr>
        <w:t>TARTIŞMA</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Cinsel ilişkide gebelikten koruyucu yöntem kullanılması istenmeyen gebelikleri önleyerek kadın sağlığının korunması ve geliştirilmesine katkıda bulunan önemli faktörlerden birisidir. Çalışmamızda kadınlar tarafından en çok tercih edilen ilk iki yöntemin sırasıyla geri çekme (% 30) ve RİA (% 27.2) olduğu belirlenmiştir.  Türkiye Nüfus ve Sağlık Araştırması (TNSA) 2013 sonucunda da Türkiye’de evli kadından yaklaşık ¼ ünün geleneksel bir yöntem olan geri çekme yöntemini kullandığı, etkili yöntemler arasında da ilk iki sırada RİA (%17) ve erkek kondomunun (%16) yer aldığı belirlenmiştir (23). Egelioğlu ve arkadaşları (2016) tarafından yapılan çalışmada da en çok tercih edilen iki yöntemin bizim çalışmamıza benzer biçimde (% 28.3) geri çekme ve RİA (%27. 9) olduğu belirlenmiştir (24). Bu sonuçlar bize geleneksel bir yöntem olan geri çekmenin yaygın olarak kullanıldığını, modern yöntemler arasında da RİA’nın en çok tercih edilen yöntem olduğunu ortaya koymaktadır.   </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Cinsellik temel insan gereksinimleri arasında yer almaktadır. Buna karşın özellikle cinselliğin tabu olarak kabul edildiği geleneksel toplumlarda cinsellik ve cinsel sağlık konuları ihmal edilen bir durumdur. Bununla birlikte son yıllarda cinsel sağlığın, genel sağlığın önemli bir boyutu olduğunun fark edilmesi sonucunda konuyla ilgili çalışmalarda da artış görülmektedir.  Çalışmamızda kadınların ACYÖ toplam puan ortalaması 15.62±5.18 olarak belirlenmiş, cinsel fonksiyonun alt boyutlarının tamamında da kadınların puanlarının yüksek olduğu ve güçlük </w:t>
      </w:r>
      <w:r>
        <w:rPr>
          <w:rFonts w:ascii="Times New Roman" w:hAnsi="Times New Roman"/>
          <w:sz w:val="24"/>
          <w:szCs w:val="24"/>
        </w:rPr>
        <w:lastRenderedPageBreak/>
        <w:t xml:space="preserve">yaşandığı saptanmıştır. Egelioğlu ve arkadaşları (2016) tarafından yapılan çalışmada elde edilen sonucun bizim sonucumuza benzer olduğu, kadınların ACYÖ puan ortalamasının 15.17±6.6 olarak belirlendiği saptanmıştır (24). Gabalci ve arkadaşları (2010) tarafından yapılan çalışmada kadınların ACYÖ puan ortalaması 13.59’dır (16). Buna göre çalışmamızda elde edilen sonuçların </w:t>
      </w:r>
      <w:proofErr w:type="gramStart"/>
      <w:r>
        <w:rPr>
          <w:rFonts w:ascii="Times New Roman" w:hAnsi="Times New Roman"/>
          <w:sz w:val="24"/>
          <w:szCs w:val="24"/>
        </w:rPr>
        <w:t>literatür</w:t>
      </w:r>
      <w:proofErr w:type="gramEnd"/>
      <w:r>
        <w:rPr>
          <w:rFonts w:ascii="Times New Roman" w:hAnsi="Times New Roman"/>
          <w:sz w:val="24"/>
          <w:szCs w:val="24"/>
        </w:rPr>
        <w:t xml:space="preserve"> bulgularıyla uyumlu olduğunu ve kadınlarda cinsel fonksiyon bozukluğunun önemli bir sağlık sorunu olduğunu söyleyebiliriz.</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Literatür incelendiğinde kullanılan gebelikten koruyucu yöntemin türüne göre cinsel fonksiyonun değerlendirildiği çalışmalarda farklı sonuçlar elde edildiği görülmektedir. Çalışmamızda kullanılan yöntem türüne göre ACYÖ toplam ve tüm alt boyut puan ortalamaları arasında anlamlı bir fark olduğu, farkın tüp ligasyonu yapılan kadınlardan kaynaklandığı ve bu gruptaki kadınların ACYÖ toplam ve alt boyut puan ortalamasının diğer gruplardan yüksek olduğu belirlenmiştir. Gabalci ve arkadaşları (2010) tarafından yapılan çalışmada ACYÖ toplam puan ortalaması kullanılan yönteme göre değerlendirildiğinde, RİA kullananların puan ortalaması 13.93, kondom kullananların 13.30 ve hormonal yöntem kullananların 13.37 olduğu ve puan ortalamaları bakımından gruplar arasındaki farkın önemsiz olduğu belirlenmiştir (16). Bu bulgulardan farklı olarak, Kılıç ve arkadaşları (2009) tarafından yapılan niteliksel bir çalışmada kadınların cinsel yaşamlarının en fazla geri çekme yöntemi olmak üzere, OK ve RİA’dan olumsuz etkilendiği, buna karşın tüp ligasyonu kullananlarda olumsuz etkilenme olmadığı saptanmıştır (19). Yanıkkerem ve arkadaşları (2006) tarafından yapılan çalışmada geri çekme yöntemi kullananlar kadınlarda cinsel doyum alt boyutunda güçlük yaşandığı ve yöntemin cinsel </w:t>
      </w:r>
      <w:r>
        <w:rPr>
          <w:rFonts w:ascii="Times New Roman" w:hAnsi="Times New Roman"/>
          <w:sz w:val="24"/>
          <w:szCs w:val="24"/>
        </w:rPr>
        <w:lastRenderedPageBreak/>
        <w:t xml:space="preserve">yaşantıyı olumsuz etkilediği belirlenmiştir (25).  Sabatini ve arkadaşları (2006) tarafından yapılan çalışmada OK kullanımının cinsel yaşantıyı olumsuz etkilediği, cinsel isteği azalttığı belirlenmiştir (26). Malmborg ve arkadaşlarının( 2015)  çalışmasında cinsel isteğin; hormonal yöntem kullanan kadınlarda, hormonal olmayan yöntem kullananlara göre önemli düzeyde düşük olduğu saptanmıştır (27). </w:t>
      </w:r>
      <w:proofErr w:type="gramStart"/>
      <w:r>
        <w:rPr>
          <w:rFonts w:ascii="Times New Roman" w:hAnsi="Times New Roman"/>
          <w:sz w:val="24"/>
          <w:szCs w:val="24"/>
        </w:rPr>
        <w:t xml:space="preserve">Egelioğlu ve arkadaşları tarafından yapılan çalışmada (2016) kadınların kullandıkları yönteme göre ACYÖ puan ortalamaları değerlendirildiğinde geri çekme yöntemi kullanan kadınların puan ortalamasının (19.97±7.48) en yüksek olduğu, sıralamanın tüp ligasyonu (16.00±5.97), RİA (14.53±4.55), kondom (12.31±5.20) ve hormonal yöntemler (11.25±5.26) şeklinde devam ettiği saptanmıştır (24). </w:t>
      </w:r>
      <w:proofErr w:type="gramEnd"/>
      <w:r>
        <w:rPr>
          <w:rFonts w:ascii="Times New Roman" w:hAnsi="Times New Roman"/>
          <w:sz w:val="24"/>
          <w:szCs w:val="24"/>
        </w:rPr>
        <w:t xml:space="preserve">Bizim çalışmamızda tüp ligasyonu yaptıran kadınlarda ACYÖ toplam ve alt boyut puan ortalamasının diğer yöntemleri kullananlardan önemli derecede yüksek olmasının nedeni, tüp ligasyonu yapılan kadınların yaşlarının daha büyük olması ve yaşla birlikte ortaya çıkabilen çeşitli fizyolojik değişikliklerin de etkisiyle cinsel fonksiyonun olumsuz etkilenmesi şeklinde yorumlanabilir. Ayrıca doğurganlık, Türkiye’de geleneksel kültürel ögelere göre kadının toplumsal statüsünü belirleyen önemli bir faktördür. Çalışmanın yapıldığı bölgenin de geleneksel değerlerin baskın olduğu bir yer olması göz önünde bulundurulduğunda, kadının doğurganlık özelliğinin geri dönüşsüz biçimde sonlanmasının kadınların kendilerini değersiz ve yetersiz hissetmeleri ve bunun da cinsel fonksiyonu olumsuz etkilemiş olabileceği şeklinde yorumlanabilir.  </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Literatürde kullanılan yönteme uyum ve memnuniyeti etkileyen faktörler arasında; yöntemi kullanma süresi, yan etkilerinin şiddeti, etkinlik düzeyi, cinsel ilişkiyi kesintiye uğratması gibi faktörlerin bulunduğu belirtilmekte, bu özelliklerinden dolayı cinselliğin de etkilendiğine dikkat çekilmektedir (25-27). Bizim çalışmamızda </w:t>
      </w:r>
      <w:r>
        <w:rPr>
          <w:rFonts w:ascii="Times New Roman" w:hAnsi="Times New Roman"/>
          <w:sz w:val="24"/>
          <w:szCs w:val="24"/>
        </w:rPr>
        <w:lastRenderedPageBreak/>
        <w:t xml:space="preserve">kadınların tamamına yakını kullandıkları yöntemle ilgili bir </w:t>
      </w:r>
      <w:proofErr w:type="gramStart"/>
      <w:r>
        <w:rPr>
          <w:rFonts w:ascii="Times New Roman" w:hAnsi="Times New Roman"/>
          <w:sz w:val="24"/>
          <w:szCs w:val="24"/>
        </w:rPr>
        <w:t>şikayet</w:t>
      </w:r>
      <w:proofErr w:type="gramEnd"/>
      <w:r>
        <w:rPr>
          <w:rFonts w:ascii="Times New Roman" w:hAnsi="Times New Roman"/>
          <w:sz w:val="24"/>
          <w:szCs w:val="24"/>
        </w:rPr>
        <w:t xml:space="preserve"> yaşamadıklarını ve yöntemin cinsellikleri üzerinde herhangi bir etkisinin olmadığını (% 94.6) belirtmişlerdir. Bu nedenle kullanılan gebeliği önleyici yöntemin cinsel yaşamı etkilediğini düşünme ve yöntemle ilgili </w:t>
      </w:r>
      <w:proofErr w:type="gramStart"/>
      <w:r>
        <w:rPr>
          <w:rFonts w:ascii="Times New Roman" w:hAnsi="Times New Roman"/>
          <w:sz w:val="24"/>
          <w:szCs w:val="24"/>
        </w:rPr>
        <w:t>şikayeti</w:t>
      </w:r>
      <w:proofErr w:type="gramEnd"/>
      <w:r>
        <w:rPr>
          <w:rFonts w:ascii="Times New Roman" w:hAnsi="Times New Roman"/>
          <w:sz w:val="24"/>
          <w:szCs w:val="24"/>
        </w:rPr>
        <w:t xml:space="preserve"> olma durumuna göre cinsel fonksiyon bozukluğu arasında bir karşılaştırma yapılamamıştır. Ancak bazı çalışmalarda genellikle kullanılan yöntemlerin yan etkisinin memnuniyeti olumsuz etkilediği, yöntemin bırakılmasına neden olduğu ve bunun sonucunda da cinsel fonksiyonun olumsuz etkilendiği belirtilmektedir (19, 25). </w:t>
      </w:r>
    </w:p>
    <w:p w:rsidR="00622F23" w:rsidRDefault="00622F23" w:rsidP="00622F23">
      <w:pPr>
        <w:spacing w:line="240" w:lineRule="auto"/>
        <w:jc w:val="both"/>
        <w:rPr>
          <w:rFonts w:ascii="Times New Roman" w:hAnsi="Times New Roman"/>
          <w:b/>
          <w:sz w:val="24"/>
          <w:szCs w:val="24"/>
        </w:rPr>
      </w:pPr>
      <w:r>
        <w:rPr>
          <w:rFonts w:ascii="Times New Roman" w:hAnsi="Times New Roman"/>
          <w:b/>
          <w:sz w:val="24"/>
          <w:szCs w:val="24"/>
        </w:rPr>
        <w:t>SONUÇ</w:t>
      </w:r>
    </w:p>
    <w:p w:rsidR="00622F23" w:rsidRDefault="00622F23" w:rsidP="00622F23">
      <w:pPr>
        <w:spacing w:line="240" w:lineRule="auto"/>
        <w:jc w:val="both"/>
        <w:rPr>
          <w:rFonts w:ascii="Times New Roman" w:hAnsi="Times New Roman"/>
          <w:sz w:val="24"/>
          <w:szCs w:val="24"/>
        </w:rPr>
      </w:pPr>
      <w:r>
        <w:rPr>
          <w:rFonts w:ascii="Times New Roman" w:hAnsi="Times New Roman"/>
          <w:sz w:val="24"/>
          <w:szCs w:val="24"/>
        </w:rPr>
        <w:t xml:space="preserve">Bu çalışmada gebeliği önleyici yöntem kullanan kadınlarda cinsel fonksiyon bozukluğu incelenmiş, kadınların yaklaşık ¼’ünde cinsel fonksiyon bozukluğu olduğu ve tüp ligasyonu yapılmış olan grupta cinsel fonksiyon bozukluğunun diğer yöntemleri kullanan kadınlara göre daha şiddetli olduğu belirlenmiştir. Bu sonuç gebeliği önleyici yöntem kullanımının cinsel yaşam üzerindeki etkilerine yönelik bazı ipuçları vermekle birlikte, araştırmadaki bazı sınırlılıkların göz önünde bulundurulması uygun bir yaklaşım olacaktır. Bu sınırlılıklardan birincisi çalışmanın nispeten küçük bir örneklem ile </w:t>
      </w:r>
      <w:proofErr w:type="gramStart"/>
      <w:r>
        <w:rPr>
          <w:rFonts w:ascii="Times New Roman" w:hAnsi="Times New Roman"/>
          <w:sz w:val="24"/>
          <w:szCs w:val="24"/>
        </w:rPr>
        <w:t>lokal</w:t>
      </w:r>
      <w:proofErr w:type="gramEnd"/>
      <w:r>
        <w:rPr>
          <w:rFonts w:ascii="Times New Roman" w:hAnsi="Times New Roman"/>
          <w:sz w:val="24"/>
          <w:szCs w:val="24"/>
        </w:rPr>
        <w:t xml:space="preserve"> bir bölgede yapılmış olması nedeniyle sonuçların tüm kadınlara genellenmesi söz konusu değildir. Kontrol grubunun bulunmaması elde edilen sonuçların gebeliği önleyici yöntemlere bağlanmasını zayıflatan bir durumdur. Kadınlarda cinsel fonksiyonu etkileyen yaş, kronik hastalık olma durumu gibi diğer değişkenlerin kontrol altına alındığı ve gebelikten koruyucu yöntemlerin ayrı ayrı incelendiği daha geniş örneklemi olan, randomize kontrollü çalışmalar planlanması önerilir.  </w:t>
      </w:r>
    </w:p>
    <w:p w:rsidR="00622F23" w:rsidRDefault="00622F23" w:rsidP="00622F23">
      <w:pPr>
        <w:spacing w:line="240" w:lineRule="auto"/>
        <w:jc w:val="both"/>
        <w:rPr>
          <w:rFonts w:ascii="Times New Roman" w:hAnsi="Times New Roman"/>
          <w:b/>
          <w:sz w:val="24"/>
          <w:szCs w:val="24"/>
        </w:rPr>
      </w:pPr>
      <w:r>
        <w:rPr>
          <w:rFonts w:ascii="Times New Roman" w:hAnsi="Times New Roman"/>
          <w:b/>
          <w:sz w:val="24"/>
          <w:szCs w:val="24"/>
        </w:rPr>
        <w:t>KAYNAKLAR</w:t>
      </w:r>
    </w:p>
    <w:p w:rsidR="00622F23" w:rsidRDefault="00622F23" w:rsidP="00622F23">
      <w:pPr>
        <w:spacing w:after="0" w:line="240" w:lineRule="auto"/>
        <w:ind w:left="-57"/>
        <w:jc w:val="both"/>
        <w:rPr>
          <w:rFonts w:ascii="Times New Roman" w:hAnsi="Times New Roman"/>
          <w:sz w:val="20"/>
          <w:szCs w:val="20"/>
        </w:rPr>
      </w:pPr>
      <w:r>
        <w:rPr>
          <w:rFonts w:ascii="Times New Roman" w:hAnsi="Times New Roman"/>
          <w:sz w:val="20"/>
          <w:szCs w:val="20"/>
        </w:rPr>
        <w:t>1.</w:t>
      </w:r>
      <w:r w:rsidRPr="002E1B2B">
        <w:rPr>
          <w:rFonts w:ascii="Times New Roman" w:hAnsi="Times New Roman"/>
          <w:sz w:val="20"/>
          <w:szCs w:val="20"/>
        </w:rPr>
        <w:t>World Health Organization, Defining sexual health Report of a technical consultation on sexual health, Geneva,  2002, 28–31 January</w:t>
      </w:r>
      <w:r>
        <w:rPr>
          <w:rFonts w:ascii="Times New Roman" w:hAnsi="Times New Roman"/>
          <w:sz w:val="20"/>
          <w:szCs w:val="20"/>
        </w:rPr>
        <w:t xml:space="preserve"> </w:t>
      </w:r>
      <w:r>
        <w:rPr>
          <w:rFonts w:ascii="Times New Roman" w:hAnsi="Times New Roman"/>
          <w:sz w:val="20"/>
          <w:szCs w:val="20"/>
        </w:rPr>
        <w:lastRenderedPageBreak/>
        <w:t>Erişim:</w:t>
      </w:r>
      <w:r w:rsidRPr="004537B6">
        <w:rPr>
          <w:rFonts w:ascii="Times New Roman" w:hAnsi="Times New Roman"/>
          <w:sz w:val="20"/>
          <w:szCs w:val="20"/>
        </w:rPr>
        <w:t>http://www.who.int/reproductivehealth/publications/sexual_health/defining_sexual_health.pdf</w:t>
      </w:r>
    </w:p>
    <w:p w:rsidR="00622F23" w:rsidRPr="002E1B2B" w:rsidRDefault="00622F23" w:rsidP="00622F23">
      <w:pPr>
        <w:spacing w:after="0" w:line="240" w:lineRule="auto"/>
        <w:ind w:left="-57"/>
        <w:jc w:val="both"/>
        <w:rPr>
          <w:rFonts w:ascii="Times New Roman" w:hAnsi="Times New Roman"/>
          <w:sz w:val="20"/>
          <w:szCs w:val="20"/>
        </w:rPr>
      </w:pPr>
    </w:p>
    <w:p w:rsidR="00622F23" w:rsidRPr="002E1B2B" w:rsidRDefault="00622F23" w:rsidP="00622F23">
      <w:pPr>
        <w:spacing w:line="240" w:lineRule="auto"/>
        <w:jc w:val="both"/>
        <w:rPr>
          <w:rFonts w:ascii="Times New Roman" w:hAnsi="Times New Roman"/>
          <w:sz w:val="20"/>
          <w:szCs w:val="20"/>
        </w:rPr>
      </w:pPr>
      <w:r>
        <w:rPr>
          <w:rFonts w:ascii="Times New Roman" w:hAnsi="Times New Roman"/>
          <w:sz w:val="20"/>
          <w:szCs w:val="20"/>
        </w:rPr>
        <w:t xml:space="preserve">2.  Lianjun P, </w:t>
      </w:r>
      <w:r w:rsidRPr="002E1B2B">
        <w:rPr>
          <w:rFonts w:ascii="Times New Roman" w:hAnsi="Times New Roman"/>
          <w:sz w:val="20"/>
          <w:szCs w:val="20"/>
        </w:rPr>
        <w:t>Aixia Z, Zhong W, Feng P,  Li B, Xiaona Y. Risk factors for low sexual function among urban Chinese women: a hospital-based investigation. Journal of Sexual Medicine</w:t>
      </w:r>
      <w:r>
        <w:rPr>
          <w:rFonts w:ascii="Times New Roman" w:hAnsi="Times New Roman"/>
          <w:sz w:val="20"/>
          <w:szCs w:val="20"/>
        </w:rPr>
        <w:t>.</w:t>
      </w:r>
      <w:r w:rsidRPr="002E1B2B">
        <w:rPr>
          <w:rFonts w:ascii="Times New Roman" w:hAnsi="Times New Roman"/>
          <w:sz w:val="20"/>
          <w:szCs w:val="20"/>
        </w:rPr>
        <w:t xml:space="preserve"> 2011;</w:t>
      </w:r>
      <w:r>
        <w:rPr>
          <w:rFonts w:ascii="Times New Roman" w:hAnsi="Times New Roman"/>
          <w:sz w:val="20"/>
          <w:szCs w:val="20"/>
        </w:rPr>
        <w:t xml:space="preserve"> </w:t>
      </w:r>
      <w:r w:rsidRPr="002E1B2B">
        <w:rPr>
          <w:rFonts w:ascii="Times New Roman" w:hAnsi="Times New Roman"/>
          <w:sz w:val="20"/>
          <w:szCs w:val="20"/>
        </w:rPr>
        <w:t>8:</w:t>
      </w:r>
      <w:r>
        <w:rPr>
          <w:rFonts w:ascii="Times New Roman" w:hAnsi="Times New Roman"/>
          <w:sz w:val="20"/>
          <w:szCs w:val="20"/>
        </w:rPr>
        <w:t xml:space="preserve"> </w:t>
      </w:r>
      <w:r w:rsidRPr="002E1B2B">
        <w:rPr>
          <w:rFonts w:ascii="Times New Roman" w:hAnsi="Times New Roman"/>
          <w:sz w:val="20"/>
          <w:szCs w:val="20"/>
        </w:rPr>
        <w:t>2299-2304.</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3. Song SH, Jeon H, Kim SW, Paick JS, Son H. The prevalence and risk factors of female sexual dysfunction in young Korean women: An internet-based survey. Journal of Sexual Medicine</w:t>
      </w:r>
      <w:r>
        <w:rPr>
          <w:rFonts w:ascii="Times New Roman" w:hAnsi="Times New Roman"/>
          <w:sz w:val="20"/>
          <w:szCs w:val="20"/>
        </w:rPr>
        <w:t>.</w:t>
      </w:r>
      <w:r w:rsidRPr="002E1B2B">
        <w:rPr>
          <w:rFonts w:ascii="Times New Roman" w:hAnsi="Times New Roman"/>
          <w:sz w:val="20"/>
          <w:szCs w:val="20"/>
        </w:rPr>
        <w:t xml:space="preserve"> 2008;</w:t>
      </w:r>
      <w:r>
        <w:rPr>
          <w:rFonts w:ascii="Times New Roman" w:hAnsi="Times New Roman"/>
          <w:sz w:val="20"/>
          <w:szCs w:val="20"/>
        </w:rPr>
        <w:t xml:space="preserve"> </w:t>
      </w:r>
      <w:r w:rsidRPr="002E1B2B">
        <w:rPr>
          <w:rFonts w:ascii="Times New Roman" w:hAnsi="Times New Roman"/>
          <w:sz w:val="20"/>
          <w:szCs w:val="20"/>
        </w:rPr>
        <w:t>5:1694-1701.</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4. Bancroft J, Graham CA. The varied nature of women’s sexuality: unresolved issues and a theoretical approach. Hormones and Behavior</w:t>
      </w:r>
      <w:r>
        <w:rPr>
          <w:rFonts w:ascii="Times New Roman" w:hAnsi="Times New Roman"/>
          <w:sz w:val="20"/>
          <w:szCs w:val="20"/>
        </w:rPr>
        <w:t>.</w:t>
      </w:r>
      <w:r w:rsidRPr="002E1B2B">
        <w:rPr>
          <w:rFonts w:ascii="Times New Roman" w:hAnsi="Times New Roman"/>
          <w:sz w:val="20"/>
          <w:szCs w:val="20"/>
        </w:rPr>
        <w:t xml:space="preserve"> 2011;</w:t>
      </w:r>
      <w:r>
        <w:rPr>
          <w:rFonts w:ascii="Times New Roman" w:hAnsi="Times New Roman"/>
          <w:sz w:val="20"/>
          <w:szCs w:val="20"/>
        </w:rPr>
        <w:t xml:space="preserve"> </w:t>
      </w:r>
      <w:r w:rsidRPr="002E1B2B">
        <w:rPr>
          <w:rFonts w:ascii="Times New Roman" w:hAnsi="Times New Roman"/>
          <w:sz w:val="20"/>
          <w:szCs w:val="20"/>
        </w:rPr>
        <w:t xml:space="preserve">59(5):717-29.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5. Tehrani F, Farahmand M, Simbar M, Malek Afzali H. Factors associated with sexual dysfunction; a population based study in Iranian reproductive age women. Arch Iran Medicine</w:t>
      </w:r>
      <w:r>
        <w:rPr>
          <w:rFonts w:ascii="Times New Roman" w:hAnsi="Times New Roman"/>
          <w:sz w:val="20"/>
          <w:szCs w:val="20"/>
        </w:rPr>
        <w:t>.</w:t>
      </w:r>
      <w:r w:rsidRPr="002E1B2B">
        <w:rPr>
          <w:rFonts w:ascii="Times New Roman" w:hAnsi="Times New Roman"/>
          <w:sz w:val="20"/>
          <w:szCs w:val="20"/>
        </w:rPr>
        <w:t xml:space="preserve"> 2014;</w:t>
      </w:r>
      <w:r>
        <w:rPr>
          <w:rFonts w:ascii="Times New Roman" w:hAnsi="Times New Roman"/>
          <w:sz w:val="20"/>
          <w:szCs w:val="20"/>
        </w:rPr>
        <w:t xml:space="preserve"> </w:t>
      </w:r>
      <w:r w:rsidRPr="002E1B2B">
        <w:rPr>
          <w:rFonts w:ascii="Times New Roman" w:hAnsi="Times New Roman"/>
          <w:sz w:val="20"/>
          <w:szCs w:val="20"/>
        </w:rPr>
        <w:t>17:679</w:t>
      </w:r>
      <w:r>
        <w:rPr>
          <w:rFonts w:ascii="Times New Roman" w:hAnsi="Times New Roman"/>
          <w:sz w:val="20"/>
          <w:szCs w:val="20"/>
        </w:rPr>
        <w:t>-84</w:t>
      </w:r>
      <w:r w:rsidRPr="002E1B2B">
        <w:rPr>
          <w:rFonts w:ascii="Times New Roman" w:hAnsi="Times New Roman"/>
          <w:sz w:val="20"/>
          <w:szCs w:val="20"/>
        </w:rPr>
        <w:t>.</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6. Gölbaşı Z, Tuğut N, Şentürk Erenel A, Eroğlu K. Jinekoloji polikliniğine başvuran evli kadınlarda cinsel işlev bozukluğu yaygınlığı ve ilişkili bazı faktörler. Cumhuriyet Tıp Derg</w:t>
      </w:r>
      <w:r>
        <w:rPr>
          <w:rFonts w:ascii="Times New Roman" w:hAnsi="Times New Roman"/>
          <w:sz w:val="20"/>
          <w:szCs w:val="20"/>
        </w:rPr>
        <w:t>.</w:t>
      </w:r>
      <w:r w:rsidRPr="002E1B2B">
        <w:rPr>
          <w:rFonts w:ascii="Times New Roman" w:hAnsi="Times New Roman"/>
          <w:sz w:val="20"/>
          <w:szCs w:val="20"/>
        </w:rPr>
        <w:t xml:space="preserve"> 2014; 36: 1-10</w:t>
      </w:r>
      <w:r>
        <w:rPr>
          <w:rFonts w:ascii="Times New Roman" w:hAnsi="Times New Roman"/>
          <w:sz w:val="20"/>
          <w:szCs w:val="20"/>
        </w:rPr>
        <w:t>.</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7. Ege E, Akın B, Yaralı Arslan S, Bilgili N. Sağlıklı kadınlarda cinsel fonksiyon bozukluğu sıklığı ve risk faktörleri. TÜBAV Bilim Dergisi</w:t>
      </w:r>
      <w:r>
        <w:rPr>
          <w:rFonts w:ascii="Times New Roman" w:hAnsi="Times New Roman"/>
          <w:sz w:val="20"/>
          <w:szCs w:val="20"/>
        </w:rPr>
        <w:t>.</w:t>
      </w:r>
      <w:r w:rsidRPr="002E1B2B">
        <w:rPr>
          <w:rFonts w:ascii="Times New Roman" w:hAnsi="Times New Roman"/>
          <w:sz w:val="20"/>
          <w:szCs w:val="20"/>
        </w:rPr>
        <w:t xml:space="preserve"> 2010; 3: 137-44.</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8.  Erbil N. Prevalence and risk factors for female sexual dysfunction among Turkish</w:t>
      </w:r>
      <w:r>
        <w:rPr>
          <w:rFonts w:ascii="Times New Roman" w:hAnsi="Times New Roman"/>
          <w:sz w:val="20"/>
          <w:szCs w:val="20"/>
        </w:rPr>
        <w:t xml:space="preserve"> </w:t>
      </w:r>
      <w:r w:rsidRPr="002E1B2B">
        <w:rPr>
          <w:rFonts w:ascii="Times New Roman" w:hAnsi="Times New Roman"/>
          <w:sz w:val="20"/>
          <w:szCs w:val="20"/>
        </w:rPr>
        <w:t>women attending a maternity and gynecology outpatient clinic. Sexuality and Disabilty</w:t>
      </w:r>
      <w:r>
        <w:rPr>
          <w:rFonts w:ascii="Times New Roman" w:hAnsi="Times New Roman"/>
          <w:sz w:val="20"/>
          <w:szCs w:val="20"/>
        </w:rPr>
        <w:t>.</w:t>
      </w:r>
      <w:r w:rsidRPr="002E1B2B">
        <w:rPr>
          <w:rFonts w:ascii="Times New Roman" w:hAnsi="Times New Roman"/>
          <w:sz w:val="20"/>
          <w:szCs w:val="20"/>
        </w:rPr>
        <w:t xml:space="preserve"> 2011;29: 377-86</w:t>
      </w:r>
      <w:r>
        <w:rPr>
          <w:rFonts w:ascii="Times New Roman" w:hAnsi="Times New Roman"/>
          <w:sz w:val="20"/>
          <w:szCs w:val="20"/>
        </w:rPr>
        <w:t>.</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9.  Çayan S, Akbay E, Bozlu M, Canpolat B, Acar D, Ulusoy E. The prevalence of female sexual dysfunction and potential risk factors that may impair sexual function in Turkish women. Urol Int</w:t>
      </w:r>
      <w:r>
        <w:rPr>
          <w:rFonts w:ascii="Times New Roman" w:hAnsi="Times New Roman"/>
          <w:sz w:val="20"/>
          <w:szCs w:val="20"/>
        </w:rPr>
        <w:t>.</w:t>
      </w:r>
      <w:r w:rsidRPr="002E1B2B">
        <w:rPr>
          <w:rFonts w:ascii="Times New Roman" w:hAnsi="Times New Roman"/>
          <w:sz w:val="20"/>
          <w:szCs w:val="20"/>
        </w:rPr>
        <w:t xml:space="preserve"> 2004; 72: 52-7</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10. Wellings K, Johnson AM.</w:t>
      </w:r>
      <w:r>
        <w:rPr>
          <w:rFonts w:ascii="Times New Roman" w:hAnsi="Times New Roman"/>
          <w:sz w:val="20"/>
          <w:szCs w:val="20"/>
        </w:rPr>
        <w:t xml:space="preserve"> </w:t>
      </w:r>
      <w:r w:rsidRPr="002E1B2B">
        <w:rPr>
          <w:rFonts w:ascii="Times New Roman" w:hAnsi="Times New Roman"/>
          <w:sz w:val="20"/>
          <w:szCs w:val="20"/>
        </w:rPr>
        <w:t>Framing Sexual Health Research: Adopting a Broader Perspective. The Lancet</w:t>
      </w:r>
      <w:r>
        <w:rPr>
          <w:rFonts w:ascii="Times New Roman" w:hAnsi="Times New Roman"/>
          <w:sz w:val="20"/>
          <w:szCs w:val="20"/>
        </w:rPr>
        <w:t>.</w:t>
      </w:r>
      <w:r w:rsidRPr="002E1B2B">
        <w:rPr>
          <w:rFonts w:ascii="Times New Roman" w:hAnsi="Times New Roman"/>
          <w:sz w:val="20"/>
          <w:szCs w:val="20"/>
        </w:rPr>
        <w:t xml:space="preserve"> 2013;</w:t>
      </w:r>
      <w:r>
        <w:rPr>
          <w:rFonts w:ascii="Times New Roman" w:hAnsi="Times New Roman"/>
          <w:sz w:val="20"/>
          <w:szCs w:val="20"/>
        </w:rPr>
        <w:t xml:space="preserve"> </w:t>
      </w:r>
      <w:r w:rsidRPr="002E1B2B">
        <w:rPr>
          <w:rFonts w:ascii="Times New Roman" w:hAnsi="Times New Roman"/>
          <w:sz w:val="20"/>
          <w:szCs w:val="20"/>
        </w:rPr>
        <w:t>382 (9907): 1759–1762.</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11. Golbasi Z, Senturk Erenel A, Tugut N. Knowledge and opinions of Turkish university students about contraceptive methods and emergency contraception. Sexualty and Disabilty</w:t>
      </w:r>
      <w:r>
        <w:rPr>
          <w:rFonts w:ascii="Times New Roman" w:hAnsi="Times New Roman"/>
          <w:sz w:val="20"/>
          <w:szCs w:val="20"/>
        </w:rPr>
        <w:t>.</w:t>
      </w:r>
      <w:r w:rsidRPr="002E1B2B">
        <w:rPr>
          <w:rFonts w:ascii="Times New Roman" w:hAnsi="Times New Roman"/>
          <w:sz w:val="20"/>
          <w:szCs w:val="20"/>
        </w:rPr>
        <w:t xml:space="preserve"> 2012; 30:77–87.</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12. Sonfi</w:t>
      </w:r>
      <w:r>
        <w:rPr>
          <w:rFonts w:ascii="Times New Roman" w:hAnsi="Times New Roman"/>
          <w:sz w:val="20"/>
          <w:szCs w:val="20"/>
        </w:rPr>
        <w:t>eld A,  Hasstedt K, Kavanaugh M</w:t>
      </w:r>
      <w:r w:rsidRPr="002E1B2B">
        <w:rPr>
          <w:rFonts w:ascii="Times New Roman" w:hAnsi="Times New Roman"/>
          <w:sz w:val="20"/>
          <w:szCs w:val="20"/>
        </w:rPr>
        <w:t>L, Anderson R. The social and economic benefits of women’s ability to determine whether and when to have children. 2013; New York, NY: Guttmacher Institute.</w:t>
      </w:r>
      <w:r w:rsidRPr="00B37F8A">
        <w:t xml:space="preserve">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13. Hall </w:t>
      </w:r>
      <w:r>
        <w:rPr>
          <w:rFonts w:ascii="Times New Roman" w:hAnsi="Times New Roman"/>
          <w:sz w:val="20"/>
          <w:szCs w:val="20"/>
        </w:rPr>
        <w:t>K</w:t>
      </w:r>
      <w:r w:rsidRPr="002E1B2B">
        <w:rPr>
          <w:rFonts w:ascii="Times New Roman" w:hAnsi="Times New Roman"/>
          <w:sz w:val="20"/>
          <w:szCs w:val="20"/>
        </w:rPr>
        <w:t xml:space="preserve">S, Moreau </w:t>
      </w:r>
      <w:r>
        <w:rPr>
          <w:rFonts w:ascii="Times New Roman" w:hAnsi="Times New Roman"/>
          <w:sz w:val="20"/>
          <w:szCs w:val="20"/>
        </w:rPr>
        <w:t>C</w:t>
      </w:r>
      <w:r w:rsidRPr="002E1B2B">
        <w:rPr>
          <w:rFonts w:ascii="Times New Roman" w:hAnsi="Times New Roman"/>
          <w:sz w:val="20"/>
          <w:szCs w:val="20"/>
        </w:rPr>
        <w:t xml:space="preserve">, Trussell </w:t>
      </w:r>
      <w:r>
        <w:rPr>
          <w:rFonts w:ascii="Times New Roman" w:hAnsi="Times New Roman"/>
          <w:sz w:val="20"/>
          <w:szCs w:val="20"/>
        </w:rPr>
        <w:t>J</w:t>
      </w:r>
      <w:r w:rsidRPr="002E1B2B">
        <w:rPr>
          <w:rFonts w:ascii="Times New Roman" w:hAnsi="Times New Roman"/>
          <w:sz w:val="20"/>
          <w:szCs w:val="20"/>
        </w:rPr>
        <w:t xml:space="preserve">, Barber J. Young women’s consistency of contraceptive use: Does </w:t>
      </w:r>
      <w:r w:rsidRPr="002E1B2B">
        <w:rPr>
          <w:rFonts w:ascii="Times New Roman" w:hAnsi="Times New Roman"/>
          <w:sz w:val="20"/>
          <w:szCs w:val="20"/>
        </w:rPr>
        <w:lastRenderedPageBreak/>
        <w:t>depression or stress matter? Contraception</w:t>
      </w:r>
      <w:r>
        <w:rPr>
          <w:rFonts w:ascii="Times New Roman" w:hAnsi="Times New Roman"/>
          <w:sz w:val="20"/>
          <w:szCs w:val="20"/>
        </w:rPr>
        <w:t>.</w:t>
      </w:r>
      <w:r w:rsidRPr="002E1B2B">
        <w:rPr>
          <w:rFonts w:ascii="Times New Roman" w:hAnsi="Times New Roman"/>
          <w:sz w:val="20"/>
          <w:szCs w:val="20"/>
        </w:rPr>
        <w:t xml:space="preserve"> 2013;</w:t>
      </w:r>
      <w:r>
        <w:rPr>
          <w:rFonts w:ascii="Times New Roman" w:hAnsi="Times New Roman"/>
          <w:sz w:val="20"/>
          <w:szCs w:val="20"/>
        </w:rPr>
        <w:t xml:space="preserve"> </w:t>
      </w:r>
      <w:r w:rsidRPr="002E1B2B">
        <w:rPr>
          <w:rFonts w:ascii="Times New Roman" w:hAnsi="Times New Roman"/>
          <w:sz w:val="20"/>
          <w:szCs w:val="20"/>
        </w:rPr>
        <w:t xml:space="preserve">88:641–49.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14. Higgins J</w:t>
      </w:r>
      <w:r>
        <w:rPr>
          <w:rFonts w:ascii="Times New Roman" w:hAnsi="Times New Roman"/>
          <w:sz w:val="20"/>
          <w:szCs w:val="20"/>
        </w:rPr>
        <w:t>A</w:t>
      </w:r>
      <w:r w:rsidRPr="002E1B2B">
        <w:rPr>
          <w:rFonts w:ascii="Times New Roman" w:hAnsi="Times New Roman"/>
          <w:sz w:val="20"/>
          <w:szCs w:val="20"/>
        </w:rPr>
        <w:t>. Sex as “Risk of Conception? Sexual Frames within the Family Planning Field. Handbook of Sexuality, Health, and Rights, edited by P. Aggleton and R. Parker. New York: Routledge</w:t>
      </w:r>
      <w:r>
        <w:rPr>
          <w:rFonts w:ascii="Times New Roman" w:hAnsi="Times New Roman"/>
          <w:sz w:val="20"/>
          <w:szCs w:val="20"/>
        </w:rPr>
        <w:t>.</w:t>
      </w:r>
      <w:r w:rsidRPr="002E1B2B">
        <w:rPr>
          <w:rFonts w:ascii="Times New Roman" w:hAnsi="Times New Roman"/>
          <w:sz w:val="20"/>
          <w:szCs w:val="20"/>
        </w:rPr>
        <w:t xml:space="preserve"> 2010</w:t>
      </w:r>
      <w:r>
        <w:rPr>
          <w:rFonts w:ascii="Times New Roman" w:hAnsi="Times New Roman"/>
          <w:sz w:val="20"/>
          <w:szCs w:val="20"/>
        </w:rPr>
        <w:t xml:space="preserve"> p:</w:t>
      </w:r>
      <w:r w:rsidRPr="002E1B2B">
        <w:rPr>
          <w:rFonts w:ascii="Times New Roman" w:hAnsi="Times New Roman"/>
          <w:sz w:val="20"/>
          <w:szCs w:val="20"/>
        </w:rPr>
        <w:t xml:space="preserve">153–63.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15. Higgins </w:t>
      </w:r>
      <w:r>
        <w:rPr>
          <w:rFonts w:ascii="Times New Roman" w:hAnsi="Times New Roman"/>
          <w:sz w:val="20"/>
          <w:szCs w:val="20"/>
        </w:rPr>
        <w:t>JA</w:t>
      </w:r>
      <w:r w:rsidRPr="002E1B2B">
        <w:rPr>
          <w:rFonts w:ascii="Times New Roman" w:hAnsi="Times New Roman"/>
          <w:sz w:val="20"/>
          <w:szCs w:val="20"/>
        </w:rPr>
        <w:t xml:space="preserve">, Smith NK. The Sexual Acceptability of Contraception: Reviewing the Literature and Building a New Concept. The </w:t>
      </w:r>
      <w:r>
        <w:rPr>
          <w:rFonts w:ascii="Times New Roman" w:hAnsi="Times New Roman"/>
          <w:sz w:val="20"/>
          <w:szCs w:val="20"/>
        </w:rPr>
        <w:t>J</w:t>
      </w:r>
      <w:r w:rsidRPr="002E1B2B">
        <w:rPr>
          <w:rFonts w:ascii="Times New Roman" w:hAnsi="Times New Roman"/>
          <w:sz w:val="20"/>
          <w:szCs w:val="20"/>
        </w:rPr>
        <w:t xml:space="preserve">ournal of </w:t>
      </w:r>
      <w:r>
        <w:rPr>
          <w:rFonts w:ascii="Times New Roman" w:hAnsi="Times New Roman"/>
          <w:sz w:val="20"/>
          <w:szCs w:val="20"/>
        </w:rPr>
        <w:t>S</w:t>
      </w:r>
      <w:r w:rsidRPr="002E1B2B">
        <w:rPr>
          <w:rFonts w:ascii="Times New Roman" w:hAnsi="Times New Roman"/>
          <w:sz w:val="20"/>
          <w:szCs w:val="20"/>
        </w:rPr>
        <w:t xml:space="preserve">exual </w:t>
      </w:r>
      <w:r>
        <w:rPr>
          <w:rFonts w:ascii="Times New Roman" w:hAnsi="Times New Roman"/>
          <w:sz w:val="20"/>
          <w:szCs w:val="20"/>
        </w:rPr>
        <w:t>R</w:t>
      </w:r>
      <w:r w:rsidRPr="002E1B2B">
        <w:rPr>
          <w:rFonts w:ascii="Times New Roman" w:hAnsi="Times New Roman"/>
          <w:sz w:val="20"/>
          <w:szCs w:val="20"/>
        </w:rPr>
        <w:t>esearch</w:t>
      </w:r>
      <w:r>
        <w:rPr>
          <w:rFonts w:ascii="Times New Roman" w:hAnsi="Times New Roman"/>
          <w:sz w:val="20"/>
          <w:szCs w:val="20"/>
        </w:rPr>
        <w:t>.</w:t>
      </w:r>
      <w:r w:rsidRPr="002E1B2B">
        <w:rPr>
          <w:rFonts w:ascii="Times New Roman" w:hAnsi="Times New Roman"/>
          <w:sz w:val="20"/>
          <w:szCs w:val="20"/>
        </w:rPr>
        <w:t xml:space="preserve"> 2016;</w:t>
      </w:r>
      <w:r>
        <w:rPr>
          <w:rFonts w:ascii="Times New Roman" w:hAnsi="Times New Roman"/>
          <w:sz w:val="20"/>
          <w:szCs w:val="20"/>
        </w:rPr>
        <w:t xml:space="preserve"> </w:t>
      </w:r>
      <w:r w:rsidRPr="002E1B2B">
        <w:rPr>
          <w:rFonts w:ascii="Times New Roman" w:hAnsi="Times New Roman"/>
          <w:sz w:val="20"/>
          <w:szCs w:val="20"/>
        </w:rPr>
        <w:t>53(4-5):417-56</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16. Gabalci E, Terzioglu F.  The effect of family planning methods used by women of reproductive age on their sexual life.  Sexuali</w:t>
      </w:r>
      <w:r>
        <w:rPr>
          <w:rFonts w:ascii="Times New Roman" w:hAnsi="Times New Roman"/>
          <w:sz w:val="20"/>
          <w:szCs w:val="20"/>
        </w:rPr>
        <w:t>ty and Disabilty. 2010; 28:275–</w:t>
      </w:r>
      <w:r w:rsidRPr="002E1B2B">
        <w:rPr>
          <w:rFonts w:ascii="Times New Roman" w:hAnsi="Times New Roman"/>
          <w:sz w:val="20"/>
          <w:szCs w:val="20"/>
        </w:rPr>
        <w:t xml:space="preserve">85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17. Zethraeus N, Dreber A, Ranehill E,  Blomberg L, Labrie F, Schoultz BV</w:t>
      </w:r>
      <w:r>
        <w:rPr>
          <w:rFonts w:ascii="Times New Roman" w:hAnsi="Times New Roman"/>
          <w:sz w:val="20"/>
          <w:szCs w:val="20"/>
        </w:rPr>
        <w:t>, at al.</w:t>
      </w:r>
      <w:r w:rsidRPr="002E1B2B">
        <w:rPr>
          <w:rFonts w:ascii="Times New Roman" w:hAnsi="Times New Roman"/>
          <w:sz w:val="20"/>
          <w:szCs w:val="20"/>
        </w:rPr>
        <w:t xml:space="preserve"> Combined oral contraceptives and sexual function in women a double-blind </w:t>
      </w:r>
      <w:proofErr w:type="gramStart"/>
      <w:r w:rsidRPr="002E1B2B">
        <w:rPr>
          <w:rFonts w:ascii="Times New Roman" w:hAnsi="Times New Roman"/>
          <w:sz w:val="20"/>
          <w:szCs w:val="20"/>
        </w:rPr>
        <w:t>randomized  placebo</w:t>
      </w:r>
      <w:proofErr w:type="gramEnd"/>
      <w:r w:rsidRPr="002E1B2B">
        <w:rPr>
          <w:rFonts w:ascii="Times New Roman" w:hAnsi="Times New Roman"/>
          <w:sz w:val="20"/>
          <w:szCs w:val="20"/>
        </w:rPr>
        <w:t xml:space="preserve"> controlled trial. J Clin Endocrinol Metab</w:t>
      </w:r>
      <w:r>
        <w:rPr>
          <w:rFonts w:ascii="Times New Roman" w:hAnsi="Times New Roman"/>
          <w:sz w:val="20"/>
          <w:szCs w:val="20"/>
        </w:rPr>
        <w:t>.</w:t>
      </w:r>
      <w:r w:rsidRPr="002E1B2B">
        <w:rPr>
          <w:rFonts w:ascii="Times New Roman" w:hAnsi="Times New Roman"/>
          <w:sz w:val="20"/>
          <w:szCs w:val="20"/>
        </w:rPr>
        <w:t xml:space="preserve"> 2016;101: 4046 – 4053.</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18. Shah MB, Hoffstetter S. Contraception and sexuality.  Minerva Ginecol. 2010;</w:t>
      </w:r>
      <w:r>
        <w:rPr>
          <w:rFonts w:ascii="Times New Roman" w:hAnsi="Times New Roman"/>
          <w:sz w:val="20"/>
          <w:szCs w:val="20"/>
        </w:rPr>
        <w:t xml:space="preserve"> </w:t>
      </w:r>
      <w:r w:rsidRPr="002E1B2B">
        <w:rPr>
          <w:rFonts w:ascii="Times New Roman" w:hAnsi="Times New Roman"/>
          <w:sz w:val="20"/>
          <w:szCs w:val="20"/>
        </w:rPr>
        <w:t>62(4):331-47.</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19. Kılıç A, Akyüz A, Yavan T, Güvenç G. Kontra</w:t>
      </w:r>
      <w:r>
        <w:rPr>
          <w:rFonts w:ascii="Times New Roman" w:hAnsi="Times New Roman"/>
          <w:sz w:val="20"/>
          <w:szCs w:val="20"/>
        </w:rPr>
        <w:t>sep</w:t>
      </w:r>
      <w:r w:rsidRPr="002E1B2B">
        <w:rPr>
          <w:rFonts w:ascii="Times New Roman" w:hAnsi="Times New Roman"/>
          <w:sz w:val="20"/>
          <w:szCs w:val="20"/>
        </w:rPr>
        <w:t>tiflerin cinsel yaşantıya etkileri üzerine niteliksel bir çalışma. Türkiye Klinikleri J Gynecol Obs. 2009;</w:t>
      </w:r>
      <w:r>
        <w:rPr>
          <w:rFonts w:ascii="Times New Roman" w:hAnsi="Times New Roman"/>
          <w:sz w:val="20"/>
          <w:szCs w:val="20"/>
        </w:rPr>
        <w:t xml:space="preserve"> </w:t>
      </w:r>
      <w:r w:rsidRPr="002E1B2B">
        <w:rPr>
          <w:rFonts w:ascii="Times New Roman" w:hAnsi="Times New Roman"/>
          <w:sz w:val="20"/>
          <w:szCs w:val="20"/>
        </w:rPr>
        <w:t>19(3):131-41</w:t>
      </w:r>
      <w:r>
        <w:rPr>
          <w:rFonts w:ascii="Times New Roman" w:hAnsi="Times New Roman"/>
          <w:sz w:val="20"/>
          <w:szCs w:val="20"/>
        </w:rPr>
        <w:t>.</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20. Grontvedta </w:t>
      </w:r>
      <w:r>
        <w:rPr>
          <w:rFonts w:ascii="Times New Roman" w:hAnsi="Times New Roman"/>
          <w:sz w:val="20"/>
          <w:szCs w:val="20"/>
        </w:rPr>
        <w:t>TV</w:t>
      </w:r>
      <w:r w:rsidRPr="002E1B2B">
        <w:rPr>
          <w:rFonts w:ascii="Times New Roman" w:hAnsi="Times New Roman"/>
          <w:sz w:val="20"/>
          <w:szCs w:val="20"/>
        </w:rPr>
        <w:t>, Grebe MN,  Lofa K, Gangestad S. Estrogenic and progestogenic effects of hormonal contraceptives in relation to sexual behavior: insights into extended sexuality</w:t>
      </w:r>
      <w:r>
        <w:rPr>
          <w:rFonts w:ascii="Times New Roman" w:hAnsi="Times New Roman"/>
          <w:sz w:val="20"/>
          <w:szCs w:val="20"/>
        </w:rPr>
        <w:t xml:space="preserve">. Evolution and Human Behavior. </w:t>
      </w:r>
      <w:r w:rsidRPr="002E1B2B">
        <w:rPr>
          <w:rFonts w:ascii="Times New Roman" w:hAnsi="Times New Roman"/>
          <w:sz w:val="20"/>
          <w:szCs w:val="20"/>
        </w:rPr>
        <w:t>2016</w:t>
      </w:r>
      <w:r>
        <w:rPr>
          <w:rFonts w:ascii="Times New Roman" w:hAnsi="Times New Roman"/>
          <w:sz w:val="20"/>
          <w:szCs w:val="20"/>
        </w:rPr>
        <w:t xml:space="preserve"> </w:t>
      </w:r>
      <w:r w:rsidRPr="002E1B2B">
        <w:rPr>
          <w:rFonts w:ascii="Times New Roman" w:hAnsi="Times New Roman"/>
          <w:sz w:val="20"/>
          <w:szCs w:val="20"/>
        </w:rPr>
        <w:t>(Baskıda).</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21. Mc Gahuey CA, Gelenberg AJ, Laukes CA, Moreno FA, Delgado PL, McKnight KM, </w:t>
      </w:r>
      <w:r>
        <w:rPr>
          <w:rFonts w:ascii="Times New Roman" w:hAnsi="Times New Roman"/>
          <w:sz w:val="20"/>
          <w:szCs w:val="20"/>
        </w:rPr>
        <w:t>at al.</w:t>
      </w:r>
      <w:r w:rsidRPr="002E1B2B">
        <w:rPr>
          <w:rFonts w:ascii="Times New Roman" w:hAnsi="Times New Roman"/>
          <w:sz w:val="20"/>
          <w:szCs w:val="20"/>
        </w:rPr>
        <w:t xml:space="preserve"> The Arizona Sexual Experience Scale (ASEX): Reliability and validity. J Sex Marital Therapy. 2000;</w:t>
      </w:r>
      <w:r>
        <w:rPr>
          <w:rFonts w:ascii="Times New Roman" w:hAnsi="Times New Roman"/>
          <w:sz w:val="20"/>
          <w:szCs w:val="20"/>
        </w:rPr>
        <w:t xml:space="preserve"> </w:t>
      </w:r>
      <w:r w:rsidRPr="002E1B2B">
        <w:rPr>
          <w:rFonts w:ascii="Times New Roman" w:hAnsi="Times New Roman"/>
          <w:sz w:val="20"/>
          <w:szCs w:val="20"/>
        </w:rPr>
        <w:t xml:space="preserve">26(1):25-40.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22. Soykan A. The reliability and validity of arizona sexual experiences scale in Turkish ESRD patients undergoing hemodialysis. International </w:t>
      </w:r>
      <w:r>
        <w:rPr>
          <w:rFonts w:ascii="Times New Roman" w:hAnsi="Times New Roman"/>
          <w:sz w:val="20"/>
          <w:szCs w:val="20"/>
        </w:rPr>
        <w:t xml:space="preserve">Journal Impotance Research. 2004; </w:t>
      </w:r>
      <w:r w:rsidRPr="002E1B2B">
        <w:rPr>
          <w:rFonts w:ascii="Times New Roman" w:hAnsi="Times New Roman"/>
          <w:sz w:val="20"/>
          <w:szCs w:val="20"/>
        </w:rPr>
        <w:t>16</w:t>
      </w:r>
      <w:r>
        <w:rPr>
          <w:rFonts w:ascii="Times New Roman" w:hAnsi="Times New Roman"/>
          <w:sz w:val="20"/>
          <w:szCs w:val="20"/>
        </w:rPr>
        <w:t>:</w:t>
      </w:r>
      <w:r w:rsidRPr="002E1B2B">
        <w:rPr>
          <w:rFonts w:ascii="Times New Roman" w:hAnsi="Times New Roman"/>
          <w:sz w:val="20"/>
          <w:szCs w:val="20"/>
        </w:rPr>
        <w:t xml:space="preserve"> 531-34</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23. Hacettepe Üniversitesi Nüfus Etütleri Enstitüsü, “2013 Türkiye Nüfus ve Sağlık Araştırması”. Hacettepe Üniversitesi Nüfus Etütleri Enstitüsü, T.C. Kalkınma Bakanlığı ve TÜBİTAK, Ankara: 2014: 75-94</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24. Egelioğlu </w:t>
      </w:r>
      <w:r>
        <w:rPr>
          <w:rFonts w:ascii="Times New Roman" w:hAnsi="Times New Roman"/>
          <w:sz w:val="20"/>
          <w:szCs w:val="20"/>
        </w:rPr>
        <w:t>Çetişli</w:t>
      </w:r>
      <w:r w:rsidRPr="002E1B2B">
        <w:rPr>
          <w:rFonts w:ascii="Times New Roman" w:hAnsi="Times New Roman"/>
          <w:sz w:val="20"/>
          <w:szCs w:val="20"/>
        </w:rPr>
        <w:t xml:space="preserve"> N, Top D, Arkan G,  Kaba F, Ertop F. Evli Kadınların Kullandıkları Aile Planlaması Yönteminin Cinsel Yaşam ve Benlik Saygısına Etkisi. Hemşirelikte Eğitim </w:t>
      </w:r>
      <w:r>
        <w:rPr>
          <w:rFonts w:ascii="Times New Roman" w:hAnsi="Times New Roman"/>
          <w:sz w:val="20"/>
          <w:szCs w:val="20"/>
        </w:rPr>
        <w:t>v</w:t>
      </w:r>
      <w:r w:rsidRPr="002E1B2B">
        <w:rPr>
          <w:rFonts w:ascii="Times New Roman" w:hAnsi="Times New Roman"/>
          <w:sz w:val="20"/>
          <w:szCs w:val="20"/>
        </w:rPr>
        <w:t xml:space="preserve">e Araştırma </w:t>
      </w:r>
      <w:r>
        <w:rPr>
          <w:rFonts w:ascii="Times New Roman" w:hAnsi="Times New Roman"/>
          <w:sz w:val="20"/>
          <w:szCs w:val="20"/>
        </w:rPr>
        <w:t>D</w:t>
      </w:r>
      <w:r w:rsidRPr="002E1B2B">
        <w:rPr>
          <w:rFonts w:ascii="Times New Roman" w:hAnsi="Times New Roman"/>
          <w:sz w:val="20"/>
          <w:szCs w:val="20"/>
        </w:rPr>
        <w:t>ergisi</w:t>
      </w:r>
      <w:r>
        <w:rPr>
          <w:rFonts w:ascii="Times New Roman" w:hAnsi="Times New Roman"/>
          <w:sz w:val="20"/>
          <w:szCs w:val="20"/>
        </w:rPr>
        <w:t>.</w:t>
      </w:r>
      <w:r w:rsidRPr="002E1B2B">
        <w:rPr>
          <w:rFonts w:ascii="Times New Roman" w:hAnsi="Times New Roman"/>
          <w:sz w:val="20"/>
          <w:szCs w:val="20"/>
        </w:rPr>
        <w:t xml:space="preserve"> 2016;13 (2): 101-</w:t>
      </w:r>
      <w:r>
        <w:rPr>
          <w:rFonts w:ascii="Times New Roman" w:hAnsi="Times New Roman"/>
          <w:sz w:val="20"/>
          <w:szCs w:val="20"/>
        </w:rPr>
        <w:t>6</w:t>
      </w:r>
    </w:p>
    <w:p w:rsidR="00622F23"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 xml:space="preserve">25. Yanıkkerem E, Acar H, Elem E. Withdrawal users’ perceptions of andexperiences with </w:t>
      </w:r>
      <w:r w:rsidRPr="002E1B2B">
        <w:rPr>
          <w:rFonts w:ascii="Times New Roman" w:hAnsi="Times New Roman"/>
          <w:sz w:val="20"/>
          <w:szCs w:val="20"/>
        </w:rPr>
        <w:lastRenderedPageBreak/>
        <w:t>conraceptive methods in Manisa, Tur</w:t>
      </w:r>
      <w:r>
        <w:rPr>
          <w:rFonts w:ascii="Times New Roman" w:hAnsi="Times New Roman"/>
          <w:sz w:val="20"/>
          <w:szCs w:val="20"/>
        </w:rPr>
        <w:t>key. Midwifery. 2006; 22(3):274-</w:t>
      </w:r>
      <w:r w:rsidRPr="002E1B2B">
        <w:rPr>
          <w:rFonts w:ascii="Times New Roman" w:hAnsi="Times New Roman"/>
          <w:sz w:val="20"/>
          <w:szCs w:val="20"/>
        </w:rPr>
        <w:t xml:space="preserve">84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26. Sabatini, R, Cagiano R. Comparison profiles of cycle control, side effects and sexual satisfaction of three hormonal contracept</w:t>
      </w:r>
      <w:r>
        <w:rPr>
          <w:rFonts w:ascii="Times New Roman" w:hAnsi="Times New Roman"/>
          <w:sz w:val="20"/>
          <w:szCs w:val="20"/>
        </w:rPr>
        <w:t>ive. Contraception. 2006; 74:220–2</w:t>
      </w:r>
      <w:r w:rsidRPr="002E1B2B">
        <w:rPr>
          <w:rFonts w:ascii="Times New Roman" w:hAnsi="Times New Roman"/>
          <w:sz w:val="20"/>
          <w:szCs w:val="20"/>
        </w:rPr>
        <w:t xml:space="preserve">3 </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26. Malmborg A, Persson E, Brynhildsen J</w:t>
      </w:r>
      <w:r>
        <w:rPr>
          <w:rFonts w:ascii="Times New Roman" w:hAnsi="Times New Roman"/>
          <w:sz w:val="20"/>
          <w:szCs w:val="20"/>
        </w:rPr>
        <w:t xml:space="preserve">, </w:t>
      </w:r>
      <w:r w:rsidRPr="002E1B2B">
        <w:rPr>
          <w:rFonts w:ascii="Times New Roman" w:hAnsi="Times New Roman"/>
          <w:sz w:val="20"/>
          <w:szCs w:val="20"/>
        </w:rPr>
        <w:t xml:space="preserve"> Hammar M. Hormonal contraception and sexual </w:t>
      </w:r>
      <w:r w:rsidRPr="002E1B2B">
        <w:rPr>
          <w:rFonts w:ascii="Times New Roman" w:hAnsi="Times New Roman"/>
          <w:sz w:val="20"/>
          <w:szCs w:val="20"/>
        </w:rPr>
        <w:lastRenderedPageBreak/>
        <w:t xml:space="preserve">desire: a questionnaire-based study of young Swedish women. European </w:t>
      </w:r>
      <w:r>
        <w:rPr>
          <w:rFonts w:ascii="Times New Roman" w:hAnsi="Times New Roman"/>
          <w:sz w:val="20"/>
          <w:szCs w:val="20"/>
        </w:rPr>
        <w:t>J</w:t>
      </w:r>
      <w:r w:rsidRPr="002E1B2B">
        <w:rPr>
          <w:rFonts w:ascii="Times New Roman" w:hAnsi="Times New Roman"/>
          <w:sz w:val="20"/>
          <w:szCs w:val="20"/>
        </w:rPr>
        <w:t xml:space="preserve">ournal of </w:t>
      </w:r>
      <w:r>
        <w:rPr>
          <w:rFonts w:ascii="Times New Roman" w:hAnsi="Times New Roman"/>
          <w:sz w:val="20"/>
          <w:szCs w:val="20"/>
        </w:rPr>
        <w:t>C</w:t>
      </w:r>
      <w:r w:rsidRPr="002E1B2B">
        <w:rPr>
          <w:rFonts w:ascii="Times New Roman" w:hAnsi="Times New Roman"/>
          <w:sz w:val="20"/>
          <w:szCs w:val="20"/>
        </w:rPr>
        <w:t xml:space="preserve">ontraception &amp; </w:t>
      </w:r>
      <w:r>
        <w:rPr>
          <w:rFonts w:ascii="Times New Roman" w:hAnsi="Times New Roman"/>
          <w:sz w:val="20"/>
          <w:szCs w:val="20"/>
        </w:rPr>
        <w:t>R</w:t>
      </w:r>
      <w:r w:rsidRPr="002E1B2B">
        <w:rPr>
          <w:rFonts w:ascii="Times New Roman" w:hAnsi="Times New Roman"/>
          <w:sz w:val="20"/>
          <w:szCs w:val="20"/>
        </w:rPr>
        <w:t xml:space="preserve">eproductive </w:t>
      </w:r>
      <w:r>
        <w:rPr>
          <w:rFonts w:ascii="Times New Roman" w:hAnsi="Times New Roman"/>
          <w:sz w:val="20"/>
          <w:szCs w:val="20"/>
        </w:rPr>
        <w:t>H</w:t>
      </w:r>
      <w:r w:rsidRPr="002E1B2B">
        <w:rPr>
          <w:rFonts w:ascii="Times New Roman" w:hAnsi="Times New Roman"/>
          <w:sz w:val="20"/>
          <w:szCs w:val="20"/>
        </w:rPr>
        <w:t xml:space="preserve">ealth </w:t>
      </w:r>
      <w:r>
        <w:rPr>
          <w:rFonts w:ascii="Times New Roman" w:hAnsi="Times New Roman"/>
          <w:sz w:val="20"/>
          <w:szCs w:val="20"/>
        </w:rPr>
        <w:t>C</w:t>
      </w:r>
      <w:r w:rsidRPr="002E1B2B">
        <w:rPr>
          <w:rFonts w:ascii="Times New Roman" w:hAnsi="Times New Roman"/>
          <w:sz w:val="20"/>
          <w:szCs w:val="20"/>
        </w:rPr>
        <w:t>are</w:t>
      </w:r>
      <w:r>
        <w:rPr>
          <w:rFonts w:ascii="Times New Roman" w:hAnsi="Times New Roman"/>
          <w:sz w:val="20"/>
          <w:szCs w:val="20"/>
        </w:rPr>
        <w:t>.</w:t>
      </w:r>
      <w:r w:rsidRPr="002E1B2B">
        <w:rPr>
          <w:rFonts w:ascii="Times New Roman" w:hAnsi="Times New Roman"/>
          <w:sz w:val="20"/>
          <w:szCs w:val="20"/>
        </w:rPr>
        <w:t xml:space="preserve">  2015; 21(2):158-67</w:t>
      </w:r>
    </w:p>
    <w:p w:rsidR="00622F23" w:rsidRPr="002E1B2B" w:rsidRDefault="00622F23" w:rsidP="00622F23">
      <w:pPr>
        <w:spacing w:line="240" w:lineRule="auto"/>
        <w:jc w:val="both"/>
        <w:rPr>
          <w:rFonts w:ascii="Times New Roman" w:hAnsi="Times New Roman"/>
          <w:sz w:val="20"/>
          <w:szCs w:val="20"/>
        </w:rPr>
      </w:pPr>
      <w:r w:rsidRPr="002E1B2B">
        <w:rPr>
          <w:rFonts w:ascii="Times New Roman" w:hAnsi="Times New Roman"/>
          <w:sz w:val="20"/>
          <w:szCs w:val="20"/>
        </w:rPr>
        <w:t>27. Sanders SA. Gr</w:t>
      </w:r>
      <w:r>
        <w:rPr>
          <w:rFonts w:ascii="Times New Roman" w:hAnsi="Times New Roman"/>
          <w:sz w:val="20"/>
          <w:szCs w:val="20"/>
        </w:rPr>
        <w:t>aham CA, Bass JL, Bancroft, J. A</w:t>
      </w:r>
      <w:r w:rsidRPr="002E1B2B">
        <w:rPr>
          <w:rFonts w:ascii="Times New Roman" w:hAnsi="Times New Roman"/>
          <w:sz w:val="20"/>
          <w:szCs w:val="20"/>
        </w:rPr>
        <w:t xml:space="preserve"> prospective study of the effects of oral contraceptives on sexuality and well-being and their relationship to discontinuation. Contraception</w:t>
      </w:r>
      <w:r>
        <w:rPr>
          <w:rFonts w:ascii="Times New Roman" w:hAnsi="Times New Roman"/>
          <w:sz w:val="20"/>
          <w:szCs w:val="20"/>
        </w:rPr>
        <w:t>.</w:t>
      </w:r>
      <w:r w:rsidRPr="002E1B2B">
        <w:rPr>
          <w:rFonts w:ascii="Times New Roman" w:hAnsi="Times New Roman"/>
          <w:sz w:val="20"/>
          <w:szCs w:val="20"/>
        </w:rPr>
        <w:t xml:space="preserve"> 2001;</w:t>
      </w:r>
      <w:r>
        <w:rPr>
          <w:rFonts w:ascii="Times New Roman" w:hAnsi="Times New Roman"/>
          <w:sz w:val="20"/>
          <w:szCs w:val="20"/>
        </w:rPr>
        <w:t xml:space="preserve"> 64(1)</w:t>
      </w:r>
      <w:r w:rsidRPr="002E1B2B">
        <w:rPr>
          <w:rFonts w:ascii="Times New Roman" w:hAnsi="Times New Roman"/>
          <w:sz w:val="20"/>
          <w:szCs w:val="20"/>
        </w:rPr>
        <w:t>:51–8</w:t>
      </w:r>
    </w:p>
    <w:p w:rsidR="00622F23" w:rsidRDefault="00622F23" w:rsidP="00622F23">
      <w:pPr>
        <w:spacing w:line="240" w:lineRule="auto"/>
        <w:jc w:val="both"/>
        <w:rPr>
          <w:rFonts w:ascii="Times New Roman" w:hAnsi="Times New Roman"/>
          <w:sz w:val="20"/>
          <w:szCs w:val="20"/>
        </w:rPr>
        <w:sectPr w:rsidR="00622F23" w:rsidSect="00D90902">
          <w:type w:val="continuous"/>
          <w:pgSz w:w="11906" w:h="16838"/>
          <w:pgMar w:top="1417" w:right="1417" w:bottom="1417" w:left="1417" w:header="708" w:footer="708" w:gutter="0"/>
          <w:cols w:num="2" w:space="708"/>
          <w:titlePg/>
          <w:docGrid w:linePitch="360"/>
        </w:sectPr>
      </w:pPr>
    </w:p>
    <w:p w:rsidR="00622F23" w:rsidRPr="002E1B2B" w:rsidRDefault="00622F23" w:rsidP="00622F23">
      <w:pPr>
        <w:spacing w:line="240" w:lineRule="auto"/>
        <w:jc w:val="both"/>
        <w:rPr>
          <w:rFonts w:ascii="Times New Roman" w:hAnsi="Times New Roman"/>
          <w:sz w:val="20"/>
          <w:szCs w:val="20"/>
        </w:rPr>
      </w:pPr>
    </w:p>
    <w:p w:rsidR="00622F23" w:rsidRPr="002E1B2B" w:rsidRDefault="00622F23" w:rsidP="00622F23">
      <w:pPr>
        <w:spacing w:line="240" w:lineRule="auto"/>
        <w:jc w:val="both"/>
        <w:rPr>
          <w:rFonts w:ascii="Times New Roman" w:hAnsi="Times New Roman"/>
          <w:b/>
          <w:sz w:val="20"/>
          <w:szCs w:val="20"/>
        </w:rPr>
      </w:pPr>
    </w:p>
    <w:p w:rsidR="00622F23" w:rsidRPr="002E1B2B" w:rsidRDefault="00622F23" w:rsidP="00622F23">
      <w:pPr>
        <w:spacing w:line="240" w:lineRule="auto"/>
        <w:jc w:val="both"/>
        <w:rPr>
          <w:rFonts w:ascii="Times New Roman" w:hAnsi="Times New Roman"/>
          <w:b/>
          <w:sz w:val="20"/>
          <w:szCs w:val="20"/>
        </w:rPr>
      </w:pPr>
    </w:p>
    <w:p w:rsidR="00622F23" w:rsidRPr="002E1B2B" w:rsidRDefault="00622F23" w:rsidP="00622F23">
      <w:pPr>
        <w:spacing w:line="240" w:lineRule="auto"/>
        <w:rPr>
          <w:rFonts w:ascii="Times New Roman" w:hAnsi="Times New Roman"/>
          <w:b/>
          <w:sz w:val="20"/>
          <w:szCs w:val="20"/>
        </w:rPr>
      </w:pPr>
    </w:p>
    <w:p w:rsidR="00622F23" w:rsidRDefault="00622F23" w:rsidP="00622F23">
      <w:pPr>
        <w:shd w:val="clear" w:color="auto" w:fill="FFFFFF"/>
        <w:spacing w:after="150" w:line="240" w:lineRule="auto"/>
        <w:rPr>
          <w:rFonts w:ascii="Helvetica" w:eastAsia="Times New Roman" w:hAnsi="Helvetica" w:cs="Helvetica"/>
          <w:color w:val="333333"/>
          <w:sz w:val="19"/>
          <w:szCs w:val="19"/>
          <w:lang w:eastAsia="tr-TR"/>
        </w:rPr>
        <w:sectPr w:rsidR="00622F23" w:rsidSect="00D90902">
          <w:type w:val="continuous"/>
          <w:pgSz w:w="11906" w:h="16838"/>
          <w:pgMar w:top="1417" w:right="1417" w:bottom="1417" w:left="1417" w:header="708" w:footer="708" w:gutter="0"/>
          <w:cols w:space="708"/>
          <w:titlePg/>
          <w:docGrid w:linePitch="360"/>
        </w:sectPr>
      </w:pPr>
    </w:p>
    <w:p w:rsidR="00622F23" w:rsidRPr="002F521E" w:rsidRDefault="00622F23" w:rsidP="00622F23">
      <w:pPr>
        <w:spacing w:line="480" w:lineRule="auto"/>
        <w:jc w:val="center"/>
        <w:rPr>
          <w:rFonts w:ascii="Times New Roman" w:hAnsi="Times New Roman" w:cs="Times New Roman"/>
          <w:b/>
          <w:sz w:val="24"/>
          <w:szCs w:val="24"/>
        </w:rPr>
      </w:pPr>
      <w:r w:rsidRPr="002F521E">
        <w:rPr>
          <w:rFonts w:ascii="Times New Roman" w:hAnsi="Times New Roman" w:cs="Times New Roman"/>
          <w:b/>
          <w:sz w:val="24"/>
          <w:szCs w:val="24"/>
        </w:rPr>
        <w:lastRenderedPageBreak/>
        <w:t>KANSER HASTALARINA YÖNELİK ONKOLOJİK FİZYOTERAPİ ve REHABİLİTASYON ÜNİTESİ’NDE SUNULAN HİZMETLERİN ANALİZİ</w:t>
      </w:r>
    </w:p>
    <w:p w:rsidR="00622F23" w:rsidRDefault="00622F23" w:rsidP="00622F23">
      <w:pPr>
        <w:spacing w:line="240" w:lineRule="auto"/>
        <w:jc w:val="center"/>
        <w:rPr>
          <w:rFonts w:ascii="Times New Roman" w:hAnsi="Times New Roman" w:cs="Times New Roman"/>
          <w:b/>
          <w:sz w:val="24"/>
          <w:szCs w:val="24"/>
        </w:rPr>
      </w:pPr>
      <w:r w:rsidRPr="00C85812">
        <w:rPr>
          <w:rFonts w:ascii="Times New Roman" w:hAnsi="Times New Roman" w:cs="Times New Roman"/>
          <w:b/>
          <w:sz w:val="24"/>
          <w:szCs w:val="24"/>
        </w:rPr>
        <w:t>İlke KESER</w:t>
      </w:r>
      <w:r w:rsidRPr="00C85812">
        <w:rPr>
          <w:rFonts w:ascii="Times New Roman" w:hAnsi="Times New Roman" w:cs="Times New Roman"/>
          <w:b/>
          <w:sz w:val="24"/>
          <w:szCs w:val="24"/>
          <w:vertAlign w:val="superscript"/>
        </w:rPr>
        <w:t>1</w:t>
      </w:r>
      <w:r w:rsidRPr="00C85812">
        <w:rPr>
          <w:rFonts w:ascii="Times New Roman" w:hAnsi="Times New Roman" w:cs="Times New Roman"/>
          <w:b/>
          <w:sz w:val="24"/>
          <w:szCs w:val="24"/>
        </w:rPr>
        <w:t>, Kadirhan ÖZDEMİR</w:t>
      </w:r>
      <w:r w:rsidRPr="00C85812">
        <w:rPr>
          <w:rFonts w:ascii="Times New Roman" w:hAnsi="Times New Roman" w:cs="Times New Roman"/>
          <w:b/>
          <w:sz w:val="24"/>
          <w:szCs w:val="24"/>
          <w:vertAlign w:val="superscript"/>
        </w:rPr>
        <w:t>1</w:t>
      </w:r>
      <w:r w:rsidRPr="00C85812">
        <w:rPr>
          <w:rFonts w:ascii="Times New Roman" w:hAnsi="Times New Roman" w:cs="Times New Roman"/>
          <w:b/>
          <w:sz w:val="24"/>
          <w:szCs w:val="24"/>
        </w:rPr>
        <w:t>, Burak ERTÜRK</w:t>
      </w:r>
      <w:r w:rsidRPr="00C85812">
        <w:rPr>
          <w:rFonts w:ascii="Times New Roman" w:hAnsi="Times New Roman" w:cs="Times New Roman"/>
          <w:b/>
          <w:sz w:val="24"/>
          <w:szCs w:val="24"/>
          <w:vertAlign w:val="superscript"/>
        </w:rPr>
        <w:t>1</w:t>
      </w:r>
      <w:r w:rsidRPr="00C85812">
        <w:rPr>
          <w:rFonts w:ascii="Times New Roman" w:hAnsi="Times New Roman" w:cs="Times New Roman"/>
          <w:b/>
          <w:sz w:val="24"/>
          <w:szCs w:val="24"/>
        </w:rPr>
        <w:t>, Miray HASPOLAT</w:t>
      </w:r>
      <w:r w:rsidRPr="00C85812">
        <w:rPr>
          <w:rFonts w:ascii="Times New Roman" w:hAnsi="Times New Roman" w:cs="Times New Roman"/>
          <w:b/>
          <w:sz w:val="24"/>
          <w:szCs w:val="24"/>
          <w:vertAlign w:val="superscript"/>
        </w:rPr>
        <w:t>1</w:t>
      </w:r>
      <w:r w:rsidRPr="00C85812">
        <w:rPr>
          <w:rFonts w:ascii="Times New Roman" w:hAnsi="Times New Roman" w:cs="Times New Roman"/>
          <w:b/>
          <w:sz w:val="24"/>
          <w:szCs w:val="24"/>
        </w:rPr>
        <w:t xml:space="preserve">, </w:t>
      </w:r>
    </w:p>
    <w:p w:rsidR="00622F23" w:rsidRDefault="00622F23" w:rsidP="00622F23">
      <w:pPr>
        <w:spacing w:line="240" w:lineRule="auto"/>
        <w:jc w:val="center"/>
        <w:rPr>
          <w:rFonts w:ascii="Times New Roman" w:hAnsi="Times New Roman" w:cs="Times New Roman"/>
          <w:b/>
          <w:sz w:val="24"/>
          <w:szCs w:val="24"/>
          <w:vertAlign w:val="superscript"/>
        </w:rPr>
      </w:pPr>
      <w:r w:rsidRPr="00C85812">
        <w:rPr>
          <w:rFonts w:ascii="Times New Roman" w:hAnsi="Times New Roman" w:cs="Times New Roman"/>
          <w:b/>
          <w:sz w:val="24"/>
          <w:szCs w:val="24"/>
        </w:rPr>
        <w:t>Tuğçe DUMAN</w:t>
      </w:r>
      <w:r w:rsidRPr="00C85812">
        <w:rPr>
          <w:rFonts w:ascii="Times New Roman" w:hAnsi="Times New Roman" w:cs="Times New Roman"/>
          <w:b/>
          <w:sz w:val="24"/>
          <w:szCs w:val="24"/>
          <w:vertAlign w:val="superscript"/>
        </w:rPr>
        <w:t>1</w:t>
      </w:r>
      <w:r w:rsidRPr="00C85812">
        <w:rPr>
          <w:rFonts w:ascii="Times New Roman" w:hAnsi="Times New Roman" w:cs="Times New Roman"/>
          <w:b/>
          <w:sz w:val="24"/>
          <w:szCs w:val="24"/>
        </w:rPr>
        <w:t>, Murat ESMER</w:t>
      </w:r>
      <w:r w:rsidRPr="00C85812">
        <w:rPr>
          <w:rFonts w:ascii="Times New Roman" w:hAnsi="Times New Roman" w:cs="Times New Roman"/>
          <w:b/>
          <w:sz w:val="24"/>
          <w:szCs w:val="24"/>
          <w:vertAlign w:val="superscript"/>
        </w:rPr>
        <w:t>1</w:t>
      </w:r>
    </w:p>
    <w:p w:rsidR="00622F23" w:rsidRDefault="00622F23" w:rsidP="00622F23">
      <w:pPr>
        <w:spacing w:line="240" w:lineRule="auto"/>
        <w:jc w:val="center"/>
        <w:rPr>
          <w:rFonts w:ascii="Times New Roman" w:hAnsi="Times New Roman" w:cs="Times New Roman"/>
          <w:i/>
          <w:sz w:val="20"/>
          <w:szCs w:val="20"/>
        </w:rPr>
      </w:pPr>
      <w:r w:rsidRPr="00C85812">
        <w:rPr>
          <w:rFonts w:ascii="Times New Roman" w:hAnsi="Times New Roman" w:cs="Times New Roman"/>
          <w:i/>
          <w:sz w:val="20"/>
          <w:szCs w:val="20"/>
          <w:vertAlign w:val="superscript"/>
        </w:rPr>
        <w:t>1</w:t>
      </w:r>
      <w:r w:rsidRPr="00C85812">
        <w:rPr>
          <w:rFonts w:ascii="Times New Roman" w:hAnsi="Times New Roman" w:cs="Times New Roman"/>
          <w:i/>
          <w:sz w:val="20"/>
          <w:szCs w:val="20"/>
        </w:rPr>
        <w:t>Gazi Üniversitesi Sağlık Bilimleri Fakültesi Fizyoterapi ve Rehabilitasyon Bölümü</w:t>
      </w:r>
    </w:p>
    <w:p w:rsidR="00622F23" w:rsidRDefault="00622F23" w:rsidP="00622F2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ÖZET</w:t>
      </w:r>
    </w:p>
    <w:p w:rsidR="00622F23" w:rsidRPr="003F1E22" w:rsidRDefault="00622F23" w:rsidP="00622F23">
      <w:pPr>
        <w:spacing w:line="240" w:lineRule="auto"/>
        <w:jc w:val="both"/>
        <w:rPr>
          <w:rFonts w:ascii="Times New Roman" w:hAnsi="Times New Roman" w:cs="Times New Roman"/>
          <w:sz w:val="19"/>
          <w:szCs w:val="19"/>
        </w:rPr>
      </w:pPr>
      <w:r w:rsidRPr="003F1E22">
        <w:rPr>
          <w:rFonts w:ascii="Times New Roman" w:hAnsi="Times New Roman" w:cs="Times New Roman"/>
          <w:sz w:val="19"/>
          <w:szCs w:val="19"/>
        </w:rPr>
        <w:t xml:space="preserve">Kanser tanısı alan bireylerin sayısındaki artış, erken tanılama, etkili cerrahi ve tıbbi tedavilerdeki gelişmeler kanser sonrası sağ kalımı artırmış; bu durum onkolojik </w:t>
      </w:r>
      <w:proofErr w:type="gramStart"/>
      <w:r w:rsidRPr="003F1E22">
        <w:rPr>
          <w:rFonts w:ascii="Times New Roman" w:hAnsi="Times New Roman" w:cs="Times New Roman"/>
          <w:sz w:val="19"/>
          <w:szCs w:val="19"/>
        </w:rPr>
        <w:t>fizyoterapi</w:t>
      </w:r>
      <w:proofErr w:type="gramEnd"/>
      <w:r w:rsidRPr="003F1E22">
        <w:rPr>
          <w:rFonts w:ascii="Times New Roman" w:hAnsi="Times New Roman" w:cs="Times New Roman"/>
          <w:sz w:val="19"/>
          <w:szCs w:val="19"/>
        </w:rPr>
        <w:t xml:space="preserve"> ve rehabilitasyon alanında ülkemizdeki ihtiyacı oluşturmuştur. Gazi Üniversitesi Sağlık Bilimleri Fakültesi Fizyoterapi ve Rehabilitasyon Bölümü Onkolojik Fizyoterapi ve Rehabilitasyon Ünitesi’ne yapılan başvuruları ve burada sunulan hizmetleri analiz etmektir. Fizyoterapi ve </w:t>
      </w:r>
      <w:proofErr w:type="gramStart"/>
      <w:r w:rsidRPr="003F1E22">
        <w:rPr>
          <w:rFonts w:ascii="Times New Roman" w:hAnsi="Times New Roman" w:cs="Times New Roman"/>
          <w:sz w:val="19"/>
          <w:szCs w:val="19"/>
        </w:rPr>
        <w:t>rehabilitasyon</w:t>
      </w:r>
      <w:proofErr w:type="gramEnd"/>
      <w:r w:rsidRPr="003F1E22">
        <w:rPr>
          <w:rFonts w:ascii="Times New Roman" w:hAnsi="Times New Roman" w:cs="Times New Roman"/>
          <w:sz w:val="19"/>
          <w:szCs w:val="19"/>
        </w:rPr>
        <w:t xml:space="preserve"> hizmeti almak amacıyla dış hasta olarak başvuran/yönlendirilen ve hastanede yatan hasta olarak konsülte edilen hastalara ait veriler incelendi. Hasta dosyaları 2009-2017 yılları arasında </w:t>
      </w:r>
      <w:proofErr w:type="gramStart"/>
      <w:r w:rsidRPr="003F1E22">
        <w:rPr>
          <w:rFonts w:ascii="Times New Roman" w:hAnsi="Times New Roman" w:cs="Times New Roman"/>
          <w:sz w:val="19"/>
          <w:szCs w:val="19"/>
        </w:rPr>
        <w:t>retrospektif</w:t>
      </w:r>
      <w:proofErr w:type="gramEnd"/>
      <w:r w:rsidRPr="003F1E22">
        <w:rPr>
          <w:rFonts w:ascii="Times New Roman" w:hAnsi="Times New Roman" w:cs="Times New Roman"/>
          <w:sz w:val="19"/>
          <w:szCs w:val="19"/>
        </w:rPr>
        <w:t xml:space="preserve"> olarak incelenerek, hastaların mevcut tanıları ve sunulan hizmetler analiz edildi. Ayrıca hasta, hasta yakını ve toplumun eğitimi kapsamında sunulan eğitim hizmetleri de kaydedildi. </w:t>
      </w:r>
      <w:proofErr w:type="gramStart"/>
      <w:r w:rsidRPr="003F1E22">
        <w:rPr>
          <w:rFonts w:ascii="Times New Roman" w:hAnsi="Times New Roman" w:cs="Times New Roman"/>
          <w:sz w:val="19"/>
          <w:szCs w:val="19"/>
        </w:rPr>
        <w:t xml:space="preserve">Tanılarına göre sıralandıklarında 508 hastanın %38,8’ini (n=197) lösemi, %29,1’ini (n=148) meme kanseri, %14,4’ünü (n=73) lenfoma, %11’ini (n=56) prostat kanseri, %1,6’sını (n=8) over kanseri, %1,4’ünü (n=7) diğer hematolojik maligniteler, %1,2’sini (n=6) uterus kanseri, %0,6’sını serviks kanseri (n=3), %0,6’sını baş-boyun kanseri (n=3), %0,6’sını akciğer kanseri (n=3) ve %0,6’sını endometrium kanseri (n=3), %0,2’sini (n=1) ise mesane kanseri tanıları oluşturmaktaydı. </w:t>
      </w:r>
      <w:proofErr w:type="gramEnd"/>
      <w:r w:rsidRPr="003F1E22">
        <w:rPr>
          <w:rFonts w:ascii="Times New Roman" w:hAnsi="Times New Roman" w:cs="Times New Roman"/>
          <w:sz w:val="19"/>
          <w:szCs w:val="19"/>
        </w:rPr>
        <w:t xml:space="preserve">Tüm hastaların %54,5’i (n=277) yatarak onkolojik </w:t>
      </w:r>
      <w:proofErr w:type="gramStart"/>
      <w:r w:rsidRPr="003F1E22">
        <w:rPr>
          <w:rFonts w:ascii="Times New Roman" w:hAnsi="Times New Roman" w:cs="Times New Roman"/>
          <w:sz w:val="19"/>
          <w:szCs w:val="19"/>
        </w:rPr>
        <w:t>fizyoterapi</w:t>
      </w:r>
      <w:proofErr w:type="gramEnd"/>
      <w:r w:rsidRPr="003F1E22">
        <w:rPr>
          <w:rFonts w:ascii="Times New Roman" w:hAnsi="Times New Roman" w:cs="Times New Roman"/>
          <w:sz w:val="19"/>
          <w:szCs w:val="19"/>
        </w:rPr>
        <w:t xml:space="preserve"> hizmeti ve %45,5’i (n=231) ise ayaktan fizyoterapi hizmeti aldı. Hasta ve hasta yakınlarına yönelik olarak 5 eğitim programı düzenlendi. Bir radyo programında halk sağlığı kapsamında bilgi verildi. Günümüzde kansere bağlı ikincil </w:t>
      </w:r>
      <w:proofErr w:type="gramStart"/>
      <w:r w:rsidRPr="003F1E22">
        <w:rPr>
          <w:rFonts w:ascii="Times New Roman" w:hAnsi="Times New Roman" w:cs="Times New Roman"/>
          <w:sz w:val="19"/>
          <w:szCs w:val="19"/>
        </w:rPr>
        <w:t>komplikasyonları</w:t>
      </w:r>
      <w:proofErr w:type="gramEnd"/>
      <w:r w:rsidRPr="003F1E22">
        <w:rPr>
          <w:rFonts w:ascii="Times New Roman" w:hAnsi="Times New Roman" w:cs="Times New Roman"/>
          <w:sz w:val="19"/>
          <w:szCs w:val="19"/>
        </w:rPr>
        <w:t xml:space="preserve"> gidererek veya azaltarak, hastaların yaşam kalitelerini artırmak giderek daha önemli hale gelmektedir. Bu çalışma, onkolojik </w:t>
      </w:r>
      <w:proofErr w:type="gramStart"/>
      <w:r w:rsidRPr="003F1E22">
        <w:rPr>
          <w:rFonts w:ascii="Times New Roman" w:hAnsi="Times New Roman" w:cs="Times New Roman"/>
          <w:sz w:val="19"/>
          <w:szCs w:val="19"/>
        </w:rPr>
        <w:t>fizyoterapi</w:t>
      </w:r>
      <w:proofErr w:type="gramEnd"/>
      <w:r w:rsidRPr="003F1E22">
        <w:rPr>
          <w:rFonts w:ascii="Times New Roman" w:hAnsi="Times New Roman" w:cs="Times New Roman"/>
          <w:sz w:val="19"/>
          <w:szCs w:val="19"/>
        </w:rPr>
        <w:t xml:space="preserve"> ve rehabilitasyon alanındaki ihtiyacı saptamak, hasta başvurularında talep edilen hizmetlerin çeşitlerini belirlemek ve ilerideki bilimsel ve mesleki çalışma alanlarını tespit etmek konularında yol gösterici olacaktır.</w:t>
      </w:r>
    </w:p>
    <w:p w:rsidR="00622F23" w:rsidRPr="003F1E22" w:rsidRDefault="00622F23" w:rsidP="00622F23">
      <w:pPr>
        <w:spacing w:line="240" w:lineRule="auto"/>
        <w:jc w:val="both"/>
        <w:rPr>
          <w:rFonts w:ascii="Times New Roman" w:hAnsi="Times New Roman" w:cs="Times New Roman"/>
          <w:sz w:val="19"/>
          <w:szCs w:val="19"/>
        </w:rPr>
      </w:pPr>
      <w:r w:rsidRPr="003F1E22">
        <w:rPr>
          <w:rFonts w:ascii="Times New Roman" w:hAnsi="Times New Roman" w:cs="Times New Roman"/>
          <w:b/>
          <w:sz w:val="19"/>
          <w:szCs w:val="19"/>
        </w:rPr>
        <w:t>Anahtar kelimeler:</w:t>
      </w:r>
      <w:r w:rsidRPr="003F1E22">
        <w:rPr>
          <w:rFonts w:ascii="Times New Roman" w:hAnsi="Times New Roman" w:cs="Times New Roman"/>
          <w:sz w:val="19"/>
          <w:szCs w:val="19"/>
        </w:rPr>
        <w:t xml:space="preserve"> Hasta eğitimi,  koruyucu, egzersiz.</w:t>
      </w:r>
    </w:p>
    <w:p w:rsidR="00622F23" w:rsidRDefault="00622F23" w:rsidP="00622F23">
      <w:pPr>
        <w:spacing w:line="240" w:lineRule="auto"/>
        <w:jc w:val="center"/>
        <w:rPr>
          <w:rFonts w:ascii="Times New Roman" w:hAnsi="Times New Roman" w:cs="Times New Roman"/>
          <w:b/>
          <w:sz w:val="20"/>
          <w:szCs w:val="20"/>
          <w:lang w:val="en-US"/>
        </w:rPr>
      </w:pPr>
      <w:r w:rsidRPr="003F1E22">
        <w:rPr>
          <w:rFonts w:ascii="Times New Roman" w:hAnsi="Times New Roman" w:cs="Times New Roman"/>
          <w:b/>
          <w:sz w:val="20"/>
          <w:szCs w:val="20"/>
          <w:lang w:val="en-US"/>
        </w:rPr>
        <w:t>THE ANALYSIS OF THE PROVIDED SERVICES TO CANCER PATIENS AT ONCOLOGICAL REHABILITATION UNIT</w:t>
      </w:r>
    </w:p>
    <w:p w:rsidR="00622F23" w:rsidRDefault="00622F23" w:rsidP="00622F23">
      <w:pPr>
        <w:spacing w:line="240" w:lineRule="auto"/>
        <w:jc w:val="center"/>
        <w:rPr>
          <w:rFonts w:ascii="Times New Roman" w:hAnsi="Times New Roman" w:cs="Times New Roman"/>
          <w:b/>
          <w:sz w:val="20"/>
          <w:szCs w:val="20"/>
          <w:lang w:val="en-US"/>
        </w:rPr>
      </w:pPr>
      <w:r w:rsidRPr="00C85812">
        <w:rPr>
          <w:rFonts w:ascii="Times New Roman" w:hAnsi="Times New Roman" w:cs="Times New Roman"/>
          <w:b/>
          <w:sz w:val="20"/>
          <w:szCs w:val="20"/>
          <w:lang w:val="en-US"/>
        </w:rPr>
        <w:t>ABSTRACT</w:t>
      </w:r>
    </w:p>
    <w:p w:rsidR="00622F23" w:rsidRPr="003F1E22" w:rsidRDefault="00622F23" w:rsidP="00622F23">
      <w:pPr>
        <w:spacing w:line="240" w:lineRule="auto"/>
        <w:jc w:val="both"/>
        <w:rPr>
          <w:rFonts w:ascii="Times New Roman" w:hAnsi="Times New Roman" w:cs="Times New Roman"/>
          <w:sz w:val="19"/>
          <w:szCs w:val="19"/>
          <w:lang w:val="en-US"/>
        </w:rPr>
      </w:pPr>
      <w:r w:rsidRPr="003F1E22">
        <w:rPr>
          <w:rFonts w:ascii="Times New Roman" w:hAnsi="Times New Roman" w:cs="Times New Roman"/>
          <w:sz w:val="19"/>
          <w:szCs w:val="19"/>
          <w:lang w:val="en-US"/>
        </w:rPr>
        <w:t xml:space="preserve">The increase in the number of cancer diagnosed patients, early diagnose, the improvements in effective surgical and medical treatment enhanced survival after cancer, this situation constituted the need for oncologic physiotherapy and rehabilitation. To analyze applications and provided services in Gazi University Faculty of Health Sciences Oncological Physiotherapy and Rehabilitation Unit. The data’s of patients who were followed as </w:t>
      </w:r>
      <w:proofErr w:type="gramStart"/>
      <w:r w:rsidRPr="003F1E22">
        <w:rPr>
          <w:rFonts w:ascii="Times New Roman" w:hAnsi="Times New Roman" w:cs="Times New Roman"/>
          <w:sz w:val="19"/>
          <w:szCs w:val="19"/>
          <w:lang w:val="en-US"/>
        </w:rPr>
        <w:t>outpatient  applied</w:t>
      </w:r>
      <w:proofErr w:type="gramEnd"/>
      <w:r w:rsidRPr="003F1E22">
        <w:rPr>
          <w:rFonts w:ascii="Times New Roman" w:hAnsi="Times New Roman" w:cs="Times New Roman"/>
          <w:sz w:val="19"/>
          <w:szCs w:val="19"/>
          <w:lang w:val="en-US"/>
        </w:rPr>
        <w:t>/ referred as outpatient for oncological physiotherapy and rehabilitation service and as in-patients who were consulted were examined. Patient files between 2009-2017 years were examined retrospectively, the current diagnoses of the patients and also provided services were recorded. When sorted by diagnoses, 38.8% (n=197) of 508 patients were diagnosed as leukemia, 29.1% (n=148) breast cancer, 14.4% (n=73) prostate cancer, 1.6% (n=8) over cancer, 1.4% (n=7) other hematological malignancies, 1.2% (n = 6) uterine cancer, 0.6%</w:t>
      </w:r>
      <w:proofErr w:type="gramStart"/>
      <w:r w:rsidRPr="003F1E22">
        <w:rPr>
          <w:rFonts w:ascii="Times New Roman" w:hAnsi="Times New Roman" w:cs="Times New Roman"/>
          <w:sz w:val="19"/>
          <w:szCs w:val="19"/>
          <w:lang w:val="en-US"/>
        </w:rPr>
        <w:t xml:space="preserve">   (</w:t>
      </w:r>
      <w:proofErr w:type="gramEnd"/>
      <w:r w:rsidRPr="003F1E22">
        <w:rPr>
          <w:rFonts w:ascii="Times New Roman" w:hAnsi="Times New Roman" w:cs="Times New Roman"/>
          <w:sz w:val="19"/>
          <w:szCs w:val="19"/>
          <w:lang w:val="en-US"/>
        </w:rPr>
        <w:t>n=3), 0.6%   head and neck cancer (n = 3), 0.6%   lung cancer (n=3) and 0.6%   endometrium carcinoma (n=3), 0,2% (n=1) bladder cancer. 54.5% (n=277) of all patients received in-patient oncological physiotherapy service while 45.5% (n=231) received out-patient oncological physiotherapy service. Five training programs were organized for the patients and their relatives. Information was given in one radio program within public health</w:t>
      </w:r>
      <w:r w:rsidRPr="003F1E22">
        <w:rPr>
          <w:rFonts w:ascii="Times New Roman" w:hAnsi="Times New Roman" w:cs="Times New Roman"/>
          <w:sz w:val="19"/>
          <w:szCs w:val="19"/>
        </w:rPr>
        <w:t>.</w:t>
      </w:r>
      <w:r w:rsidRPr="003F1E22">
        <w:rPr>
          <w:rFonts w:ascii="Times New Roman" w:hAnsi="Times New Roman" w:cs="Times New Roman"/>
          <w:sz w:val="19"/>
          <w:szCs w:val="19"/>
          <w:lang w:val="en-US"/>
        </w:rPr>
        <w:t xml:space="preserve"> Today, increasing quality of life of patients by eliminating or reducing secondary complications due to cancer is becoming gradually important. This study will provide guidance in determining the need for oncological physiotherapy and rehabilitation, identifying the types of services requested in applications of patient, and establishing future scientific and professional working areas.</w:t>
      </w:r>
    </w:p>
    <w:p w:rsidR="00622F23" w:rsidRPr="00C85812" w:rsidRDefault="00622F23" w:rsidP="00622F23">
      <w:pPr>
        <w:spacing w:line="240" w:lineRule="auto"/>
        <w:jc w:val="both"/>
        <w:rPr>
          <w:rFonts w:ascii="Times New Roman" w:hAnsi="Times New Roman" w:cs="Times New Roman"/>
          <w:sz w:val="20"/>
          <w:szCs w:val="20"/>
        </w:rPr>
      </w:pPr>
      <w:r w:rsidRPr="00C85812">
        <w:rPr>
          <w:rFonts w:ascii="Times New Roman" w:hAnsi="Times New Roman" w:cs="Times New Roman"/>
          <w:b/>
          <w:sz w:val="20"/>
          <w:szCs w:val="20"/>
          <w:lang w:val="en-US"/>
        </w:rPr>
        <w:t>Key words:</w:t>
      </w:r>
      <w:r w:rsidRPr="00C85812">
        <w:rPr>
          <w:rFonts w:ascii="Times New Roman" w:hAnsi="Times New Roman" w:cs="Times New Roman"/>
          <w:sz w:val="20"/>
          <w:szCs w:val="20"/>
          <w:lang w:val="en-US"/>
        </w:rPr>
        <w:t xml:space="preserve"> Education of patient, preventive, exercise.</w:t>
      </w:r>
    </w:p>
    <w:p w:rsidR="00622F23" w:rsidRPr="00BD23B2" w:rsidRDefault="00622F23" w:rsidP="00622F23">
      <w:pPr>
        <w:spacing w:line="240" w:lineRule="auto"/>
        <w:rPr>
          <w:rFonts w:ascii="Times New Roman" w:hAnsi="Times New Roman"/>
          <w:color w:val="000000"/>
          <w:sz w:val="20"/>
          <w:szCs w:val="20"/>
        </w:rPr>
      </w:pPr>
      <w:r w:rsidRPr="00BD23B2">
        <w:rPr>
          <w:rFonts w:ascii="Times New Roman" w:hAnsi="Times New Roman"/>
          <w:color w:val="000000"/>
          <w:sz w:val="20"/>
          <w:szCs w:val="20"/>
        </w:rPr>
        <w:br w:type="page"/>
      </w:r>
    </w:p>
    <w:p w:rsidR="00622F23" w:rsidRDefault="00622F23" w:rsidP="00622F23">
      <w:pPr>
        <w:autoSpaceDE w:val="0"/>
        <w:autoSpaceDN w:val="0"/>
        <w:adjustRightInd w:val="0"/>
        <w:spacing w:after="0" w:line="480" w:lineRule="auto"/>
        <w:jc w:val="both"/>
        <w:rPr>
          <w:rFonts w:ascii="Times New Roman" w:hAnsi="Times New Roman"/>
          <w:b/>
          <w:caps/>
          <w:color w:val="000000"/>
          <w:sz w:val="24"/>
          <w:szCs w:val="24"/>
        </w:rPr>
        <w:sectPr w:rsidR="00622F23" w:rsidSect="00BD23B2">
          <w:headerReference w:type="default" r:id="rId19"/>
          <w:headerReference w:type="first" r:id="rId20"/>
          <w:footerReference w:type="first" r:id="rId21"/>
          <w:pgSz w:w="11906" w:h="16838"/>
          <w:pgMar w:top="1417" w:right="1417" w:bottom="1417" w:left="1417" w:header="708" w:footer="708" w:gutter="0"/>
          <w:cols w:space="708"/>
          <w:titlePg/>
          <w:docGrid w:linePitch="360"/>
        </w:sectPr>
      </w:pPr>
    </w:p>
    <w:p w:rsidR="00622F23" w:rsidRDefault="00622F23" w:rsidP="00622F23">
      <w:pPr>
        <w:spacing w:line="240" w:lineRule="auto"/>
        <w:jc w:val="both"/>
        <w:rPr>
          <w:rFonts w:ascii="Times New Roman" w:hAnsi="Times New Roman" w:cs="Times New Roman"/>
          <w:b/>
          <w:sz w:val="24"/>
          <w:szCs w:val="24"/>
        </w:rPr>
      </w:pPr>
      <w:r w:rsidRPr="002F521E">
        <w:rPr>
          <w:rFonts w:ascii="Times New Roman" w:hAnsi="Times New Roman" w:cs="Times New Roman"/>
          <w:b/>
          <w:sz w:val="24"/>
          <w:szCs w:val="24"/>
        </w:rPr>
        <w:lastRenderedPageBreak/>
        <w:t>GİRİŞ</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Türkiye Cumhuriyeti Sağlık Bakanlığı’nın verilerine göre, ülkemizde bir günde yaklaşık 450 kişi kanser teşhisi almaktadır</w:t>
      </w:r>
      <w:r w:rsidRPr="002F521E">
        <w:rPr>
          <w:rFonts w:ascii="Times New Roman" w:hAnsi="Times New Roman" w:cs="Times New Roman"/>
          <w:noProof/>
          <w:sz w:val="24"/>
          <w:szCs w:val="24"/>
        </w:rPr>
        <w:t xml:space="preserve"> (1)</w:t>
      </w:r>
      <w:r w:rsidRPr="002F521E">
        <w:rPr>
          <w:rFonts w:ascii="Times New Roman" w:hAnsi="Times New Roman" w:cs="Times New Roman"/>
          <w:sz w:val="24"/>
          <w:szCs w:val="24"/>
        </w:rPr>
        <w:t xml:space="preserve">. Türkiye’deki kanser istatistiklerine yeni tanılar üzerinden ulaşılabilmekte, kanser tanısı/tedavileri alan/almış olan toplam hasta sayısı ile ilgili resmi rakamlar </w:t>
      </w:r>
      <w:r>
        <w:rPr>
          <w:rFonts w:ascii="Times New Roman" w:hAnsi="Times New Roman" w:cs="Times New Roman"/>
          <w:sz w:val="24"/>
          <w:szCs w:val="24"/>
        </w:rPr>
        <w:t xml:space="preserve">ise </w:t>
      </w:r>
      <w:r w:rsidRPr="002F521E">
        <w:rPr>
          <w:rFonts w:ascii="Times New Roman" w:hAnsi="Times New Roman" w:cs="Times New Roman"/>
          <w:sz w:val="24"/>
          <w:szCs w:val="24"/>
        </w:rPr>
        <w:t xml:space="preserve">bilinmemektedir.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Kanser, vücudun farklı hücre gruplarını içeren 100’den fazla hastalık grubudur. Türkiye Cumhuriyeti Halk Sağlığı Kurumu Başkanlığı tarafından, 2017 yılında yayınlanan tüm yaş gruplarında en sık görülen kanser türleri cinsiyetlere göre ayrı ayrı incelenerek rapor edilmiştir.  Şu an için ulaşılabilen en güncel kanser istatistikleri (2014 yılına ait) bu raporda yer almaktadır. Erkeklerde trakea-bronş-akciğer kanseri, prostat, kolorektal, mesane, mide, non-hodgkin lenfoma, böbrek, larinks, tiroid, beyin-sinir sistemi kanserleri; kadınlarda ise meme, tiroid, kolorektal, uterus-korpus, trakea-bronş-akciğer, mide, over, non-hodgkin lenfoma, uterus-serviks, beyin-sinir sistemi kanserleri ilk 10 kanser arasındadır </w:t>
      </w:r>
      <w:r w:rsidRPr="002F521E">
        <w:rPr>
          <w:rFonts w:ascii="Times New Roman" w:hAnsi="Times New Roman" w:cs="Times New Roman"/>
          <w:noProof/>
          <w:sz w:val="24"/>
          <w:szCs w:val="24"/>
        </w:rPr>
        <w:t>(2)</w:t>
      </w:r>
      <w:r w:rsidRPr="002F521E">
        <w:rPr>
          <w:rFonts w:ascii="Times New Roman" w:hAnsi="Times New Roman" w:cs="Times New Roman"/>
          <w:sz w:val="24"/>
          <w:szCs w:val="24"/>
        </w:rPr>
        <w:t>. Kanser hastalarına bu kadar geniş bir çeşitlilikte tanılarda rastlanabilmektedir.</w:t>
      </w:r>
    </w:p>
    <w:p w:rsidR="00622F23"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Kanser tarama programları ile erken tanı ve etkili tedaviler sayesinde hastaların sağ kalım oranları artmıştır </w:t>
      </w:r>
      <w:r w:rsidRPr="002F521E">
        <w:rPr>
          <w:rFonts w:ascii="Times New Roman" w:hAnsi="Times New Roman" w:cs="Times New Roman"/>
          <w:noProof/>
          <w:sz w:val="24"/>
          <w:szCs w:val="24"/>
        </w:rPr>
        <w:t>(3, 4)</w:t>
      </w:r>
      <w:r w:rsidRPr="002F521E">
        <w:rPr>
          <w:rFonts w:ascii="Times New Roman" w:hAnsi="Times New Roman" w:cs="Times New Roman"/>
          <w:sz w:val="24"/>
          <w:szCs w:val="24"/>
        </w:rPr>
        <w:t xml:space="preserve">. Kanser tedavisinde amaç tümörü ortadan kaldırmak, tedavilerin toksik etkisini en aza indirmektir. Onkolojik tanı ve tedaviler geliştikçe ve sağ kalım oranları arttıkça uzun dönemde hastanın yönetimi ile ilgili destek sağlamak daha önemli hale gelmektedir </w:t>
      </w:r>
      <w:r w:rsidRPr="002F521E">
        <w:rPr>
          <w:rFonts w:ascii="Times New Roman" w:hAnsi="Times New Roman" w:cs="Times New Roman"/>
          <w:noProof/>
          <w:sz w:val="24"/>
          <w:szCs w:val="24"/>
        </w:rPr>
        <w:t>(5)</w:t>
      </w:r>
      <w:r w:rsidRPr="002F521E">
        <w:rPr>
          <w:rFonts w:ascii="Times New Roman" w:hAnsi="Times New Roman" w:cs="Times New Roman"/>
          <w:sz w:val="24"/>
          <w:szCs w:val="24"/>
        </w:rPr>
        <w:t xml:space="preserve">. Günümüzde kanserin tedavisi ile ilgili karar verilirken, en az yaşam süresi kadar yaşam kalitesinin de </w:t>
      </w:r>
      <w:proofErr w:type="gramStart"/>
      <w:r w:rsidRPr="002F521E">
        <w:rPr>
          <w:rFonts w:ascii="Times New Roman" w:hAnsi="Times New Roman" w:cs="Times New Roman"/>
          <w:sz w:val="24"/>
          <w:szCs w:val="24"/>
        </w:rPr>
        <w:t xml:space="preserve">önemli </w:t>
      </w:r>
      <w:r>
        <w:rPr>
          <w:rFonts w:ascii="Times New Roman" w:hAnsi="Times New Roman" w:cs="Times New Roman"/>
          <w:sz w:val="24"/>
          <w:szCs w:val="24"/>
        </w:rPr>
        <w:t xml:space="preserve">  </w:t>
      </w:r>
      <w:r w:rsidRPr="002F521E">
        <w:rPr>
          <w:rFonts w:ascii="Times New Roman" w:hAnsi="Times New Roman" w:cs="Times New Roman"/>
          <w:sz w:val="24"/>
          <w:szCs w:val="24"/>
        </w:rPr>
        <w:t>olduğu</w:t>
      </w:r>
      <w:proofErr w:type="gramEnd"/>
      <w:r w:rsidRPr="002F52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21E">
        <w:rPr>
          <w:rFonts w:ascii="Times New Roman" w:hAnsi="Times New Roman" w:cs="Times New Roman"/>
          <w:sz w:val="24"/>
          <w:szCs w:val="24"/>
        </w:rPr>
        <w:t xml:space="preserve">konusunda </w:t>
      </w:r>
      <w:r>
        <w:rPr>
          <w:rFonts w:ascii="Times New Roman" w:hAnsi="Times New Roman" w:cs="Times New Roman"/>
          <w:sz w:val="24"/>
          <w:szCs w:val="24"/>
        </w:rPr>
        <w:t xml:space="preserve"> </w:t>
      </w:r>
      <w:r w:rsidRPr="002F521E">
        <w:rPr>
          <w:rFonts w:ascii="Times New Roman" w:hAnsi="Times New Roman" w:cs="Times New Roman"/>
          <w:sz w:val="24"/>
          <w:szCs w:val="24"/>
        </w:rPr>
        <w:t xml:space="preserve">fikir </w:t>
      </w:r>
      <w:r>
        <w:rPr>
          <w:rFonts w:ascii="Times New Roman" w:hAnsi="Times New Roman" w:cs="Times New Roman"/>
          <w:sz w:val="24"/>
          <w:szCs w:val="24"/>
        </w:rPr>
        <w:t xml:space="preserve"> </w:t>
      </w:r>
      <w:r w:rsidRPr="002F521E">
        <w:rPr>
          <w:rFonts w:ascii="Times New Roman" w:hAnsi="Times New Roman" w:cs="Times New Roman"/>
          <w:sz w:val="24"/>
          <w:szCs w:val="24"/>
        </w:rPr>
        <w:t xml:space="preserve">birliğine varılmış durumdadır </w:t>
      </w:r>
      <w:r w:rsidRPr="002F521E">
        <w:rPr>
          <w:rFonts w:ascii="Times New Roman" w:hAnsi="Times New Roman" w:cs="Times New Roman"/>
          <w:noProof/>
          <w:sz w:val="24"/>
          <w:szCs w:val="24"/>
        </w:rPr>
        <w:t>(6)</w:t>
      </w:r>
      <w:r w:rsidRPr="002F521E">
        <w:rPr>
          <w:rFonts w:ascii="Times New Roman" w:hAnsi="Times New Roman" w:cs="Times New Roman"/>
          <w:sz w:val="24"/>
          <w:szCs w:val="24"/>
        </w:rPr>
        <w:t xml:space="preserve">. Kanser hastalarının bakımında sağlıkla ilişkili </w:t>
      </w:r>
    </w:p>
    <w:p w:rsidR="00622F23" w:rsidRDefault="00622F23" w:rsidP="00622F23">
      <w:pPr>
        <w:spacing w:line="240" w:lineRule="auto"/>
        <w:jc w:val="both"/>
        <w:rPr>
          <w:rFonts w:ascii="Times New Roman" w:hAnsi="Times New Roman" w:cs="Times New Roman"/>
          <w:sz w:val="24"/>
          <w:szCs w:val="24"/>
        </w:rPr>
      </w:pPr>
    </w:p>
    <w:p w:rsidR="00622F23" w:rsidRPr="002F521E" w:rsidRDefault="00622F23" w:rsidP="00622F23">
      <w:pPr>
        <w:spacing w:line="240" w:lineRule="auto"/>
        <w:jc w:val="both"/>
        <w:rPr>
          <w:rFonts w:ascii="Times New Roman" w:hAnsi="Times New Roman" w:cs="Times New Roman"/>
          <w:sz w:val="24"/>
          <w:szCs w:val="24"/>
        </w:rPr>
      </w:pPr>
      <w:proofErr w:type="gramStart"/>
      <w:r w:rsidRPr="002F521E">
        <w:rPr>
          <w:rFonts w:ascii="Times New Roman" w:hAnsi="Times New Roman" w:cs="Times New Roman"/>
          <w:sz w:val="24"/>
          <w:szCs w:val="24"/>
        </w:rPr>
        <w:t>yaşam</w:t>
      </w:r>
      <w:proofErr w:type="gramEnd"/>
      <w:r w:rsidRPr="002F521E">
        <w:rPr>
          <w:rFonts w:ascii="Times New Roman" w:hAnsi="Times New Roman" w:cs="Times New Roman"/>
          <w:sz w:val="24"/>
          <w:szCs w:val="24"/>
        </w:rPr>
        <w:t xml:space="preserve"> kalitesinin önemini pek çok klinisyen kavramış durumdadır </w:t>
      </w:r>
      <w:r w:rsidRPr="002F521E">
        <w:rPr>
          <w:rFonts w:ascii="Times New Roman" w:hAnsi="Times New Roman" w:cs="Times New Roman"/>
          <w:noProof/>
          <w:sz w:val="24"/>
          <w:szCs w:val="24"/>
        </w:rPr>
        <w:t>(7, 8)</w:t>
      </w:r>
      <w:r w:rsidRPr="002F521E">
        <w:rPr>
          <w:rFonts w:ascii="Times New Roman" w:hAnsi="Times New Roman" w:cs="Times New Roman"/>
          <w:sz w:val="24"/>
          <w:szCs w:val="24"/>
        </w:rPr>
        <w:t xml:space="preserve">. </w:t>
      </w:r>
      <w:r>
        <w:rPr>
          <w:rFonts w:ascii="Times New Roman" w:hAnsi="Times New Roman" w:cs="Times New Roman"/>
          <w:sz w:val="24"/>
          <w:szCs w:val="24"/>
        </w:rPr>
        <w:t>Onkolojik</w:t>
      </w:r>
      <w:r w:rsidRPr="002F521E">
        <w:rPr>
          <w:rFonts w:ascii="Times New Roman" w:hAnsi="Times New Roman" w:cs="Times New Roman"/>
          <w:sz w:val="24"/>
          <w:szCs w:val="24"/>
        </w:rPr>
        <w:t xml:space="preserve"> </w:t>
      </w:r>
      <w:proofErr w:type="gramStart"/>
      <w:r w:rsidRPr="002F521E">
        <w:rPr>
          <w:rFonts w:ascii="Times New Roman" w:hAnsi="Times New Roman" w:cs="Times New Roman"/>
          <w:sz w:val="24"/>
          <w:szCs w:val="24"/>
        </w:rPr>
        <w:t>rehabilitasyon</w:t>
      </w:r>
      <w:proofErr w:type="gramEnd"/>
      <w:r w:rsidRPr="002F521E">
        <w:rPr>
          <w:rFonts w:ascii="Times New Roman" w:hAnsi="Times New Roman" w:cs="Times New Roman"/>
          <w:sz w:val="24"/>
          <w:szCs w:val="24"/>
        </w:rPr>
        <w:t xml:space="preserve"> programında tedavilerin yan etkilerinin her birini göz önünde bulundurmak önemlidir </w:t>
      </w:r>
      <w:r w:rsidRPr="002F521E">
        <w:rPr>
          <w:rFonts w:ascii="Times New Roman" w:hAnsi="Times New Roman" w:cs="Times New Roman"/>
          <w:noProof/>
          <w:sz w:val="24"/>
          <w:szCs w:val="24"/>
        </w:rPr>
        <w:t>(9)</w:t>
      </w:r>
      <w:r w:rsidRPr="002F521E">
        <w:rPr>
          <w:rFonts w:ascii="Times New Roman" w:hAnsi="Times New Roman" w:cs="Times New Roman"/>
          <w:sz w:val="24"/>
          <w:szCs w:val="24"/>
        </w:rPr>
        <w:t xml:space="preserve">. Kanser veya kanserle ilişkili tedavilerin sonucunda uzun süre boyunca etkisini gösteren ve çoğu kanser hastasının deneyimlediği negatif fiziksel ve/veya psikolojik etkiler oluşmaktadır </w:t>
      </w:r>
      <w:r w:rsidRPr="002F521E">
        <w:rPr>
          <w:rFonts w:ascii="Times New Roman" w:hAnsi="Times New Roman" w:cs="Times New Roman"/>
          <w:noProof/>
          <w:sz w:val="24"/>
          <w:szCs w:val="24"/>
        </w:rPr>
        <w:t>(3, 4)</w:t>
      </w:r>
      <w:r w:rsidRPr="002F521E">
        <w:rPr>
          <w:rFonts w:ascii="Times New Roman" w:hAnsi="Times New Roman" w:cs="Times New Roman"/>
          <w:sz w:val="24"/>
          <w:szCs w:val="24"/>
        </w:rPr>
        <w:t xml:space="preserve">. Cerrahi, </w:t>
      </w:r>
      <w:proofErr w:type="gramStart"/>
      <w:r w:rsidRPr="002F521E">
        <w:rPr>
          <w:rFonts w:ascii="Times New Roman" w:hAnsi="Times New Roman" w:cs="Times New Roman"/>
          <w:sz w:val="24"/>
          <w:szCs w:val="24"/>
        </w:rPr>
        <w:t>kemoterapi</w:t>
      </w:r>
      <w:proofErr w:type="gramEnd"/>
      <w:r w:rsidRPr="002F521E">
        <w:rPr>
          <w:rFonts w:ascii="Times New Roman" w:hAnsi="Times New Roman" w:cs="Times New Roman"/>
          <w:sz w:val="24"/>
          <w:szCs w:val="24"/>
        </w:rPr>
        <w:t xml:space="preserve"> ve radyoterapiyi içeren tıbbi kanser tedavilerinin lenfödem, kardiak toksisite, periferal nöropati, kanserle ilişkili yorgunluk ve genel metabolik bozukluklar gibi yan etkileri olabilmektedir </w:t>
      </w:r>
      <w:r w:rsidRPr="002F521E">
        <w:rPr>
          <w:rFonts w:ascii="Times New Roman" w:hAnsi="Times New Roman" w:cs="Times New Roman"/>
          <w:noProof/>
          <w:sz w:val="24"/>
          <w:szCs w:val="24"/>
        </w:rPr>
        <w:t>(9)</w:t>
      </w:r>
      <w:r w:rsidRPr="002F521E">
        <w:rPr>
          <w:rFonts w:ascii="Times New Roman" w:hAnsi="Times New Roman" w:cs="Times New Roman"/>
          <w:sz w:val="24"/>
          <w:szCs w:val="24"/>
        </w:rPr>
        <w:t xml:space="preserve">. Cerrahi ile </w:t>
      </w:r>
      <w:proofErr w:type="gramStart"/>
      <w:r w:rsidRPr="002F521E">
        <w:rPr>
          <w:rFonts w:ascii="Times New Roman" w:hAnsi="Times New Roman" w:cs="Times New Roman"/>
          <w:sz w:val="24"/>
          <w:szCs w:val="24"/>
        </w:rPr>
        <w:t>enfeksiyon</w:t>
      </w:r>
      <w:proofErr w:type="gramEnd"/>
      <w:r w:rsidRPr="002F521E">
        <w:rPr>
          <w:rFonts w:ascii="Times New Roman" w:hAnsi="Times New Roman" w:cs="Times New Roman"/>
          <w:sz w:val="24"/>
          <w:szCs w:val="24"/>
        </w:rPr>
        <w:t xml:space="preserve">, kanama ve tromboz gibi akut komplikasyonların yanında; ağrı, eklem hareket genişliğinde kısıtlılıklar gibi kronik bozukluklar da görülebilmektedir. Dahası cerrahi tedavi sonrasında hastalar daha sedanter hale gelmektedir. Rekonstrüktif cerrahi sonrası gelişebilecek tıbbi sorunların da gözetilmesi gerekmektedir </w:t>
      </w:r>
      <w:r w:rsidRPr="002F521E">
        <w:rPr>
          <w:rFonts w:ascii="Times New Roman" w:hAnsi="Times New Roman" w:cs="Times New Roman"/>
          <w:noProof/>
          <w:sz w:val="24"/>
          <w:szCs w:val="24"/>
        </w:rPr>
        <w:t>(10)</w:t>
      </w:r>
      <w:r w:rsidRPr="002F521E">
        <w:rPr>
          <w:rFonts w:ascii="Times New Roman" w:hAnsi="Times New Roman" w:cs="Times New Roman"/>
          <w:sz w:val="24"/>
          <w:szCs w:val="24"/>
        </w:rPr>
        <w:t xml:space="preserve">.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Onkolojik </w:t>
      </w:r>
      <w:proofErr w:type="gramStart"/>
      <w:r w:rsidRPr="002F521E">
        <w:rPr>
          <w:rFonts w:ascii="Times New Roman" w:hAnsi="Times New Roman" w:cs="Times New Roman"/>
          <w:sz w:val="24"/>
          <w:szCs w:val="24"/>
        </w:rPr>
        <w:t>rehabilitasyon</w:t>
      </w:r>
      <w:proofErr w:type="gramEnd"/>
      <w:r w:rsidRPr="002F521E">
        <w:rPr>
          <w:rFonts w:ascii="Times New Roman" w:hAnsi="Times New Roman" w:cs="Times New Roman"/>
          <w:sz w:val="24"/>
          <w:szCs w:val="24"/>
        </w:rPr>
        <w:t xml:space="preserve">, kanser hastalarında hastalık süreci boyunca semptom yükünü azaltmayı, bağımsızlığı en üst düzeye çıkarmayı ve tıbbi açıdan karmaşık olan bu popülasyondaki yaşam kalitesini arttırmayı amaçlayan tıbbi bir süreçtir </w:t>
      </w:r>
      <w:r w:rsidRPr="002F521E">
        <w:rPr>
          <w:rFonts w:ascii="Times New Roman" w:hAnsi="Times New Roman" w:cs="Times New Roman"/>
          <w:noProof/>
          <w:sz w:val="24"/>
          <w:szCs w:val="24"/>
        </w:rPr>
        <w:t>(11)</w:t>
      </w:r>
      <w:r w:rsidRPr="002F521E">
        <w:rPr>
          <w:rFonts w:ascii="Times New Roman" w:hAnsi="Times New Roman" w:cs="Times New Roman"/>
          <w:sz w:val="24"/>
          <w:szCs w:val="24"/>
        </w:rPr>
        <w:t xml:space="preserve">. Başka bir ifade </w:t>
      </w:r>
      <w:proofErr w:type="gramStart"/>
      <w:r w:rsidRPr="002F521E">
        <w:rPr>
          <w:rFonts w:ascii="Times New Roman" w:hAnsi="Times New Roman" w:cs="Times New Roman"/>
          <w:sz w:val="24"/>
          <w:szCs w:val="24"/>
        </w:rPr>
        <w:t>ile,</w:t>
      </w:r>
      <w:proofErr w:type="gramEnd"/>
      <w:r w:rsidRPr="002F521E">
        <w:rPr>
          <w:rFonts w:ascii="Times New Roman" w:hAnsi="Times New Roman" w:cs="Times New Roman"/>
          <w:sz w:val="24"/>
          <w:szCs w:val="24"/>
        </w:rPr>
        <w:t xml:space="preserve"> kanserli bir bireyin maksimum fiziksel, sosyal, psikolojik ve mesleki işleyiş elde etmesinin sağlanması şeklinde tanımlanabilir </w:t>
      </w:r>
      <w:r w:rsidRPr="002F521E">
        <w:rPr>
          <w:rFonts w:ascii="Times New Roman" w:hAnsi="Times New Roman" w:cs="Times New Roman"/>
          <w:noProof/>
          <w:sz w:val="24"/>
          <w:szCs w:val="24"/>
        </w:rPr>
        <w:t>(12)</w:t>
      </w:r>
      <w:r w:rsidRPr="002F521E">
        <w:rPr>
          <w:rFonts w:ascii="Times New Roman" w:hAnsi="Times New Roman" w:cs="Times New Roman"/>
          <w:sz w:val="24"/>
          <w:szCs w:val="24"/>
        </w:rPr>
        <w:t xml:space="preserve">. Hastanın fiziksel, psikolojik ve bilişsel bozukluklarını teşhis ve tedavi etmek için kendi alanlarında yetkin </w:t>
      </w:r>
      <w:proofErr w:type="gramStart"/>
      <w:r w:rsidRPr="002F521E">
        <w:rPr>
          <w:rFonts w:ascii="Times New Roman" w:hAnsi="Times New Roman" w:cs="Times New Roman"/>
          <w:sz w:val="24"/>
          <w:szCs w:val="24"/>
        </w:rPr>
        <w:t>rehabilitasyon</w:t>
      </w:r>
      <w:proofErr w:type="gramEnd"/>
      <w:r w:rsidRPr="002F521E">
        <w:rPr>
          <w:rFonts w:ascii="Times New Roman" w:hAnsi="Times New Roman" w:cs="Times New Roman"/>
          <w:sz w:val="24"/>
          <w:szCs w:val="24"/>
        </w:rPr>
        <w:t xml:space="preserve"> uzmanları gerektirmektedir (11). Bu tanım, </w:t>
      </w:r>
      <w:r>
        <w:rPr>
          <w:rFonts w:ascii="Times New Roman" w:hAnsi="Times New Roman" w:cs="Times New Roman"/>
          <w:sz w:val="24"/>
          <w:szCs w:val="24"/>
        </w:rPr>
        <w:t xml:space="preserve">onkolojik </w:t>
      </w:r>
      <w:proofErr w:type="gramStart"/>
      <w:r>
        <w:rPr>
          <w:rFonts w:ascii="Times New Roman" w:hAnsi="Times New Roman" w:cs="Times New Roman"/>
          <w:sz w:val="24"/>
          <w:szCs w:val="24"/>
        </w:rPr>
        <w:t>rehabilitasyo</w:t>
      </w:r>
      <w:r w:rsidRPr="002F521E">
        <w:rPr>
          <w:rFonts w:ascii="Times New Roman" w:hAnsi="Times New Roman" w:cs="Times New Roman"/>
          <w:sz w:val="24"/>
          <w:szCs w:val="24"/>
        </w:rPr>
        <w:t>na</w:t>
      </w:r>
      <w:proofErr w:type="gramEnd"/>
      <w:r w:rsidRPr="002F521E">
        <w:rPr>
          <w:rFonts w:ascii="Times New Roman" w:hAnsi="Times New Roman" w:cs="Times New Roman"/>
          <w:sz w:val="24"/>
          <w:szCs w:val="24"/>
        </w:rPr>
        <w:t xml:space="preserve"> yaklaşım olarak, disiplinler arası ekip kavramını desteklemektedir </w:t>
      </w:r>
      <w:r w:rsidRPr="002F521E">
        <w:rPr>
          <w:rFonts w:ascii="Times New Roman" w:hAnsi="Times New Roman" w:cs="Times New Roman"/>
          <w:noProof/>
          <w:sz w:val="24"/>
          <w:szCs w:val="24"/>
        </w:rPr>
        <w:t>(13)</w:t>
      </w:r>
      <w:r w:rsidRPr="002F521E">
        <w:rPr>
          <w:rFonts w:ascii="Times New Roman" w:hAnsi="Times New Roman" w:cs="Times New Roman"/>
          <w:sz w:val="24"/>
          <w:szCs w:val="24"/>
        </w:rPr>
        <w:t xml:space="preserve">.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Epidemiyolojik çalışmalarda, kanser tanılı hastalar, onkolojik tedavileri sonrasında </w:t>
      </w:r>
      <w:proofErr w:type="gramStart"/>
      <w:r w:rsidRPr="002F521E">
        <w:rPr>
          <w:rFonts w:ascii="Times New Roman" w:hAnsi="Times New Roman" w:cs="Times New Roman"/>
          <w:sz w:val="24"/>
          <w:szCs w:val="24"/>
        </w:rPr>
        <w:lastRenderedPageBreak/>
        <w:t>rehabilitasyon</w:t>
      </w:r>
      <w:proofErr w:type="gramEnd"/>
      <w:r w:rsidRPr="002F521E">
        <w:rPr>
          <w:rFonts w:ascii="Times New Roman" w:hAnsi="Times New Roman" w:cs="Times New Roman"/>
          <w:sz w:val="24"/>
          <w:szCs w:val="24"/>
        </w:rPr>
        <w:t xml:space="preserve"> programları ile izlendiklerinde, ideal vücut ağırlığına ulaşma, kardiorespiratuar uygunluk, kuvvet, mobilite, nöromüsküler bütünlük ve psikososyal iyilik halinde daha iyi olma eğiliminde oldukları bildirilmiştir </w:t>
      </w:r>
      <w:r w:rsidRPr="002F521E">
        <w:rPr>
          <w:rFonts w:ascii="Times New Roman" w:hAnsi="Times New Roman" w:cs="Times New Roman"/>
          <w:noProof/>
          <w:sz w:val="24"/>
          <w:szCs w:val="24"/>
        </w:rPr>
        <w:t>(5)</w:t>
      </w:r>
      <w:r w:rsidRPr="002F521E">
        <w:rPr>
          <w:rFonts w:ascii="Times New Roman" w:hAnsi="Times New Roman" w:cs="Times New Roman"/>
          <w:sz w:val="24"/>
          <w:szCs w:val="24"/>
        </w:rPr>
        <w:t>.</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shd w:val="clear" w:color="auto" w:fill="FFFFFF"/>
        </w:rPr>
        <w:t xml:space="preserve">Yaşam kalitesini artırmakta egzersizin faydaları, gittikçe artan sayıdaki çalışmalar ile kanser tedavisi almakta olan hastalarda, daha iyi anlaşılmaktadır </w:t>
      </w:r>
      <w:r w:rsidRPr="002F521E">
        <w:rPr>
          <w:rFonts w:ascii="Times New Roman" w:hAnsi="Times New Roman" w:cs="Times New Roman"/>
          <w:noProof/>
          <w:sz w:val="24"/>
          <w:szCs w:val="24"/>
          <w:shd w:val="clear" w:color="auto" w:fill="FFFFFF"/>
        </w:rPr>
        <w:t>(14)</w:t>
      </w:r>
      <w:r w:rsidRPr="002F521E">
        <w:rPr>
          <w:rFonts w:ascii="Times New Roman" w:hAnsi="Times New Roman" w:cs="Times New Roman"/>
          <w:sz w:val="24"/>
          <w:szCs w:val="24"/>
          <w:shd w:val="clear" w:color="auto" w:fill="FFFFFF"/>
        </w:rPr>
        <w:t xml:space="preserve">. </w:t>
      </w:r>
      <w:r w:rsidRPr="002F521E">
        <w:rPr>
          <w:rFonts w:ascii="Times New Roman" w:hAnsi="Times New Roman" w:cs="Times New Roman"/>
          <w:sz w:val="24"/>
          <w:szCs w:val="24"/>
        </w:rPr>
        <w:t xml:space="preserve">Çok sayıda randomize çalışma, egzersiz programlarına katılan hastaların, </w:t>
      </w:r>
      <w:proofErr w:type="gramStart"/>
      <w:r w:rsidRPr="002F521E">
        <w:rPr>
          <w:rFonts w:ascii="Times New Roman" w:hAnsi="Times New Roman" w:cs="Times New Roman"/>
          <w:sz w:val="24"/>
          <w:szCs w:val="24"/>
        </w:rPr>
        <w:t>kemoterapi</w:t>
      </w:r>
      <w:proofErr w:type="gramEnd"/>
      <w:r w:rsidRPr="002F521E">
        <w:rPr>
          <w:rFonts w:ascii="Times New Roman" w:hAnsi="Times New Roman" w:cs="Times New Roman"/>
          <w:sz w:val="24"/>
          <w:szCs w:val="24"/>
        </w:rPr>
        <w:t xml:space="preserve"> veya radyoterapi sırasında kontrol hastalarına göre daha yüksek fiziksel fonksiyon seviyesine sahip olduğunu ve psikolojik problemler, yorgunluk ve diğer tedavi ile ilişkili semptomlardan daha az şikayet ettiğini göstermiştir </w:t>
      </w:r>
      <w:r w:rsidRPr="002F521E">
        <w:rPr>
          <w:rFonts w:ascii="Times New Roman" w:hAnsi="Times New Roman" w:cs="Times New Roman"/>
          <w:noProof/>
          <w:sz w:val="24"/>
          <w:szCs w:val="24"/>
        </w:rPr>
        <w:t>(15)</w:t>
      </w:r>
      <w:r w:rsidRPr="002F521E">
        <w:rPr>
          <w:rFonts w:ascii="Times New Roman" w:hAnsi="Times New Roman" w:cs="Times New Roman"/>
          <w:sz w:val="24"/>
          <w:szCs w:val="24"/>
        </w:rPr>
        <w:t>.</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Dünya’da en eski kanser hastanesi ile ilgili bilgilere, 1946 yılında rastlanmaktadır. </w:t>
      </w:r>
      <w:r>
        <w:rPr>
          <w:rFonts w:ascii="Times New Roman" w:hAnsi="Times New Roman" w:cs="Times New Roman"/>
          <w:sz w:val="24"/>
          <w:szCs w:val="24"/>
        </w:rPr>
        <w:t>Onkolojik</w:t>
      </w:r>
      <w:r w:rsidRPr="002F521E">
        <w:rPr>
          <w:rFonts w:ascii="Times New Roman" w:hAnsi="Times New Roman" w:cs="Times New Roman"/>
          <w:sz w:val="24"/>
          <w:szCs w:val="24"/>
        </w:rPr>
        <w:t xml:space="preserve"> </w:t>
      </w:r>
      <w:proofErr w:type="gramStart"/>
      <w:r w:rsidRPr="002F521E">
        <w:rPr>
          <w:rFonts w:ascii="Times New Roman" w:hAnsi="Times New Roman" w:cs="Times New Roman"/>
          <w:sz w:val="24"/>
          <w:szCs w:val="24"/>
        </w:rPr>
        <w:t>rehabilitasyon</w:t>
      </w:r>
      <w:proofErr w:type="gramEnd"/>
      <w:r w:rsidRPr="002F521E">
        <w:rPr>
          <w:rFonts w:ascii="Times New Roman" w:hAnsi="Times New Roman" w:cs="Times New Roman"/>
          <w:sz w:val="24"/>
          <w:szCs w:val="24"/>
        </w:rPr>
        <w:t xml:space="preserve"> ile ilgili uygulamaları içeren ilk basılı yayınlar </w:t>
      </w:r>
      <w:r w:rsidRPr="002F521E">
        <w:rPr>
          <w:rFonts w:ascii="Times New Roman" w:hAnsi="Times New Roman" w:cs="Times New Roman"/>
          <w:noProof/>
          <w:sz w:val="24"/>
          <w:szCs w:val="24"/>
        </w:rPr>
        <w:t>(16)</w:t>
      </w:r>
      <w:r w:rsidRPr="002F521E">
        <w:rPr>
          <w:rFonts w:ascii="Times New Roman" w:hAnsi="Times New Roman" w:cs="Times New Roman"/>
          <w:sz w:val="24"/>
          <w:szCs w:val="24"/>
        </w:rPr>
        <w:t xml:space="preserve"> 1948’de başlamış, daha sonra 1965 ve 1971 yıllarında </w:t>
      </w:r>
      <w:r w:rsidRPr="002F521E">
        <w:rPr>
          <w:rFonts w:ascii="Times New Roman" w:hAnsi="Times New Roman" w:cs="Times New Roman"/>
          <w:noProof/>
          <w:sz w:val="24"/>
          <w:szCs w:val="24"/>
        </w:rPr>
        <w:t>(17)</w:t>
      </w:r>
      <w:r w:rsidRPr="002F521E">
        <w:rPr>
          <w:rFonts w:ascii="Times New Roman" w:hAnsi="Times New Roman" w:cs="Times New Roman"/>
          <w:sz w:val="24"/>
          <w:szCs w:val="24"/>
        </w:rPr>
        <w:t xml:space="preserve"> devam etmiştir. Türkiye’de kanser hastalarına yönelik </w:t>
      </w:r>
      <w:r>
        <w:rPr>
          <w:rFonts w:ascii="Times New Roman" w:hAnsi="Times New Roman" w:cs="Times New Roman"/>
          <w:sz w:val="24"/>
          <w:szCs w:val="24"/>
        </w:rPr>
        <w:t xml:space="preserve">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hizmetlerinin analizine ait literatürde sınırlı sayıda yayın bulunmaktadır (18). Gazi Üniversitesi Sağlık Bilimleri Fakültesi Fizyoterapi ve Rehabilitasyon Bölümü Onkolojik Fizyoterapi ve Rehabilitasyon Ünitesi’nde sunulan hizmet</w:t>
      </w:r>
      <w:r>
        <w:rPr>
          <w:rFonts w:ascii="Times New Roman" w:hAnsi="Times New Roman" w:cs="Times New Roman"/>
          <w:sz w:val="24"/>
          <w:szCs w:val="24"/>
        </w:rPr>
        <w:t>lerin belirlenmesi, Türkiye’de</w:t>
      </w:r>
      <w:r w:rsidRPr="002F521E">
        <w:rPr>
          <w:rFonts w:ascii="Times New Roman" w:hAnsi="Times New Roman" w:cs="Times New Roman"/>
          <w:sz w:val="24"/>
          <w:szCs w:val="24"/>
        </w:rPr>
        <w:t xml:space="preserve"> </w:t>
      </w:r>
      <w:r>
        <w:rPr>
          <w:rFonts w:ascii="Times New Roman" w:hAnsi="Times New Roman" w:cs="Times New Roman"/>
          <w:sz w:val="24"/>
          <w:szCs w:val="24"/>
        </w:rPr>
        <w:t>bu</w:t>
      </w:r>
      <w:r w:rsidRPr="002F521E">
        <w:rPr>
          <w:rFonts w:ascii="Times New Roman" w:hAnsi="Times New Roman" w:cs="Times New Roman"/>
          <w:sz w:val="24"/>
          <w:szCs w:val="24"/>
        </w:rPr>
        <w:t xml:space="preserve"> alanındaki hasta ihtiyaçlarını, mesleki potansiyeli ortaya koyması açısından önemlidir. Bu çalışmanın amacı kuruluş yılından (2009 yılı) günümüze kadar (2017 yılı) </w:t>
      </w:r>
      <w:r>
        <w:rPr>
          <w:rFonts w:ascii="Times New Roman" w:hAnsi="Times New Roman" w:cs="Times New Roman"/>
          <w:sz w:val="24"/>
          <w:szCs w:val="24"/>
        </w:rPr>
        <w:t>ü</w:t>
      </w:r>
      <w:r w:rsidRPr="002F521E">
        <w:rPr>
          <w:rFonts w:ascii="Times New Roman" w:hAnsi="Times New Roman" w:cs="Times New Roman"/>
          <w:sz w:val="24"/>
          <w:szCs w:val="24"/>
        </w:rPr>
        <w:t>nite</w:t>
      </w:r>
      <w:r>
        <w:rPr>
          <w:rFonts w:ascii="Times New Roman" w:hAnsi="Times New Roman" w:cs="Times New Roman"/>
          <w:sz w:val="24"/>
          <w:szCs w:val="24"/>
        </w:rPr>
        <w:t>mizd</w:t>
      </w:r>
      <w:r w:rsidRPr="002F521E">
        <w:rPr>
          <w:rFonts w:ascii="Times New Roman" w:hAnsi="Times New Roman" w:cs="Times New Roman"/>
          <w:sz w:val="24"/>
          <w:szCs w:val="24"/>
        </w:rPr>
        <w:t>e yapılan başvurular ile bu</w:t>
      </w:r>
      <w:r>
        <w:rPr>
          <w:rFonts w:ascii="Times New Roman" w:hAnsi="Times New Roman" w:cs="Times New Roman"/>
          <w:sz w:val="24"/>
          <w:szCs w:val="24"/>
        </w:rPr>
        <w:t>rada</w:t>
      </w:r>
      <w:r w:rsidRPr="002F521E">
        <w:rPr>
          <w:rFonts w:ascii="Times New Roman" w:hAnsi="Times New Roman" w:cs="Times New Roman"/>
          <w:sz w:val="24"/>
          <w:szCs w:val="24"/>
        </w:rPr>
        <w:t xml:space="preserve"> sunulan hizmetleri analiz etmektir.</w:t>
      </w:r>
    </w:p>
    <w:p w:rsidR="00622F23" w:rsidRPr="002F521E" w:rsidRDefault="00622F23" w:rsidP="00622F23">
      <w:pPr>
        <w:spacing w:line="240" w:lineRule="auto"/>
        <w:jc w:val="both"/>
        <w:rPr>
          <w:rFonts w:ascii="Times New Roman" w:hAnsi="Times New Roman" w:cs="Times New Roman"/>
          <w:b/>
          <w:sz w:val="24"/>
          <w:szCs w:val="24"/>
        </w:rPr>
      </w:pPr>
      <w:r w:rsidRPr="002F521E">
        <w:rPr>
          <w:rFonts w:ascii="Times New Roman" w:hAnsi="Times New Roman" w:cs="Times New Roman"/>
          <w:b/>
          <w:sz w:val="24"/>
          <w:szCs w:val="24"/>
        </w:rPr>
        <w:t>GEREÇ VE YÖNTEM</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Bu çalışmada, Gazi Üniversitesi Sağlık Bilimleri Fakültesi Fizyoterapi ve Rehabilitasyon Bölümü Onkolojik Fizyoterapi ve Rehabilitasyon Ünitesi’ne 2009-2017 yılları arasında </w:t>
      </w:r>
      <w:r>
        <w:rPr>
          <w:rFonts w:ascii="Times New Roman" w:hAnsi="Times New Roman" w:cs="Times New Roman"/>
          <w:sz w:val="24"/>
          <w:szCs w:val="24"/>
        </w:rPr>
        <w:t>hizmet</w:t>
      </w:r>
      <w:r w:rsidRPr="002F521E">
        <w:rPr>
          <w:rFonts w:ascii="Times New Roman" w:hAnsi="Times New Roman" w:cs="Times New Roman"/>
          <w:sz w:val="24"/>
          <w:szCs w:val="24"/>
        </w:rPr>
        <w:t xml:space="preserve"> almak amacıyla yönlendirilen, hastanede yatarak veya ayaktan dış hasta olarak izlenen hastalara ait veriler analiz edildi. </w:t>
      </w:r>
    </w:p>
    <w:p w:rsidR="00622F23" w:rsidRPr="002F521E" w:rsidRDefault="00622F23" w:rsidP="00622F2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Hastalar </w:t>
      </w:r>
      <w:r w:rsidRPr="002F521E">
        <w:rPr>
          <w:rFonts w:ascii="Times New Roman" w:hAnsi="Times New Roman" w:cs="Times New Roman"/>
          <w:sz w:val="24"/>
          <w:szCs w:val="24"/>
        </w:rPr>
        <w:t>Gazi Üniversitesi Hastanesi’n</w:t>
      </w:r>
      <w:r>
        <w:rPr>
          <w:rFonts w:ascii="Times New Roman" w:hAnsi="Times New Roman" w:cs="Times New Roman"/>
          <w:sz w:val="24"/>
          <w:szCs w:val="24"/>
        </w:rPr>
        <w:t>in</w:t>
      </w:r>
      <w:r w:rsidRPr="002F521E">
        <w:rPr>
          <w:rFonts w:ascii="Times New Roman" w:hAnsi="Times New Roman" w:cs="Times New Roman"/>
          <w:sz w:val="24"/>
          <w:szCs w:val="24"/>
        </w:rPr>
        <w:t xml:space="preserve"> kemik iliği nakli yoğun bakım, hematoloji, kalp damar cerrahisi, genel cerrahi, plastik cerrahi, radyasyon onkolojisi, medikal onkoloji, üroloji, romatoloji ve algoloji</w:t>
      </w:r>
      <w:r>
        <w:rPr>
          <w:rFonts w:ascii="Times New Roman" w:hAnsi="Times New Roman" w:cs="Times New Roman"/>
          <w:sz w:val="24"/>
          <w:szCs w:val="24"/>
        </w:rPr>
        <w:t xml:space="preserve"> bölümlerinden yönlendirilmişt</w:t>
      </w:r>
      <w:r w:rsidRPr="002F521E">
        <w:rPr>
          <w:rFonts w:ascii="Times New Roman" w:hAnsi="Times New Roman" w:cs="Times New Roman"/>
          <w:sz w:val="24"/>
          <w:szCs w:val="24"/>
        </w:rPr>
        <w:t xml:space="preserve">ir. </w:t>
      </w:r>
      <w:r>
        <w:rPr>
          <w:rFonts w:ascii="Times New Roman" w:hAnsi="Times New Roman" w:cs="Times New Roman"/>
          <w:sz w:val="24"/>
          <w:szCs w:val="24"/>
        </w:rPr>
        <w:t xml:space="preserve">Ayrıca çeşitli </w:t>
      </w:r>
      <w:r w:rsidRPr="002F521E">
        <w:rPr>
          <w:rFonts w:ascii="Times New Roman" w:hAnsi="Times New Roman" w:cs="Times New Roman"/>
          <w:sz w:val="24"/>
          <w:szCs w:val="24"/>
        </w:rPr>
        <w:t xml:space="preserve">dış merkezlerden </w:t>
      </w:r>
      <w:r>
        <w:rPr>
          <w:rFonts w:ascii="Times New Roman" w:hAnsi="Times New Roman" w:cs="Times New Roman"/>
          <w:sz w:val="24"/>
          <w:szCs w:val="24"/>
        </w:rPr>
        <w:t xml:space="preserve">de başvuran hastalar kabul edilmiştir. </w:t>
      </w:r>
    </w:p>
    <w:p w:rsidR="00622F23" w:rsidRPr="002F521E" w:rsidRDefault="00622F23" w:rsidP="00622F23">
      <w:pPr>
        <w:spacing w:line="240" w:lineRule="auto"/>
        <w:jc w:val="both"/>
        <w:rPr>
          <w:rFonts w:ascii="Times New Roman" w:hAnsi="Times New Roman" w:cs="Times New Roman"/>
          <w:sz w:val="24"/>
          <w:szCs w:val="24"/>
        </w:rPr>
      </w:pPr>
      <w:r>
        <w:rPr>
          <w:rFonts w:ascii="Times New Roman" w:hAnsi="Times New Roman" w:cs="Times New Roman"/>
          <w:sz w:val="24"/>
          <w:szCs w:val="24"/>
        </w:rPr>
        <w:t>Bu çalışma kapsamında, h</w:t>
      </w:r>
      <w:r w:rsidRPr="002F521E">
        <w:rPr>
          <w:rFonts w:ascii="Times New Roman" w:hAnsi="Times New Roman" w:cs="Times New Roman"/>
          <w:sz w:val="24"/>
          <w:szCs w:val="24"/>
        </w:rPr>
        <w:t xml:space="preserve">em ayaktan hem de yataklı serviste </w:t>
      </w:r>
      <w:r>
        <w:rPr>
          <w:rFonts w:ascii="Times New Roman" w:hAnsi="Times New Roman" w:cs="Times New Roman"/>
          <w:sz w:val="24"/>
          <w:szCs w:val="24"/>
        </w:rPr>
        <w:t>(</w:t>
      </w:r>
      <w:r w:rsidRPr="002F521E">
        <w:rPr>
          <w:rFonts w:ascii="Times New Roman" w:hAnsi="Times New Roman" w:cs="Times New Roman"/>
          <w:sz w:val="24"/>
          <w:szCs w:val="24"/>
        </w:rPr>
        <w:t>kemik iliği nakli, hematoloji, kalp damar cerrahisi, genel cerrah</w:t>
      </w:r>
      <w:r>
        <w:rPr>
          <w:rFonts w:ascii="Times New Roman" w:hAnsi="Times New Roman" w:cs="Times New Roman"/>
          <w:sz w:val="24"/>
          <w:szCs w:val="24"/>
        </w:rPr>
        <w:t>i ve plastik cerrahi bölümleri)</w:t>
      </w:r>
      <w:r w:rsidRPr="002F521E">
        <w:rPr>
          <w:rFonts w:ascii="Times New Roman" w:hAnsi="Times New Roman" w:cs="Times New Roman"/>
          <w:sz w:val="24"/>
          <w:szCs w:val="24"/>
        </w:rPr>
        <w:t xml:space="preserve"> hizmet</w:t>
      </w:r>
      <w:r>
        <w:rPr>
          <w:rFonts w:ascii="Times New Roman" w:hAnsi="Times New Roman" w:cs="Times New Roman"/>
          <w:sz w:val="24"/>
          <w:szCs w:val="24"/>
        </w:rPr>
        <w:t>ler</w:t>
      </w:r>
      <w:r w:rsidRPr="002F521E">
        <w:rPr>
          <w:rFonts w:ascii="Times New Roman" w:hAnsi="Times New Roman" w:cs="Times New Roman"/>
          <w:sz w:val="24"/>
          <w:szCs w:val="24"/>
        </w:rPr>
        <w:t xml:space="preserve"> sunuldu. Ayrıca hastanede yatan hastaların taburculukları sonrasında ihtiyaçları olması durumunda, daha sonra ayaktan dış hasta hizmeti ile takip edilmeye devam edildi. Ünitemizde ayaktan, yataklı serviste veya eğitimler ile ulaşılan hastaların tanıları ve aldıkları hizmetler hasta dosyalarından </w:t>
      </w:r>
      <w:proofErr w:type="gramStart"/>
      <w:r w:rsidRPr="002F521E">
        <w:rPr>
          <w:rFonts w:ascii="Times New Roman" w:hAnsi="Times New Roman" w:cs="Times New Roman"/>
          <w:sz w:val="24"/>
          <w:szCs w:val="24"/>
        </w:rPr>
        <w:t>retrospektif</w:t>
      </w:r>
      <w:proofErr w:type="gramEnd"/>
      <w:r w:rsidRPr="002F521E">
        <w:rPr>
          <w:rFonts w:ascii="Times New Roman" w:hAnsi="Times New Roman" w:cs="Times New Roman"/>
          <w:sz w:val="24"/>
          <w:szCs w:val="24"/>
        </w:rPr>
        <w:t xml:space="preserve"> olarak incelenerek analiz edildi.</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Ayrıca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konusunu içeren eğitimlerde hastalar, hasta yakınları ve toplum bilgilendirildi. 24 Eylül 2010 tarihinde Gazi Üniversitesi Sağlık Bilimleri Fakültesi’nde “multipl miyelom hastaları ve aileleri eğitim günleri; kas-iskelet sistemi sorunlarında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yaklaşımları” ve 30 Mayıs 2011 tarihinde “I. meme kanseri hastaları ile eğitim ve paylaşım günleri” adlı eğitimler düzenlendi. Fakülte tarafından düzenlenen hasta eğitim programları yanında dernek işbirliği ile düzenlenen hasta eğitim günleri ile de hastalara ve yakınlarına direkt erişim sağlandı. Bu eğitimler 10 Ekim 2014 tarihinde “meme kanseri sonrası meme onarımı farkındalık günü”,  20 Nisan 2016 tarihinde Türkiye Polis Radyosu, “bir nefes sıhhat programı” ve 21 Nisan 2017 tarihinde Metamazon Derneği’nin “Onkolojik Fizyoterapi ve Rehabilitasyon Semineri” idi. </w:t>
      </w:r>
    </w:p>
    <w:p w:rsidR="00622F23" w:rsidRDefault="00622F23" w:rsidP="00622F23">
      <w:pPr>
        <w:spacing w:line="240" w:lineRule="auto"/>
        <w:jc w:val="both"/>
        <w:rPr>
          <w:rFonts w:ascii="Times New Roman" w:hAnsi="Times New Roman" w:cs="Times New Roman"/>
          <w:b/>
          <w:sz w:val="24"/>
          <w:szCs w:val="24"/>
        </w:rPr>
      </w:pPr>
      <w:r>
        <w:rPr>
          <w:rFonts w:ascii="Times New Roman" w:hAnsi="Times New Roman" w:cs="Times New Roman"/>
          <w:b/>
          <w:sz w:val="24"/>
          <w:szCs w:val="24"/>
        </w:rPr>
        <w:t>İstatistiksel Analiz</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Çalışmanın istatistiksel analizleri “Statistical Package for Social Sciences” (SPSS) Versiyon 15.0 (SPSS inc. Chicago, IL, ABD) programı kullanılarak yapıldı. </w:t>
      </w:r>
      <w:r w:rsidRPr="002F521E">
        <w:rPr>
          <w:rFonts w:ascii="Times New Roman" w:hAnsi="Times New Roman" w:cs="Times New Roman"/>
          <w:sz w:val="24"/>
          <w:szCs w:val="24"/>
        </w:rPr>
        <w:lastRenderedPageBreak/>
        <w:t>Kategorik değişkenlerin tanımlayıcı analizinde frekans ve yüzde (%) değerleri kullanıldı.</w:t>
      </w:r>
    </w:p>
    <w:p w:rsidR="00622F23" w:rsidRDefault="00622F23" w:rsidP="00622F23">
      <w:pPr>
        <w:spacing w:line="240" w:lineRule="auto"/>
        <w:jc w:val="both"/>
        <w:rPr>
          <w:rFonts w:ascii="Times New Roman" w:hAnsi="Times New Roman" w:cs="Times New Roman"/>
          <w:b/>
          <w:sz w:val="24"/>
          <w:szCs w:val="24"/>
        </w:rPr>
      </w:pPr>
      <w:r w:rsidRPr="002F521E">
        <w:rPr>
          <w:rFonts w:ascii="Times New Roman" w:hAnsi="Times New Roman" w:cs="Times New Roman"/>
          <w:b/>
          <w:sz w:val="24"/>
          <w:szCs w:val="24"/>
        </w:rPr>
        <w:t>BULGULAR</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Hastaların %50,4’ü (n=269) kadın, %49,6’sı (n=265) erkekti. Tanılarına göre sıralandıklarında 508 hastanın %38,8’ini (n=197) lösemi, %14,4’ünü (n=73) lenfoma ve %1,4</w:t>
      </w:r>
      <w:r>
        <w:rPr>
          <w:rFonts w:ascii="Times New Roman" w:hAnsi="Times New Roman" w:cs="Times New Roman"/>
          <w:sz w:val="24"/>
          <w:szCs w:val="24"/>
        </w:rPr>
        <w:t>’ünün</w:t>
      </w:r>
      <w:r w:rsidRPr="002F521E">
        <w:rPr>
          <w:rFonts w:ascii="Times New Roman" w:hAnsi="Times New Roman" w:cs="Times New Roman"/>
          <w:sz w:val="24"/>
          <w:szCs w:val="24"/>
        </w:rPr>
        <w:t xml:space="preserve"> (n=7) diğer hematolojik maligniteler ile toplam %54,6 (n=277) </w:t>
      </w:r>
      <w:r>
        <w:rPr>
          <w:rFonts w:ascii="Times New Roman" w:hAnsi="Times New Roman" w:cs="Times New Roman"/>
          <w:sz w:val="24"/>
          <w:szCs w:val="24"/>
        </w:rPr>
        <w:t xml:space="preserve">oranında </w:t>
      </w:r>
      <w:r w:rsidRPr="002F521E">
        <w:rPr>
          <w:rFonts w:ascii="Times New Roman" w:hAnsi="Times New Roman" w:cs="Times New Roman"/>
          <w:sz w:val="24"/>
          <w:szCs w:val="24"/>
        </w:rPr>
        <w:t xml:space="preserve">hematoloji ile ilgili hasta grubu </w:t>
      </w:r>
      <w:r w:rsidRPr="002F521E">
        <w:rPr>
          <w:rFonts w:ascii="Times New Roman" w:hAnsi="Times New Roman" w:cs="Times New Roman"/>
          <w:sz w:val="24"/>
          <w:szCs w:val="24"/>
        </w:rPr>
        <w:lastRenderedPageBreak/>
        <w:t xml:space="preserve">oluşturdu. </w:t>
      </w:r>
      <w:r>
        <w:rPr>
          <w:rFonts w:ascii="Times New Roman" w:hAnsi="Times New Roman" w:cs="Times New Roman"/>
          <w:sz w:val="24"/>
          <w:szCs w:val="24"/>
        </w:rPr>
        <w:t xml:space="preserve">Ayrıca </w:t>
      </w:r>
      <w:r w:rsidRPr="002F521E">
        <w:rPr>
          <w:rFonts w:ascii="Times New Roman" w:hAnsi="Times New Roman" w:cs="Times New Roman"/>
          <w:sz w:val="24"/>
          <w:szCs w:val="24"/>
        </w:rPr>
        <w:t>%29,1</w:t>
      </w:r>
      <w:r>
        <w:rPr>
          <w:rFonts w:ascii="Times New Roman" w:hAnsi="Times New Roman" w:cs="Times New Roman"/>
          <w:sz w:val="24"/>
          <w:szCs w:val="24"/>
        </w:rPr>
        <w:t>’inde</w:t>
      </w:r>
      <w:r w:rsidRPr="002F521E">
        <w:rPr>
          <w:rFonts w:ascii="Times New Roman" w:hAnsi="Times New Roman" w:cs="Times New Roman"/>
          <w:sz w:val="24"/>
          <w:szCs w:val="24"/>
        </w:rPr>
        <w:t xml:space="preserve"> (n=148)</w:t>
      </w:r>
      <w:r>
        <w:rPr>
          <w:rFonts w:ascii="Times New Roman" w:hAnsi="Times New Roman" w:cs="Times New Roman"/>
          <w:sz w:val="24"/>
          <w:szCs w:val="24"/>
        </w:rPr>
        <w:t xml:space="preserve"> </w:t>
      </w:r>
      <w:r w:rsidRPr="002F521E">
        <w:rPr>
          <w:rFonts w:ascii="Times New Roman" w:hAnsi="Times New Roman" w:cs="Times New Roman"/>
          <w:sz w:val="24"/>
          <w:szCs w:val="24"/>
        </w:rPr>
        <w:t>meme kanseri ve %11’i</w:t>
      </w:r>
      <w:r>
        <w:rPr>
          <w:rFonts w:ascii="Times New Roman" w:hAnsi="Times New Roman" w:cs="Times New Roman"/>
          <w:sz w:val="24"/>
          <w:szCs w:val="24"/>
        </w:rPr>
        <w:t>nde</w:t>
      </w:r>
      <w:r w:rsidRPr="002F521E">
        <w:rPr>
          <w:rFonts w:ascii="Times New Roman" w:hAnsi="Times New Roman" w:cs="Times New Roman"/>
          <w:sz w:val="24"/>
          <w:szCs w:val="24"/>
        </w:rPr>
        <w:t xml:space="preserve"> (n=56) prostat kanseri hastaları yer aldı. %1,6 (n=8)  oranında over kanseri, %1,2 (n=6)  oranında uterus kanseri, %0,6 oranlarında serviks kanseri (n=3) ve endometrium kanseri (n=3) ile</w:t>
      </w:r>
      <w:r>
        <w:rPr>
          <w:rFonts w:ascii="Times New Roman" w:hAnsi="Times New Roman" w:cs="Times New Roman"/>
          <w:sz w:val="24"/>
          <w:szCs w:val="24"/>
        </w:rPr>
        <w:t xml:space="preserve"> tüm hastaların</w:t>
      </w:r>
      <w:r w:rsidRPr="002F521E">
        <w:rPr>
          <w:rFonts w:ascii="Times New Roman" w:hAnsi="Times New Roman" w:cs="Times New Roman"/>
          <w:sz w:val="24"/>
          <w:szCs w:val="24"/>
        </w:rPr>
        <w:t xml:space="preserve"> %4’ü (n=20) jinekolojik kökenli hastalıklara bağlı </w:t>
      </w:r>
      <w:r>
        <w:rPr>
          <w:rFonts w:ascii="Times New Roman" w:hAnsi="Times New Roman" w:cs="Times New Roman"/>
          <w:sz w:val="24"/>
          <w:szCs w:val="24"/>
        </w:rPr>
        <w:t>tanılara sahiplerdi</w:t>
      </w:r>
      <w:r w:rsidRPr="002F521E">
        <w:rPr>
          <w:rFonts w:ascii="Times New Roman" w:hAnsi="Times New Roman" w:cs="Times New Roman"/>
          <w:sz w:val="24"/>
          <w:szCs w:val="24"/>
        </w:rPr>
        <w:t>. %0,6 oranında</w:t>
      </w:r>
      <w:r>
        <w:rPr>
          <w:rFonts w:ascii="Times New Roman" w:hAnsi="Times New Roman" w:cs="Times New Roman"/>
          <w:sz w:val="24"/>
          <w:szCs w:val="24"/>
        </w:rPr>
        <w:t xml:space="preserve"> (n=3)</w:t>
      </w:r>
      <w:r w:rsidRPr="002F521E">
        <w:rPr>
          <w:rFonts w:ascii="Times New Roman" w:hAnsi="Times New Roman" w:cs="Times New Roman"/>
          <w:sz w:val="24"/>
          <w:szCs w:val="24"/>
        </w:rPr>
        <w:t xml:space="preserve"> baş-boyun kanseri ve </w:t>
      </w:r>
      <w:r>
        <w:rPr>
          <w:rFonts w:ascii="Times New Roman" w:hAnsi="Times New Roman" w:cs="Times New Roman"/>
          <w:sz w:val="24"/>
          <w:szCs w:val="24"/>
        </w:rPr>
        <w:t xml:space="preserve"> </w:t>
      </w:r>
      <w:r w:rsidRPr="002F521E">
        <w:rPr>
          <w:rFonts w:ascii="Times New Roman" w:hAnsi="Times New Roman" w:cs="Times New Roman"/>
          <w:sz w:val="24"/>
          <w:szCs w:val="24"/>
        </w:rPr>
        <w:t>%0,6 oranında akciğer kanseri (n=3), %0,2 (n=1) oranında ise mesane kanseri tanıları hasta gruplarını oluşturdu (Tablo 1).</w:t>
      </w:r>
    </w:p>
    <w:p w:rsidR="00622F23" w:rsidRDefault="00622F23" w:rsidP="00622F23">
      <w:pPr>
        <w:spacing w:line="240" w:lineRule="auto"/>
        <w:jc w:val="both"/>
        <w:rPr>
          <w:rFonts w:ascii="Times New Roman" w:hAnsi="Times New Roman" w:cs="Times New Roman"/>
          <w:b/>
          <w:sz w:val="24"/>
          <w:szCs w:val="24"/>
        </w:rPr>
        <w:sectPr w:rsidR="00622F23" w:rsidSect="00411F6B">
          <w:headerReference w:type="first" r:id="rId22"/>
          <w:footerReference w:type="first" r:id="rId23"/>
          <w:type w:val="continuous"/>
          <w:pgSz w:w="11906" w:h="16838"/>
          <w:pgMar w:top="1417" w:right="1417" w:bottom="1417" w:left="1417" w:header="708" w:footer="708" w:gutter="0"/>
          <w:cols w:num="2" w:space="708"/>
          <w:titlePg/>
          <w:docGrid w:linePitch="360"/>
        </w:sectPr>
      </w:pPr>
    </w:p>
    <w:p w:rsidR="00622F23" w:rsidRPr="002F521E" w:rsidRDefault="00622F23" w:rsidP="00622F23">
      <w:pPr>
        <w:spacing w:line="240" w:lineRule="auto"/>
        <w:jc w:val="both"/>
        <w:rPr>
          <w:rFonts w:ascii="Times New Roman" w:hAnsi="Times New Roman" w:cs="Times New Roman"/>
          <w:b/>
          <w:sz w:val="24"/>
          <w:szCs w:val="24"/>
        </w:rPr>
      </w:pPr>
    </w:p>
    <w:p w:rsidR="00622F23" w:rsidRPr="000A410F" w:rsidRDefault="00622F23" w:rsidP="00622F23">
      <w:pPr>
        <w:keepNext/>
        <w:spacing w:line="240" w:lineRule="auto"/>
        <w:jc w:val="both"/>
        <w:rPr>
          <w:rFonts w:ascii="Times New Roman" w:hAnsi="Times New Roman" w:cs="Times New Roman"/>
          <w:sz w:val="24"/>
          <w:szCs w:val="24"/>
        </w:rPr>
      </w:pPr>
      <w:r w:rsidRPr="000A410F">
        <w:rPr>
          <w:rFonts w:ascii="Times New Roman" w:hAnsi="Times New Roman" w:cs="Times New Roman"/>
          <w:b/>
          <w:sz w:val="24"/>
          <w:szCs w:val="24"/>
        </w:rPr>
        <w:t xml:space="preserve">Tablo 1. </w:t>
      </w:r>
      <w:r>
        <w:rPr>
          <w:rFonts w:ascii="Times New Roman" w:hAnsi="Times New Roman" w:cs="Times New Roman"/>
          <w:sz w:val="24"/>
          <w:szCs w:val="24"/>
        </w:rPr>
        <w:t xml:space="preserve">Onkolojik </w:t>
      </w:r>
      <w:proofErr w:type="gramStart"/>
      <w:r>
        <w:rPr>
          <w:rFonts w:ascii="Times New Roman" w:hAnsi="Times New Roman" w:cs="Times New Roman"/>
          <w:sz w:val="24"/>
          <w:szCs w:val="24"/>
        </w:rPr>
        <w:t>fizyoterapi</w:t>
      </w:r>
      <w:proofErr w:type="gramEnd"/>
      <w:r>
        <w:rPr>
          <w:rFonts w:ascii="Times New Roman" w:hAnsi="Times New Roman" w:cs="Times New Roman"/>
          <w:sz w:val="24"/>
          <w:szCs w:val="24"/>
        </w:rPr>
        <w:t xml:space="preserve"> ve rehabilitasyon hizmetleri alan </w:t>
      </w:r>
      <w:r w:rsidRPr="000A410F">
        <w:rPr>
          <w:rFonts w:ascii="Times New Roman" w:hAnsi="Times New Roman" w:cs="Times New Roman"/>
          <w:sz w:val="24"/>
          <w:szCs w:val="24"/>
        </w:rPr>
        <w:t xml:space="preserve">hastaların </w:t>
      </w:r>
      <w:r>
        <w:rPr>
          <w:rFonts w:ascii="Times New Roman" w:hAnsi="Times New Roman" w:cs="Times New Roman"/>
          <w:sz w:val="24"/>
          <w:szCs w:val="24"/>
        </w:rPr>
        <w:t>t</w:t>
      </w:r>
      <w:r w:rsidRPr="000A410F">
        <w:rPr>
          <w:rFonts w:ascii="Times New Roman" w:hAnsi="Times New Roman" w:cs="Times New Roman"/>
          <w:sz w:val="24"/>
          <w:szCs w:val="24"/>
        </w:rPr>
        <w:t>anılarına göre sınıflandırılması</w:t>
      </w:r>
    </w:p>
    <w:tbl>
      <w:tblPr>
        <w:tblStyle w:val="TabloKlavuzu"/>
        <w:tblW w:w="9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2663"/>
        <w:gridCol w:w="2959"/>
      </w:tblGrid>
      <w:tr w:rsidR="00622F23" w:rsidRPr="000A410F" w:rsidTr="00517147">
        <w:trPr>
          <w:trHeight w:val="337"/>
        </w:trPr>
        <w:tc>
          <w:tcPr>
            <w:tcW w:w="3666" w:type="dxa"/>
            <w:tcBorders>
              <w:top w:val="single" w:sz="4" w:space="0" w:color="auto"/>
              <w:bottom w:val="single" w:sz="4" w:space="0" w:color="auto"/>
            </w:tcBorders>
          </w:tcPr>
          <w:p w:rsidR="00622F23" w:rsidRPr="000A410F" w:rsidRDefault="00622F23" w:rsidP="00517147">
            <w:pPr>
              <w:keepNext/>
              <w:jc w:val="both"/>
              <w:rPr>
                <w:rFonts w:ascii="Times New Roman" w:hAnsi="Times New Roman" w:cs="Times New Roman"/>
                <w:b/>
                <w:color w:val="auto"/>
                <w:sz w:val="24"/>
                <w:szCs w:val="24"/>
              </w:rPr>
            </w:pPr>
            <w:r w:rsidRPr="000A410F">
              <w:rPr>
                <w:rFonts w:ascii="Times New Roman" w:hAnsi="Times New Roman" w:cs="Times New Roman"/>
                <w:b/>
                <w:color w:val="auto"/>
                <w:sz w:val="24"/>
                <w:szCs w:val="24"/>
              </w:rPr>
              <w:t>Kanser Türü</w:t>
            </w:r>
          </w:p>
        </w:tc>
        <w:tc>
          <w:tcPr>
            <w:tcW w:w="2663" w:type="dxa"/>
            <w:tcBorders>
              <w:top w:val="single" w:sz="4" w:space="0" w:color="auto"/>
              <w:bottom w:val="single" w:sz="4" w:space="0" w:color="auto"/>
            </w:tcBorders>
          </w:tcPr>
          <w:p w:rsidR="00622F23" w:rsidRPr="000A410F" w:rsidRDefault="00622F23" w:rsidP="00517147">
            <w:pPr>
              <w:keepNext/>
              <w:jc w:val="center"/>
              <w:rPr>
                <w:rFonts w:ascii="Times New Roman" w:hAnsi="Times New Roman" w:cs="Times New Roman"/>
                <w:b/>
                <w:color w:val="auto"/>
                <w:sz w:val="24"/>
                <w:szCs w:val="24"/>
              </w:rPr>
            </w:pPr>
          </w:p>
        </w:tc>
        <w:tc>
          <w:tcPr>
            <w:tcW w:w="2959" w:type="dxa"/>
            <w:tcBorders>
              <w:top w:val="single" w:sz="4" w:space="0" w:color="auto"/>
              <w:bottom w:val="single" w:sz="4" w:space="0" w:color="auto"/>
            </w:tcBorders>
          </w:tcPr>
          <w:p w:rsidR="00622F23" w:rsidRPr="000A410F" w:rsidRDefault="00622F23" w:rsidP="00517147">
            <w:pPr>
              <w:keepNext/>
              <w:jc w:val="center"/>
              <w:rPr>
                <w:rFonts w:ascii="Times New Roman" w:hAnsi="Times New Roman" w:cs="Times New Roman"/>
                <w:b/>
                <w:color w:val="auto"/>
                <w:sz w:val="24"/>
                <w:szCs w:val="24"/>
              </w:rPr>
            </w:pPr>
            <w:r w:rsidRPr="000A410F">
              <w:rPr>
                <w:rFonts w:ascii="Times New Roman" w:hAnsi="Times New Roman" w:cs="Times New Roman"/>
                <w:b/>
                <w:color w:val="auto"/>
                <w:sz w:val="24"/>
                <w:szCs w:val="24"/>
              </w:rPr>
              <w:t>Toplam (n=508)</w:t>
            </w:r>
          </w:p>
        </w:tc>
      </w:tr>
      <w:tr w:rsidR="00622F23" w:rsidRPr="000A410F" w:rsidTr="00517147">
        <w:trPr>
          <w:trHeight w:val="417"/>
        </w:trPr>
        <w:tc>
          <w:tcPr>
            <w:tcW w:w="3666" w:type="dxa"/>
            <w:tcBorders>
              <w:top w:val="single" w:sz="4" w:space="0" w:color="auto"/>
              <w:bottom w:val="single" w:sz="4" w:space="0" w:color="auto"/>
            </w:tcBorders>
          </w:tcPr>
          <w:p w:rsidR="00622F23"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Hematolojik</w:t>
            </w:r>
          </w:p>
          <w:p w:rsidR="00622F23"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Lösemi                                      </w:t>
            </w:r>
          </w:p>
          <w:p w:rsidR="00622F23"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Lenfoma                                     </w:t>
            </w:r>
          </w:p>
          <w:p w:rsidR="00622F23" w:rsidRPr="000A410F"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Diğer Hematolojik Maligniteler </w:t>
            </w:r>
          </w:p>
        </w:tc>
        <w:tc>
          <w:tcPr>
            <w:tcW w:w="2663" w:type="dxa"/>
            <w:tcBorders>
              <w:top w:val="single" w:sz="4" w:space="0" w:color="auto"/>
              <w:bottom w:val="single" w:sz="4" w:space="0" w:color="auto"/>
            </w:tcBorders>
          </w:tcPr>
          <w:p w:rsidR="00622F23" w:rsidRDefault="00622F23" w:rsidP="00517147">
            <w:pPr>
              <w:keepNext/>
              <w:jc w:val="center"/>
              <w:rPr>
                <w:rFonts w:ascii="Times New Roman" w:hAnsi="Times New Roman" w:cs="Times New Roman"/>
                <w:color w:val="auto"/>
                <w:sz w:val="24"/>
                <w:szCs w:val="24"/>
              </w:rPr>
            </w:pPr>
          </w:p>
          <w:p w:rsidR="00622F23"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%38,8 (n=197)</w:t>
            </w:r>
          </w:p>
          <w:p w:rsidR="00622F23"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%14,4 (n=73)</w:t>
            </w:r>
          </w:p>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%1,4 (n=7)</w:t>
            </w:r>
          </w:p>
        </w:tc>
        <w:tc>
          <w:tcPr>
            <w:tcW w:w="2959" w:type="dxa"/>
            <w:tcBorders>
              <w:top w:val="single" w:sz="4" w:space="0" w:color="auto"/>
              <w:bottom w:val="single" w:sz="4" w:space="0" w:color="auto"/>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%54.6 (n=277)</w:t>
            </w:r>
          </w:p>
        </w:tc>
      </w:tr>
      <w:tr w:rsidR="00622F23" w:rsidRPr="000A410F" w:rsidTr="00517147">
        <w:trPr>
          <w:trHeight w:val="107"/>
        </w:trPr>
        <w:tc>
          <w:tcPr>
            <w:tcW w:w="3666" w:type="dxa"/>
            <w:tcBorders>
              <w:top w:val="single" w:sz="4" w:space="0" w:color="auto"/>
              <w:bottom w:val="nil"/>
            </w:tcBorders>
          </w:tcPr>
          <w:p w:rsidR="00622F23" w:rsidRPr="000A410F"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Meme kanseri</w:t>
            </w:r>
          </w:p>
        </w:tc>
        <w:tc>
          <w:tcPr>
            <w:tcW w:w="2663" w:type="dxa"/>
            <w:tcBorders>
              <w:top w:val="single" w:sz="4" w:space="0" w:color="auto"/>
              <w:bottom w:val="nil"/>
            </w:tcBorders>
          </w:tcPr>
          <w:p w:rsidR="00622F23" w:rsidRPr="000A410F" w:rsidRDefault="00622F23" w:rsidP="00517147">
            <w:pPr>
              <w:keepNext/>
              <w:jc w:val="center"/>
              <w:rPr>
                <w:rFonts w:ascii="Times New Roman" w:hAnsi="Times New Roman" w:cs="Times New Roman"/>
                <w:color w:val="auto"/>
                <w:sz w:val="24"/>
                <w:szCs w:val="24"/>
              </w:rPr>
            </w:pPr>
          </w:p>
        </w:tc>
        <w:tc>
          <w:tcPr>
            <w:tcW w:w="2959" w:type="dxa"/>
            <w:tcBorders>
              <w:top w:val="single" w:sz="4" w:space="0" w:color="auto"/>
              <w:bottom w:val="nil"/>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%29,1  (n=148)</w:t>
            </w:r>
          </w:p>
        </w:tc>
      </w:tr>
      <w:tr w:rsidR="00622F23" w:rsidRPr="000A410F" w:rsidTr="00517147">
        <w:trPr>
          <w:trHeight w:val="266"/>
        </w:trPr>
        <w:tc>
          <w:tcPr>
            <w:tcW w:w="3666" w:type="dxa"/>
            <w:tcBorders>
              <w:top w:val="nil"/>
              <w:bottom w:val="single" w:sz="4" w:space="0" w:color="auto"/>
            </w:tcBorders>
          </w:tcPr>
          <w:p w:rsidR="00622F23" w:rsidRPr="000A410F"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Prostat kanseri</w:t>
            </w:r>
          </w:p>
        </w:tc>
        <w:tc>
          <w:tcPr>
            <w:tcW w:w="2663" w:type="dxa"/>
            <w:tcBorders>
              <w:top w:val="nil"/>
              <w:bottom w:val="single" w:sz="4" w:space="0" w:color="auto"/>
            </w:tcBorders>
          </w:tcPr>
          <w:p w:rsidR="00622F23" w:rsidRPr="000A410F" w:rsidRDefault="00622F23" w:rsidP="00517147">
            <w:pPr>
              <w:keepNext/>
              <w:jc w:val="center"/>
              <w:rPr>
                <w:rFonts w:ascii="Times New Roman" w:hAnsi="Times New Roman" w:cs="Times New Roman"/>
                <w:color w:val="auto"/>
                <w:sz w:val="24"/>
                <w:szCs w:val="24"/>
              </w:rPr>
            </w:pPr>
          </w:p>
        </w:tc>
        <w:tc>
          <w:tcPr>
            <w:tcW w:w="2959" w:type="dxa"/>
            <w:tcBorders>
              <w:top w:val="nil"/>
              <w:bottom w:val="single" w:sz="4" w:space="0" w:color="auto"/>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%11 (n=56)</w:t>
            </w:r>
          </w:p>
        </w:tc>
      </w:tr>
      <w:tr w:rsidR="00622F23" w:rsidRPr="000A410F" w:rsidTr="00517147">
        <w:trPr>
          <w:trHeight w:val="417"/>
        </w:trPr>
        <w:tc>
          <w:tcPr>
            <w:tcW w:w="3666" w:type="dxa"/>
            <w:tcBorders>
              <w:top w:val="single" w:sz="4" w:space="0" w:color="auto"/>
              <w:bottom w:val="single" w:sz="4" w:space="0" w:color="auto"/>
            </w:tcBorders>
          </w:tcPr>
          <w:p w:rsidR="00622F23"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 xml:space="preserve">Jinekolojik kanserler </w:t>
            </w:r>
          </w:p>
          <w:p w:rsidR="00622F23"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0A410F">
              <w:rPr>
                <w:rFonts w:ascii="Times New Roman" w:hAnsi="Times New Roman" w:cs="Times New Roman"/>
                <w:color w:val="auto"/>
                <w:sz w:val="24"/>
                <w:szCs w:val="24"/>
              </w:rPr>
              <w:t>Over kanseri</w:t>
            </w:r>
            <w:r>
              <w:rPr>
                <w:rFonts w:ascii="Times New Roman" w:hAnsi="Times New Roman" w:cs="Times New Roman"/>
                <w:color w:val="auto"/>
                <w:sz w:val="24"/>
                <w:szCs w:val="24"/>
              </w:rPr>
              <w:t xml:space="preserve"> </w:t>
            </w:r>
          </w:p>
          <w:p w:rsidR="00622F23"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0A410F">
              <w:rPr>
                <w:rFonts w:ascii="Times New Roman" w:hAnsi="Times New Roman" w:cs="Times New Roman"/>
                <w:color w:val="auto"/>
                <w:sz w:val="24"/>
                <w:szCs w:val="24"/>
              </w:rPr>
              <w:t>Uterus kanseri</w:t>
            </w:r>
            <w:r>
              <w:rPr>
                <w:rFonts w:ascii="Times New Roman" w:hAnsi="Times New Roman" w:cs="Times New Roman"/>
                <w:color w:val="auto"/>
                <w:sz w:val="24"/>
                <w:szCs w:val="24"/>
              </w:rPr>
              <w:t xml:space="preserve"> </w:t>
            </w:r>
          </w:p>
          <w:p w:rsidR="00622F23"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0A410F">
              <w:rPr>
                <w:rFonts w:ascii="Times New Roman" w:hAnsi="Times New Roman" w:cs="Times New Roman"/>
                <w:color w:val="auto"/>
                <w:sz w:val="24"/>
                <w:szCs w:val="24"/>
              </w:rPr>
              <w:t>Serviks kanseri</w:t>
            </w:r>
            <w:r>
              <w:rPr>
                <w:rFonts w:ascii="Times New Roman" w:hAnsi="Times New Roman" w:cs="Times New Roman"/>
                <w:color w:val="auto"/>
                <w:sz w:val="24"/>
                <w:szCs w:val="24"/>
              </w:rPr>
              <w:t xml:space="preserve"> </w:t>
            </w:r>
          </w:p>
          <w:p w:rsidR="00622F23" w:rsidRPr="000A410F" w:rsidRDefault="00622F23" w:rsidP="00517147">
            <w:pPr>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0A410F">
              <w:rPr>
                <w:rFonts w:ascii="Times New Roman" w:hAnsi="Times New Roman" w:cs="Times New Roman"/>
                <w:color w:val="auto"/>
                <w:sz w:val="24"/>
                <w:szCs w:val="24"/>
              </w:rPr>
              <w:t>Endometrium kanseri</w:t>
            </w:r>
            <w:r>
              <w:rPr>
                <w:rFonts w:ascii="Times New Roman" w:hAnsi="Times New Roman" w:cs="Times New Roman"/>
                <w:color w:val="auto"/>
                <w:sz w:val="24"/>
                <w:szCs w:val="24"/>
              </w:rPr>
              <w:t xml:space="preserve"> </w:t>
            </w:r>
          </w:p>
        </w:tc>
        <w:tc>
          <w:tcPr>
            <w:tcW w:w="2663" w:type="dxa"/>
            <w:tcBorders>
              <w:top w:val="single" w:sz="4" w:space="0" w:color="auto"/>
              <w:bottom w:val="single" w:sz="4" w:space="0" w:color="auto"/>
            </w:tcBorders>
          </w:tcPr>
          <w:p w:rsidR="00622F23" w:rsidRDefault="00622F23" w:rsidP="00517147">
            <w:pPr>
              <w:keepNext/>
              <w:jc w:val="center"/>
              <w:rPr>
                <w:rFonts w:ascii="Times New Roman" w:hAnsi="Times New Roman" w:cs="Times New Roman"/>
                <w:color w:val="auto"/>
                <w:sz w:val="24"/>
                <w:szCs w:val="24"/>
              </w:rPr>
            </w:pPr>
          </w:p>
          <w:p w:rsidR="00622F23"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 xml:space="preserve">%1,6 (n=8) </w:t>
            </w:r>
          </w:p>
          <w:p w:rsidR="00622F23"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 xml:space="preserve">%1,2 (n=6) </w:t>
            </w:r>
          </w:p>
          <w:p w:rsidR="00622F23"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 xml:space="preserve">%0,6 (n=3) </w:t>
            </w:r>
          </w:p>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%0,6 (n=3)</w:t>
            </w:r>
          </w:p>
        </w:tc>
        <w:tc>
          <w:tcPr>
            <w:tcW w:w="2959" w:type="dxa"/>
            <w:tcBorders>
              <w:top w:val="single" w:sz="4" w:space="0" w:color="auto"/>
              <w:bottom w:val="single" w:sz="4" w:space="0" w:color="auto"/>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%4 (n=20)</w:t>
            </w:r>
          </w:p>
        </w:tc>
      </w:tr>
      <w:tr w:rsidR="00622F23" w:rsidRPr="000A410F" w:rsidTr="00517147">
        <w:trPr>
          <w:trHeight w:val="290"/>
        </w:trPr>
        <w:tc>
          <w:tcPr>
            <w:tcW w:w="3666" w:type="dxa"/>
            <w:tcBorders>
              <w:top w:val="single" w:sz="4" w:space="0" w:color="auto"/>
              <w:bottom w:val="nil"/>
            </w:tcBorders>
            <w:vAlign w:val="center"/>
          </w:tcPr>
          <w:p w:rsidR="00622F23" w:rsidRPr="000A410F"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Baş boyun kanseri</w:t>
            </w:r>
          </w:p>
        </w:tc>
        <w:tc>
          <w:tcPr>
            <w:tcW w:w="2663" w:type="dxa"/>
            <w:tcBorders>
              <w:top w:val="single" w:sz="4" w:space="0" w:color="auto"/>
              <w:bottom w:val="nil"/>
            </w:tcBorders>
          </w:tcPr>
          <w:p w:rsidR="00622F23" w:rsidRPr="000A410F" w:rsidRDefault="00622F23" w:rsidP="00517147">
            <w:pPr>
              <w:keepNext/>
              <w:jc w:val="center"/>
              <w:rPr>
                <w:rFonts w:ascii="Times New Roman" w:hAnsi="Times New Roman" w:cs="Times New Roman"/>
                <w:color w:val="auto"/>
                <w:sz w:val="24"/>
                <w:szCs w:val="24"/>
              </w:rPr>
            </w:pPr>
          </w:p>
        </w:tc>
        <w:tc>
          <w:tcPr>
            <w:tcW w:w="2959" w:type="dxa"/>
            <w:tcBorders>
              <w:top w:val="single" w:sz="4" w:space="0" w:color="auto"/>
              <w:bottom w:val="nil"/>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%0,6 (n=3)</w:t>
            </w:r>
          </w:p>
        </w:tc>
      </w:tr>
      <w:tr w:rsidR="00622F23" w:rsidRPr="000A410F" w:rsidTr="00517147">
        <w:trPr>
          <w:trHeight w:val="267"/>
        </w:trPr>
        <w:tc>
          <w:tcPr>
            <w:tcW w:w="3666" w:type="dxa"/>
            <w:tcBorders>
              <w:top w:val="nil"/>
            </w:tcBorders>
            <w:vAlign w:val="center"/>
          </w:tcPr>
          <w:p w:rsidR="00622F23" w:rsidRPr="000A410F"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Akciğer kanseri</w:t>
            </w:r>
          </w:p>
        </w:tc>
        <w:tc>
          <w:tcPr>
            <w:tcW w:w="2663" w:type="dxa"/>
            <w:tcBorders>
              <w:top w:val="nil"/>
            </w:tcBorders>
          </w:tcPr>
          <w:p w:rsidR="00622F23" w:rsidRPr="000A410F" w:rsidRDefault="00622F23" w:rsidP="00517147">
            <w:pPr>
              <w:keepNext/>
              <w:jc w:val="center"/>
              <w:rPr>
                <w:rFonts w:ascii="Times New Roman" w:hAnsi="Times New Roman" w:cs="Times New Roman"/>
                <w:color w:val="auto"/>
                <w:sz w:val="24"/>
                <w:szCs w:val="24"/>
              </w:rPr>
            </w:pPr>
          </w:p>
        </w:tc>
        <w:tc>
          <w:tcPr>
            <w:tcW w:w="2959" w:type="dxa"/>
            <w:tcBorders>
              <w:top w:val="nil"/>
            </w:tcBorders>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%0,6 (n=3)</w:t>
            </w:r>
          </w:p>
        </w:tc>
      </w:tr>
      <w:tr w:rsidR="00622F23" w:rsidRPr="000A410F" w:rsidTr="00517147">
        <w:trPr>
          <w:trHeight w:val="256"/>
        </w:trPr>
        <w:tc>
          <w:tcPr>
            <w:tcW w:w="3666" w:type="dxa"/>
          </w:tcPr>
          <w:p w:rsidR="00622F23" w:rsidRPr="000A410F" w:rsidRDefault="00622F23" w:rsidP="00517147">
            <w:pPr>
              <w:keepNext/>
              <w:rPr>
                <w:rFonts w:ascii="Times New Roman" w:hAnsi="Times New Roman" w:cs="Times New Roman"/>
                <w:color w:val="auto"/>
                <w:sz w:val="24"/>
                <w:szCs w:val="24"/>
              </w:rPr>
            </w:pPr>
            <w:r w:rsidRPr="000A410F">
              <w:rPr>
                <w:rFonts w:ascii="Times New Roman" w:hAnsi="Times New Roman" w:cs="Times New Roman"/>
                <w:color w:val="auto"/>
                <w:sz w:val="24"/>
                <w:szCs w:val="24"/>
              </w:rPr>
              <w:t>Mesane kanseri</w:t>
            </w:r>
          </w:p>
        </w:tc>
        <w:tc>
          <w:tcPr>
            <w:tcW w:w="2663" w:type="dxa"/>
          </w:tcPr>
          <w:p w:rsidR="00622F23" w:rsidRPr="000A410F" w:rsidRDefault="00622F23" w:rsidP="00517147">
            <w:pPr>
              <w:keepNext/>
              <w:jc w:val="center"/>
              <w:rPr>
                <w:rFonts w:ascii="Times New Roman" w:hAnsi="Times New Roman" w:cs="Times New Roman"/>
                <w:color w:val="auto"/>
                <w:sz w:val="24"/>
                <w:szCs w:val="24"/>
              </w:rPr>
            </w:pPr>
          </w:p>
        </w:tc>
        <w:tc>
          <w:tcPr>
            <w:tcW w:w="2959" w:type="dxa"/>
            <w:vAlign w:val="center"/>
          </w:tcPr>
          <w:p w:rsidR="00622F23" w:rsidRPr="000A410F" w:rsidRDefault="00622F23" w:rsidP="00517147">
            <w:pPr>
              <w:keepNext/>
              <w:jc w:val="center"/>
              <w:rPr>
                <w:rFonts w:ascii="Times New Roman" w:hAnsi="Times New Roman" w:cs="Times New Roman"/>
                <w:color w:val="auto"/>
                <w:sz w:val="24"/>
                <w:szCs w:val="24"/>
              </w:rPr>
            </w:pPr>
            <w:r w:rsidRPr="000A410F">
              <w:rPr>
                <w:rFonts w:ascii="Times New Roman" w:hAnsi="Times New Roman" w:cs="Times New Roman"/>
                <w:color w:val="auto"/>
                <w:sz w:val="24"/>
                <w:szCs w:val="24"/>
              </w:rPr>
              <w:t>%0,2 (n=1)</w:t>
            </w:r>
          </w:p>
        </w:tc>
      </w:tr>
    </w:tbl>
    <w:p w:rsidR="00622F23" w:rsidRDefault="00622F23" w:rsidP="00622F23">
      <w:pPr>
        <w:spacing w:line="240" w:lineRule="auto"/>
        <w:jc w:val="both"/>
        <w:rPr>
          <w:rFonts w:ascii="Times New Roman" w:hAnsi="Times New Roman" w:cs="Times New Roman"/>
          <w:sz w:val="24"/>
          <w:szCs w:val="24"/>
        </w:rPr>
      </w:pPr>
    </w:p>
    <w:p w:rsidR="00622F23" w:rsidRPr="002F521E" w:rsidRDefault="00622F23" w:rsidP="00622F23">
      <w:pPr>
        <w:spacing w:line="240" w:lineRule="auto"/>
        <w:jc w:val="both"/>
        <w:rPr>
          <w:rFonts w:ascii="Times New Roman" w:hAnsi="Times New Roman" w:cs="Times New Roman"/>
          <w:sz w:val="24"/>
          <w:szCs w:val="24"/>
        </w:rPr>
      </w:pPr>
    </w:p>
    <w:p w:rsidR="00622F23" w:rsidRPr="002F521E" w:rsidRDefault="00622F23" w:rsidP="00622F23">
      <w:pPr>
        <w:spacing w:line="240" w:lineRule="auto"/>
        <w:jc w:val="center"/>
        <w:rPr>
          <w:rFonts w:ascii="Times New Roman" w:hAnsi="Times New Roman" w:cs="Times New Roman"/>
          <w:b/>
          <w:sz w:val="24"/>
          <w:szCs w:val="24"/>
        </w:rPr>
      </w:pPr>
      <w:r w:rsidRPr="000A410F">
        <w:rPr>
          <w:rFonts w:ascii="Times New Roman" w:hAnsi="Times New Roman" w:cs="Times New Roman"/>
          <w:b/>
          <w:noProof/>
          <w:sz w:val="24"/>
          <w:szCs w:val="24"/>
          <w:lang w:eastAsia="tr-TR"/>
        </w:rPr>
        <w:drawing>
          <wp:inline distT="0" distB="0" distL="0" distR="0" wp14:anchorId="17261943" wp14:editId="2BA3E028">
            <wp:extent cx="3743325" cy="1958340"/>
            <wp:effectExtent l="19050" t="0" r="9525" b="381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22F23" w:rsidRPr="002F521E" w:rsidRDefault="00622F23" w:rsidP="00622F23">
      <w:pPr>
        <w:spacing w:line="240" w:lineRule="auto"/>
        <w:rPr>
          <w:rFonts w:ascii="Times New Roman" w:hAnsi="Times New Roman" w:cs="Times New Roman"/>
          <w:b/>
          <w:sz w:val="24"/>
          <w:szCs w:val="24"/>
        </w:rPr>
      </w:pPr>
      <w:r w:rsidRPr="002F521E">
        <w:rPr>
          <w:rFonts w:ascii="Times New Roman" w:hAnsi="Times New Roman" w:cs="Times New Roman"/>
          <w:b/>
          <w:sz w:val="24"/>
          <w:szCs w:val="24"/>
        </w:rPr>
        <w:t xml:space="preserve">Şekil 1. </w:t>
      </w:r>
      <w:r w:rsidRPr="002F521E">
        <w:rPr>
          <w:rFonts w:ascii="Times New Roman" w:hAnsi="Times New Roman" w:cs="Times New Roman"/>
          <w:sz w:val="24"/>
          <w:szCs w:val="24"/>
        </w:rPr>
        <w:t xml:space="preserve">Yatarak ve ayaktan verilen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hizmetlerinin dağılım yüzdeleri</w:t>
      </w:r>
    </w:p>
    <w:p w:rsidR="00622F23" w:rsidRDefault="00622F23" w:rsidP="00622F23">
      <w:pPr>
        <w:spacing w:line="240" w:lineRule="auto"/>
        <w:jc w:val="both"/>
        <w:rPr>
          <w:rFonts w:ascii="Times New Roman" w:hAnsi="Times New Roman" w:cs="Times New Roman"/>
          <w:sz w:val="24"/>
          <w:szCs w:val="24"/>
        </w:rPr>
        <w:sectPr w:rsidR="00622F23" w:rsidSect="003F1E22">
          <w:type w:val="continuous"/>
          <w:pgSz w:w="11906" w:h="16838"/>
          <w:pgMar w:top="1417" w:right="1417" w:bottom="1417" w:left="1417" w:header="708" w:footer="708" w:gutter="0"/>
          <w:cols w:space="708"/>
          <w:titlePg/>
          <w:docGrid w:linePitch="360"/>
        </w:sectPr>
      </w:pP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lastRenderedPageBreak/>
        <w:t xml:space="preserve">Tüm hastaların %54,5’i (n=277) yatarak ve %45,5’i  (n=231) ise ayaktan </w:t>
      </w:r>
      <w:r>
        <w:rPr>
          <w:rFonts w:ascii="Times New Roman" w:hAnsi="Times New Roman" w:cs="Times New Roman"/>
          <w:sz w:val="24"/>
          <w:szCs w:val="24"/>
        </w:rPr>
        <w:t>hizmet</w:t>
      </w:r>
      <w:r w:rsidRPr="002F521E">
        <w:rPr>
          <w:rFonts w:ascii="Times New Roman" w:hAnsi="Times New Roman" w:cs="Times New Roman"/>
          <w:sz w:val="24"/>
          <w:szCs w:val="24"/>
        </w:rPr>
        <w:t xml:space="preserve"> aldı (Şekil 1). Hasta ve hasta yakınlarına yönelik 5 eğitim programı düzenlenerek, 1 radyo programında onkolojik</w:t>
      </w:r>
      <w:r>
        <w:rPr>
          <w:rFonts w:ascii="Times New Roman" w:hAnsi="Times New Roman" w:cs="Times New Roman"/>
          <w:sz w:val="24"/>
          <w:szCs w:val="24"/>
        </w:rPr>
        <w:t xml:space="preserve"> </w:t>
      </w:r>
      <w:proofErr w:type="gramStart"/>
      <w:r>
        <w:rPr>
          <w:rFonts w:ascii="Times New Roman" w:hAnsi="Times New Roman" w:cs="Times New Roman"/>
          <w:sz w:val="24"/>
          <w:szCs w:val="24"/>
        </w:rPr>
        <w:t>fizyoterapi</w:t>
      </w:r>
      <w:proofErr w:type="gramEnd"/>
      <w:r>
        <w:rPr>
          <w:rFonts w:ascii="Times New Roman" w:hAnsi="Times New Roman" w:cs="Times New Roman"/>
          <w:sz w:val="24"/>
          <w:szCs w:val="24"/>
        </w:rPr>
        <w:t xml:space="preserve"> ve</w:t>
      </w:r>
      <w:r w:rsidRPr="002F521E">
        <w:rPr>
          <w:rFonts w:ascii="Times New Roman" w:hAnsi="Times New Roman" w:cs="Times New Roman"/>
          <w:sz w:val="24"/>
          <w:szCs w:val="24"/>
        </w:rPr>
        <w:t xml:space="preserve"> rehabilitasyon sürecinde fizyoterapistlerin rolü ve katkıları ile ilgili bilgiler verildi.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Onkolojik Fizyoterapi ve Rehabilitasyon Ünitesi tarafından verilen hizmetlerde hastalık ve hastaya özel olarak </w:t>
      </w:r>
      <w:r>
        <w:rPr>
          <w:rFonts w:ascii="Times New Roman" w:hAnsi="Times New Roman" w:cs="Times New Roman"/>
          <w:sz w:val="24"/>
          <w:szCs w:val="24"/>
        </w:rPr>
        <w:t>programlar</w:t>
      </w:r>
      <w:r w:rsidRPr="002F521E">
        <w:rPr>
          <w:rFonts w:ascii="Times New Roman" w:hAnsi="Times New Roman" w:cs="Times New Roman"/>
          <w:sz w:val="24"/>
          <w:szCs w:val="24"/>
        </w:rPr>
        <w:t xml:space="preserve"> oluşturulmaktadır.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uygulamaları kuvvetlendirme, denge ve koordinasyon, solunum, germe, ve gevşeme egzersizleri, mobilizasyon, klasik masaj ve aerobik egzersizlerden oluştu. Hastaların ihtiyaçlarına göre nörofizyolojik yaklaşımlar, elektroterapi, hidroterapi, </w:t>
      </w:r>
      <w:proofErr w:type="gramStart"/>
      <w:r w:rsidRPr="002F521E">
        <w:rPr>
          <w:rFonts w:ascii="Times New Roman" w:hAnsi="Times New Roman" w:cs="Times New Roman"/>
          <w:sz w:val="24"/>
          <w:szCs w:val="24"/>
        </w:rPr>
        <w:t>kompleks</w:t>
      </w:r>
      <w:proofErr w:type="gramEnd"/>
      <w:r w:rsidRPr="002F521E">
        <w:rPr>
          <w:rFonts w:ascii="Times New Roman" w:hAnsi="Times New Roman" w:cs="Times New Roman"/>
          <w:sz w:val="24"/>
          <w:szCs w:val="24"/>
        </w:rPr>
        <w:t xml:space="preserve"> boşaltıcı fizyoterapi gibi farklı teknikler ve yöntemler de programlara eklendi. Günlük yaşam aktivitelerinin performansı sırasında bağımsızlığı ve güvenliği artırmak için önerilerde bulunuldu. Fiziksel uygunluğu, iyilik halini ve yaşam kalitesini artırmaya yönelik bilgilendirme yapıldı. </w:t>
      </w:r>
      <w:r>
        <w:rPr>
          <w:rFonts w:ascii="Times New Roman" w:hAnsi="Times New Roman" w:cs="Times New Roman"/>
          <w:sz w:val="24"/>
          <w:szCs w:val="24"/>
        </w:rPr>
        <w:t xml:space="preserve">Onkolojik </w:t>
      </w:r>
      <w:proofErr w:type="gramStart"/>
      <w:r>
        <w:rPr>
          <w:rFonts w:ascii="Times New Roman" w:hAnsi="Times New Roman" w:cs="Times New Roman"/>
          <w:sz w:val="24"/>
          <w:szCs w:val="24"/>
        </w:rPr>
        <w:t>f</w:t>
      </w:r>
      <w:r w:rsidRPr="002F521E">
        <w:rPr>
          <w:rFonts w:ascii="Times New Roman" w:hAnsi="Times New Roman" w:cs="Times New Roman"/>
          <w:sz w:val="24"/>
          <w:szCs w:val="24"/>
        </w:rPr>
        <w:t>izyoterapi</w:t>
      </w:r>
      <w:proofErr w:type="gramEnd"/>
      <w:r w:rsidRPr="002F521E">
        <w:rPr>
          <w:rFonts w:ascii="Times New Roman" w:hAnsi="Times New Roman" w:cs="Times New Roman"/>
          <w:sz w:val="24"/>
          <w:szCs w:val="24"/>
        </w:rPr>
        <w:t xml:space="preserve"> ve rehabilitasyon programları bireylerin ihtiyaç ve beklentilerine göre klinik durumları ile ilgili bilgi edinildikten sonra bireye özel olarak oluşturuldu ve takip edildi.</w:t>
      </w:r>
    </w:p>
    <w:p w:rsidR="00622F23" w:rsidRPr="002F521E" w:rsidRDefault="00622F23" w:rsidP="00622F23">
      <w:pPr>
        <w:spacing w:line="240" w:lineRule="auto"/>
        <w:jc w:val="both"/>
        <w:rPr>
          <w:rFonts w:ascii="Times New Roman" w:hAnsi="Times New Roman" w:cs="Times New Roman"/>
          <w:b/>
          <w:sz w:val="24"/>
          <w:szCs w:val="24"/>
        </w:rPr>
      </w:pPr>
      <w:r w:rsidRPr="002F521E">
        <w:rPr>
          <w:rFonts w:ascii="Times New Roman" w:hAnsi="Times New Roman" w:cs="Times New Roman"/>
          <w:b/>
          <w:sz w:val="24"/>
          <w:szCs w:val="24"/>
        </w:rPr>
        <w:t>TARTIŞMA</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Ülkemizde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alanında hizmet veren sınırlı sayıdaki birimlerden birisi olan ünitemize başvuruların, verilen hizmetlerin ve çalışma</w:t>
      </w:r>
      <w:r>
        <w:rPr>
          <w:rFonts w:ascii="Times New Roman" w:hAnsi="Times New Roman" w:cs="Times New Roman"/>
          <w:sz w:val="24"/>
          <w:szCs w:val="24"/>
        </w:rPr>
        <w:t xml:space="preserve"> </w:t>
      </w:r>
      <w:r w:rsidRPr="002F521E">
        <w:rPr>
          <w:rFonts w:ascii="Times New Roman" w:hAnsi="Times New Roman" w:cs="Times New Roman"/>
          <w:sz w:val="24"/>
          <w:szCs w:val="24"/>
        </w:rPr>
        <w:t xml:space="preserve">alanlarının incelenmesi, kurulacak diğer benzer özellikteki birimlere öncülük etmesi nedeniyle önemlidir. </w:t>
      </w:r>
      <w:r>
        <w:rPr>
          <w:rFonts w:ascii="Times New Roman" w:hAnsi="Times New Roman" w:cs="Times New Roman"/>
          <w:sz w:val="24"/>
          <w:szCs w:val="24"/>
        </w:rPr>
        <w:t>Bu çalışma kapsamında elde edilen verilerden bu alanın i</w:t>
      </w:r>
      <w:r w:rsidRPr="002F521E">
        <w:rPr>
          <w:rFonts w:ascii="Times New Roman" w:hAnsi="Times New Roman" w:cs="Times New Roman"/>
          <w:sz w:val="24"/>
          <w:szCs w:val="24"/>
        </w:rPr>
        <w:t xml:space="preserve">leride </w:t>
      </w:r>
      <w:proofErr w:type="gramStart"/>
      <w:r w:rsidRPr="002F521E">
        <w:rPr>
          <w:rFonts w:ascii="Times New Roman" w:hAnsi="Times New Roman" w:cs="Times New Roman"/>
          <w:sz w:val="24"/>
          <w:szCs w:val="24"/>
        </w:rPr>
        <w:t>fizyoterapistler</w:t>
      </w:r>
      <w:proofErr w:type="gramEnd"/>
      <w:r w:rsidRPr="002F521E">
        <w:rPr>
          <w:rFonts w:ascii="Times New Roman" w:hAnsi="Times New Roman" w:cs="Times New Roman"/>
          <w:sz w:val="24"/>
          <w:szCs w:val="24"/>
        </w:rPr>
        <w:t xml:space="preserve"> için önemli bir istihdam alanı olma potansiyeli özelliği taşıdığı anlaşılmaktadır. Başvuruların çeşitliliği de alanın ne kadar geniş olduğu </w:t>
      </w:r>
      <w:r w:rsidRPr="002F521E">
        <w:rPr>
          <w:rFonts w:ascii="Times New Roman" w:hAnsi="Times New Roman" w:cs="Times New Roman"/>
          <w:sz w:val="24"/>
          <w:szCs w:val="24"/>
        </w:rPr>
        <w:lastRenderedPageBreak/>
        <w:t xml:space="preserve">hakkında fikir vermektedir. İnterdisipliner ve intradisipliner bir anlayışla çalışılması gereken bir alan olarak, farklı </w:t>
      </w:r>
      <w:proofErr w:type="gramStart"/>
      <w:r w:rsidRPr="002F521E">
        <w:rPr>
          <w:rFonts w:ascii="Times New Roman" w:hAnsi="Times New Roman" w:cs="Times New Roman"/>
          <w:sz w:val="24"/>
          <w:szCs w:val="24"/>
        </w:rPr>
        <w:t>branşlar</w:t>
      </w:r>
      <w:proofErr w:type="gramEnd"/>
      <w:r w:rsidRPr="002F521E">
        <w:rPr>
          <w:rFonts w:ascii="Times New Roman" w:hAnsi="Times New Roman" w:cs="Times New Roman"/>
          <w:sz w:val="24"/>
          <w:szCs w:val="24"/>
        </w:rPr>
        <w:t xml:space="preserve"> tarafından yönlendirilen çok çeşitli tanılardaki hastalara hizmet verilmektedir. Hastaların ihtiyaçlarına özel olarak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programları bireye özel olarak oluşturulmaktadır.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Bu çalışmadan elde edilen veriler,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alanının gerekliliğini ve büyüme potansiyelini de ortaya koymuştur. Literatürdeki çalışmalar kanser tanılı hasta </w:t>
      </w:r>
      <w:proofErr w:type="gramStart"/>
      <w:r w:rsidRPr="002F521E">
        <w:rPr>
          <w:rFonts w:ascii="Times New Roman" w:hAnsi="Times New Roman" w:cs="Times New Roman"/>
          <w:sz w:val="24"/>
          <w:szCs w:val="24"/>
        </w:rPr>
        <w:t>profili</w:t>
      </w:r>
      <w:proofErr w:type="gramEnd"/>
      <w:r w:rsidRPr="002F521E">
        <w:rPr>
          <w:rFonts w:ascii="Times New Roman" w:hAnsi="Times New Roman" w:cs="Times New Roman"/>
          <w:sz w:val="24"/>
          <w:szCs w:val="24"/>
        </w:rPr>
        <w:t xml:space="preserve"> konusunda fikir vermektedir </w:t>
      </w:r>
      <w:r w:rsidRPr="002F521E">
        <w:rPr>
          <w:rFonts w:ascii="Times New Roman" w:hAnsi="Times New Roman" w:cs="Times New Roman"/>
          <w:noProof/>
          <w:sz w:val="24"/>
          <w:szCs w:val="24"/>
        </w:rPr>
        <w:t>(19, 20)</w:t>
      </w:r>
      <w:r w:rsidRPr="002F521E">
        <w:rPr>
          <w:rFonts w:ascii="Times New Roman" w:hAnsi="Times New Roman" w:cs="Times New Roman"/>
          <w:sz w:val="24"/>
          <w:szCs w:val="24"/>
        </w:rPr>
        <w:t xml:space="preserve">. Ancak </w:t>
      </w:r>
      <w:r>
        <w:rPr>
          <w:rFonts w:ascii="Times New Roman" w:hAnsi="Times New Roman" w:cs="Times New Roman"/>
          <w:sz w:val="24"/>
          <w:szCs w:val="24"/>
        </w:rPr>
        <w:t>bu hizmetler</w:t>
      </w:r>
      <w:r w:rsidRPr="002F521E">
        <w:rPr>
          <w:rFonts w:ascii="Times New Roman" w:hAnsi="Times New Roman" w:cs="Times New Roman"/>
          <w:sz w:val="24"/>
          <w:szCs w:val="24"/>
        </w:rPr>
        <w:t xml:space="preserve">e başvuran hasta </w:t>
      </w:r>
      <w:proofErr w:type="gramStart"/>
      <w:r w:rsidRPr="002F521E">
        <w:rPr>
          <w:rFonts w:ascii="Times New Roman" w:hAnsi="Times New Roman" w:cs="Times New Roman"/>
          <w:sz w:val="24"/>
          <w:szCs w:val="24"/>
        </w:rPr>
        <w:t>profili</w:t>
      </w:r>
      <w:proofErr w:type="gramEnd"/>
      <w:r w:rsidRPr="002F521E">
        <w:rPr>
          <w:rFonts w:ascii="Times New Roman" w:hAnsi="Times New Roman" w:cs="Times New Roman"/>
          <w:sz w:val="24"/>
          <w:szCs w:val="24"/>
        </w:rPr>
        <w:t xml:space="preserve"> konusunda yapılmış çalışmalar sınırlıdır.  Yıldız Kabak V. ve ark. 2011-2015 yılları arasındaki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uygulamaları için konsülte edilen 176 kanser hastası ile ilgili bilgileri yayınlamıştır (18).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Bu yayında da, çalışmamızla benzer şekilde hematolojik kanserler (%38,7) ilk sırada ve meme kanseri (%15,3) ikinci sırada</w:t>
      </w:r>
      <w:r>
        <w:rPr>
          <w:rFonts w:ascii="Times New Roman" w:hAnsi="Times New Roman" w:cs="Times New Roman"/>
          <w:sz w:val="24"/>
          <w:szCs w:val="24"/>
        </w:rPr>
        <w:t>ki</w:t>
      </w:r>
      <w:r w:rsidRPr="002F521E">
        <w:rPr>
          <w:rFonts w:ascii="Times New Roman" w:hAnsi="Times New Roman" w:cs="Times New Roman"/>
          <w:sz w:val="24"/>
          <w:szCs w:val="24"/>
        </w:rPr>
        <w:t xml:space="preserve"> en fazla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w:t>
      </w:r>
      <w:r>
        <w:rPr>
          <w:rFonts w:ascii="Times New Roman" w:hAnsi="Times New Roman" w:cs="Times New Roman"/>
          <w:sz w:val="24"/>
          <w:szCs w:val="24"/>
        </w:rPr>
        <w:t>syon hizmeti sunulan tanılardır</w:t>
      </w:r>
      <w:r w:rsidRPr="002F521E">
        <w:rPr>
          <w:rFonts w:ascii="Times New Roman" w:hAnsi="Times New Roman" w:cs="Times New Roman"/>
          <w:sz w:val="24"/>
          <w:szCs w:val="24"/>
        </w:rPr>
        <w:t xml:space="preserve"> (18). Hematolojik malignitelere sahip olan hastaların ilk sırada yer almasının nedeni, gördükleri tedaviler (hematopoietik kök hücre nakli, yüksek doz </w:t>
      </w:r>
      <w:proofErr w:type="gramStart"/>
      <w:r w:rsidRPr="002F521E">
        <w:rPr>
          <w:rFonts w:ascii="Times New Roman" w:hAnsi="Times New Roman" w:cs="Times New Roman"/>
          <w:sz w:val="24"/>
          <w:szCs w:val="24"/>
        </w:rPr>
        <w:t>kemoterapi</w:t>
      </w:r>
      <w:proofErr w:type="gramEnd"/>
      <w:r w:rsidRPr="002F521E">
        <w:rPr>
          <w:rFonts w:ascii="Times New Roman" w:hAnsi="Times New Roman" w:cs="Times New Roman"/>
          <w:sz w:val="24"/>
          <w:szCs w:val="24"/>
        </w:rPr>
        <w:t xml:space="preserve"> ve tüm vücut radyoterapi) sonucunda çok şiddetli sistemik etkilenimlerinin olması ile açıklanabilir. Ayrıca </w:t>
      </w:r>
      <w:r>
        <w:rPr>
          <w:rFonts w:ascii="Times New Roman" w:hAnsi="Times New Roman" w:cs="Times New Roman"/>
          <w:sz w:val="24"/>
          <w:szCs w:val="24"/>
        </w:rPr>
        <w:t xml:space="preserve">hematolojik malignitelerin, </w:t>
      </w:r>
      <w:r w:rsidRPr="002F521E">
        <w:rPr>
          <w:rFonts w:ascii="Times New Roman" w:hAnsi="Times New Roman" w:cs="Times New Roman"/>
          <w:sz w:val="24"/>
          <w:szCs w:val="24"/>
        </w:rPr>
        <w:t xml:space="preserve">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ve rehabilitasyon uygulamalarına en fazla ihtiyacı olan kanser türlerinden birisi olduğu da söylenebilir.</w:t>
      </w:r>
    </w:p>
    <w:p w:rsidR="00622F23" w:rsidRPr="002F521E" w:rsidRDefault="00622F23" w:rsidP="00622F23">
      <w:pPr>
        <w:spacing w:line="240" w:lineRule="auto"/>
        <w:jc w:val="both"/>
        <w:rPr>
          <w:rFonts w:ascii="Times New Roman" w:hAnsi="Times New Roman" w:cs="Times New Roman"/>
          <w:sz w:val="24"/>
          <w:szCs w:val="24"/>
        </w:rPr>
      </w:pPr>
      <w:r>
        <w:rPr>
          <w:rFonts w:ascii="Times New Roman" w:hAnsi="Times New Roman" w:cs="Times New Roman"/>
          <w:sz w:val="24"/>
          <w:szCs w:val="24"/>
        </w:rPr>
        <w:t>Bu hasta grubunda, f</w:t>
      </w:r>
      <w:r w:rsidRPr="002F521E">
        <w:rPr>
          <w:rFonts w:ascii="Times New Roman" w:hAnsi="Times New Roman" w:cs="Times New Roman"/>
          <w:sz w:val="24"/>
          <w:szCs w:val="24"/>
        </w:rPr>
        <w:t xml:space="preserve">iziksel performans kayıpları ve kas kuvveti, yorgunluk, emosyonel problemler, immünolojik ve hematolojik değişiklikler gibi yan etkiler görülebilmektedir </w:t>
      </w:r>
      <w:r w:rsidRPr="002F521E">
        <w:rPr>
          <w:rFonts w:ascii="Times New Roman" w:hAnsi="Times New Roman" w:cs="Times New Roman"/>
          <w:noProof/>
          <w:sz w:val="24"/>
          <w:szCs w:val="24"/>
        </w:rPr>
        <w:t>(21)</w:t>
      </w:r>
      <w:r w:rsidRPr="002F521E">
        <w:rPr>
          <w:rFonts w:ascii="Times New Roman" w:hAnsi="Times New Roman" w:cs="Times New Roman"/>
          <w:sz w:val="24"/>
          <w:szCs w:val="24"/>
        </w:rPr>
        <w:t xml:space="preserve">. Tedaviye bağlı olarak akut toksisite fazla olabilmekte </w:t>
      </w:r>
      <w:r w:rsidRPr="002F521E">
        <w:rPr>
          <w:rFonts w:ascii="Times New Roman" w:hAnsi="Times New Roman" w:cs="Times New Roman"/>
          <w:noProof/>
          <w:sz w:val="24"/>
          <w:szCs w:val="24"/>
        </w:rPr>
        <w:t>(22)</w:t>
      </w:r>
      <w:r w:rsidRPr="002F521E">
        <w:rPr>
          <w:rFonts w:ascii="Times New Roman" w:hAnsi="Times New Roman" w:cs="Times New Roman"/>
          <w:sz w:val="24"/>
          <w:szCs w:val="24"/>
        </w:rPr>
        <w:t xml:space="preserve"> ve kemoterapatik ajanların uzun dönem yan etkileri de olabilmektedir </w:t>
      </w:r>
      <w:r w:rsidRPr="002F521E">
        <w:rPr>
          <w:rFonts w:ascii="Times New Roman" w:hAnsi="Times New Roman" w:cs="Times New Roman"/>
          <w:noProof/>
          <w:sz w:val="24"/>
          <w:szCs w:val="24"/>
        </w:rPr>
        <w:t>(23)</w:t>
      </w:r>
      <w:r w:rsidRPr="002F521E">
        <w:rPr>
          <w:rFonts w:ascii="Times New Roman" w:hAnsi="Times New Roman" w:cs="Times New Roman"/>
          <w:sz w:val="24"/>
          <w:szCs w:val="24"/>
        </w:rPr>
        <w:t xml:space="preserve">. Bu etkilerin </w:t>
      </w:r>
      <w:r w:rsidRPr="002F521E">
        <w:rPr>
          <w:rFonts w:ascii="Times New Roman" w:hAnsi="Times New Roman" w:cs="Times New Roman"/>
          <w:sz w:val="24"/>
          <w:szCs w:val="24"/>
        </w:rPr>
        <w:lastRenderedPageBreak/>
        <w:t>başında şiddetli yorgunluk, kas kuvvet</w:t>
      </w:r>
      <w:r>
        <w:rPr>
          <w:rFonts w:ascii="Times New Roman" w:hAnsi="Times New Roman" w:cs="Times New Roman"/>
          <w:sz w:val="24"/>
          <w:szCs w:val="24"/>
        </w:rPr>
        <w:t>inde azalma</w:t>
      </w:r>
      <w:r w:rsidRPr="002F521E">
        <w:rPr>
          <w:rFonts w:ascii="Times New Roman" w:hAnsi="Times New Roman" w:cs="Times New Roman"/>
          <w:sz w:val="24"/>
          <w:szCs w:val="24"/>
        </w:rPr>
        <w:t xml:space="preserve">, graft-versus-host hastalığı gelmektedir. Yüksek doz </w:t>
      </w:r>
      <w:proofErr w:type="gramStart"/>
      <w:r w:rsidRPr="002F521E">
        <w:rPr>
          <w:rFonts w:ascii="Times New Roman" w:hAnsi="Times New Roman" w:cs="Times New Roman"/>
          <w:sz w:val="24"/>
          <w:szCs w:val="24"/>
        </w:rPr>
        <w:t>kemoterapi</w:t>
      </w:r>
      <w:proofErr w:type="gramEnd"/>
      <w:r w:rsidRPr="002F521E">
        <w:rPr>
          <w:rFonts w:ascii="Times New Roman" w:hAnsi="Times New Roman" w:cs="Times New Roman"/>
          <w:sz w:val="24"/>
          <w:szCs w:val="24"/>
        </w:rPr>
        <w:t xml:space="preserve"> nedeniyle ortaya çıkan anemide, kırmızı kan hücrelerinin oksijen kapasitesi düşmekte ve hastada şiddetli yorgunluk oluşturmaktadır (9). Hematopoietik kök hücre nakli sırasında kas kuvvet kayıpları ise yüksek doz </w:t>
      </w:r>
      <w:proofErr w:type="gramStart"/>
      <w:r w:rsidRPr="002F521E">
        <w:rPr>
          <w:rFonts w:ascii="Times New Roman" w:hAnsi="Times New Roman" w:cs="Times New Roman"/>
          <w:sz w:val="24"/>
          <w:szCs w:val="24"/>
        </w:rPr>
        <w:t>kemoterapi</w:t>
      </w:r>
      <w:proofErr w:type="gramEnd"/>
      <w:r w:rsidRPr="002F521E">
        <w:rPr>
          <w:rFonts w:ascii="Times New Roman" w:hAnsi="Times New Roman" w:cs="Times New Roman"/>
          <w:sz w:val="24"/>
          <w:szCs w:val="24"/>
        </w:rPr>
        <w:t xml:space="preserve"> uygulamaları sonrasında sıklıkla görülmektedir. Ayrıca izole odada uzun süre kalmak ve yorgunluk gibi nedenlerle mobilize olmama da kas kuvvet kayıplarını büyük ölçüde artırmaktadır (11).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Türkiye’de bu alanda yapılan ilk çalışmaların sonuçları bildirilmiştir. Bu çalışmalar hem kök hücre nakli uygulamasının çeşitli aşamalarında hem de farklı yaş gruplarında sonuçları içermektedir.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Kök hücre toplanması için </w:t>
      </w:r>
      <w:r>
        <w:rPr>
          <w:rFonts w:ascii="Times New Roman" w:hAnsi="Times New Roman" w:cs="Times New Roman"/>
          <w:sz w:val="24"/>
          <w:szCs w:val="24"/>
        </w:rPr>
        <w:t xml:space="preserve">gereken </w:t>
      </w:r>
      <w:r w:rsidRPr="002F521E">
        <w:rPr>
          <w:rFonts w:ascii="Times New Roman" w:hAnsi="Times New Roman" w:cs="Times New Roman"/>
          <w:sz w:val="24"/>
          <w:szCs w:val="24"/>
        </w:rPr>
        <w:t xml:space="preserve">hazırlama döneminde yapılan düzenli egzersiz uygulamalarının CD34+ sayısının yükselmesinde istatistiksel olarak anlamlı düzeye ulaşmasa da olumlu etkisinin olduğu gösterilmiştir </w:t>
      </w:r>
      <w:r w:rsidRPr="002F521E">
        <w:rPr>
          <w:rFonts w:ascii="Times New Roman" w:hAnsi="Times New Roman" w:cs="Times New Roman"/>
          <w:noProof/>
          <w:sz w:val="24"/>
          <w:szCs w:val="24"/>
        </w:rPr>
        <w:t>(24)</w:t>
      </w:r>
      <w:r w:rsidRPr="002F521E">
        <w:rPr>
          <w:rFonts w:ascii="Times New Roman" w:hAnsi="Times New Roman" w:cs="Times New Roman"/>
          <w:sz w:val="24"/>
          <w:szCs w:val="24"/>
        </w:rPr>
        <w:t xml:space="preserve">. </w:t>
      </w:r>
    </w:p>
    <w:p w:rsidR="00622F23" w:rsidRPr="002F521E" w:rsidRDefault="00622F23" w:rsidP="00622F23">
      <w:pPr>
        <w:spacing w:line="240" w:lineRule="auto"/>
        <w:jc w:val="both"/>
        <w:rPr>
          <w:rFonts w:ascii="Times New Roman" w:eastAsia="Times New Roman" w:hAnsi="Times New Roman" w:cs="Times New Roman"/>
          <w:sz w:val="24"/>
          <w:szCs w:val="24"/>
        </w:rPr>
      </w:pPr>
      <w:r w:rsidRPr="002F521E">
        <w:rPr>
          <w:rFonts w:ascii="Times New Roman" w:hAnsi="Times New Roman" w:cs="Times New Roman"/>
          <w:sz w:val="24"/>
          <w:szCs w:val="24"/>
        </w:rPr>
        <w:t xml:space="preserve">Otolog kök hücre nakli sürecinde hazırlama, nakil öncesi ve sonrası dönemlerde benzer seviyelerdeki egzersize verilen akut fizyolojik cevaplarda değişme olmadığı gösterilerek, bu dönemler boyunca egzersiz uygulamaların güvenle yapılabileceği bildirilmiştir </w:t>
      </w:r>
      <w:r w:rsidRPr="002F521E">
        <w:rPr>
          <w:rFonts w:ascii="Times New Roman" w:hAnsi="Times New Roman" w:cs="Times New Roman"/>
          <w:noProof/>
          <w:sz w:val="24"/>
          <w:szCs w:val="24"/>
        </w:rPr>
        <w:t>(25)</w:t>
      </w:r>
      <w:r w:rsidRPr="002F521E">
        <w:rPr>
          <w:rFonts w:ascii="Times New Roman" w:hAnsi="Times New Roman" w:cs="Times New Roman"/>
          <w:sz w:val="24"/>
          <w:szCs w:val="24"/>
        </w:rPr>
        <w:t>.</w:t>
      </w:r>
      <w:r w:rsidRPr="002F521E">
        <w:rPr>
          <w:rFonts w:ascii="Times New Roman" w:eastAsia="Times New Roman" w:hAnsi="Times New Roman" w:cs="Times New Roman"/>
          <w:sz w:val="24"/>
          <w:szCs w:val="24"/>
        </w:rPr>
        <w:t xml:space="preserve"> </w:t>
      </w:r>
    </w:p>
    <w:p w:rsidR="00622F23" w:rsidRPr="002F521E" w:rsidRDefault="00622F23" w:rsidP="00622F23">
      <w:pPr>
        <w:pStyle w:val="Normal1"/>
        <w:spacing w:line="240" w:lineRule="auto"/>
        <w:jc w:val="both"/>
        <w:rPr>
          <w:rFonts w:ascii="Times New Roman" w:hAnsi="Times New Roman" w:cs="Times New Roman"/>
          <w:color w:val="auto"/>
          <w:sz w:val="24"/>
          <w:szCs w:val="24"/>
        </w:rPr>
      </w:pPr>
      <w:r w:rsidRPr="002F521E">
        <w:rPr>
          <w:rFonts w:ascii="Times New Roman" w:hAnsi="Times New Roman" w:cs="Times New Roman"/>
          <w:color w:val="auto"/>
          <w:sz w:val="24"/>
          <w:szCs w:val="24"/>
        </w:rPr>
        <w:t xml:space="preserve">Hastanede yatış boyunca </w:t>
      </w:r>
      <w:proofErr w:type="gramStart"/>
      <w:r w:rsidRPr="002F521E">
        <w:rPr>
          <w:rFonts w:ascii="Times New Roman" w:hAnsi="Times New Roman" w:cs="Times New Roman"/>
          <w:color w:val="auto"/>
          <w:sz w:val="24"/>
          <w:szCs w:val="24"/>
        </w:rPr>
        <w:t>fizyoterapistin</w:t>
      </w:r>
      <w:proofErr w:type="gramEnd"/>
      <w:r w:rsidRPr="002F521E">
        <w:rPr>
          <w:rFonts w:ascii="Times New Roman" w:hAnsi="Times New Roman" w:cs="Times New Roman"/>
          <w:color w:val="auto"/>
          <w:sz w:val="24"/>
          <w:szCs w:val="24"/>
        </w:rPr>
        <w:t xml:space="preserve"> süpervizörlüğünde sürdürülen egzersiz programının fiziksel fonksiyonlar ve fonksiyonel performans üzerinde anlamlı değişiklikler sağladığı bildirilmiştir. Hematopoietik kökhücre nakli sürecinde pediatrik hastaların da </w:t>
      </w:r>
      <w:proofErr w:type="gramStart"/>
      <w:r w:rsidRPr="002F521E">
        <w:rPr>
          <w:rFonts w:ascii="Times New Roman" w:hAnsi="Times New Roman" w:cs="Times New Roman"/>
          <w:color w:val="auto"/>
          <w:sz w:val="24"/>
          <w:szCs w:val="24"/>
        </w:rPr>
        <w:t>fizyoterapi</w:t>
      </w:r>
      <w:proofErr w:type="gramEnd"/>
      <w:r w:rsidRPr="002F521E">
        <w:rPr>
          <w:rFonts w:ascii="Times New Roman" w:hAnsi="Times New Roman" w:cs="Times New Roman"/>
          <w:color w:val="auto"/>
          <w:sz w:val="24"/>
          <w:szCs w:val="24"/>
        </w:rPr>
        <w:t xml:space="preserve"> programları ile desteklenmesinin önemi ve gerekliliği vurgulanmıştır (26</w:t>
      </w:r>
      <w:r w:rsidRPr="002F521E">
        <w:rPr>
          <w:rFonts w:ascii="Times New Roman" w:eastAsia="Times New Roman" w:hAnsi="Times New Roman" w:cs="Times New Roman"/>
          <w:color w:val="auto"/>
          <w:sz w:val="24"/>
          <w:szCs w:val="24"/>
        </w:rPr>
        <w:t>)</w:t>
      </w:r>
      <w:r w:rsidRPr="002F521E">
        <w:rPr>
          <w:rFonts w:ascii="Times New Roman" w:hAnsi="Times New Roman" w:cs="Times New Roman"/>
          <w:color w:val="auto"/>
          <w:sz w:val="24"/>
          <w:szCs w:val="24"/>
        </w:rPr>
        <w:t xml:space="preserve">. </w:t>
      </w:r>
    </w:p>
    <w:p w:rsidR="00622F23" w:rsidRDefault="00622F23" w:rsidP="00622F23">
      <w:pPr>
        <w:autoSpaceDE w:val="0"/>
        <w:autoSpaceDN w:val="0"/>
        <w:adjustRightInd w:val="0"/>
        <w:spacing w:line="240" w:lineRule="auto"/>
        <w:jc w:val="both"/>
        <w:rPr>
          <w:rFonts w:ascii="Times New Roman" w:hAnsi="Times New Roman" w:cs="Times New Roman"/>
          <w:sz w:val="24"/>
          <w:szCs w:val="24"/>
        </w:rPr>
      </w:pPr>
    </w:p>
    <w:p w:rsidR="00622F23" w:rsidRPr="002F521E" w:rsidRDefault="00622F23" w:rsidP="00622F23">
      <w:pPr>
        <w:autoSpaceDE w:val="0"/>
        <w:autoSpaceDN w:val="0"/>
        <w:adjustRightInd w:val="0"/>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60-65 yaş arasındaki hematolojik malign</w:t>
      </w:r>
      <w:r>
        <w:rPr>
          <w:rFonts w:ascii="Times New Roman" w:hAnsi="Times New Roman" w:cs="Times New Roman"/>
          <w:sz w:val="24"/>
          <w:szCs w:val="24"/>
        </w:rPr>
        <w:t>ite</w:t>
      </w:r>
      <w:r w:rsidRPr="002F521E">
        <w:rPr>
          <w:rFonts w:ascii="Times New Roman" w:hAnsi="Times New Roman" w:cs="Times New Roman"/>
          <w:sz w:val="24"/>
          <w:szCs w:val="24"/>
        </w:rPr>
        <w:t xml:space="preserve">lerde yüksek mortalite ve morbidite riski nedeniyle otolog hematopoietik kök hücre nakli (OHKHN) </w:t>
      </w:r>
      <w:r w:rsidRPr="002F521E">
        <w:rPr>
          <w:rFonts w:ascii="Times New Roman" w:hAnsi="Times New Roman" w:cs="Times New Roman"/>
          <w:sz w:val="24"/>
          <w:szCs w:val="24"/>
        </w:rPr>
        <w:lastRenderedPageBreak/>
        <w:t>diğer yaş gruplarına göre daha sınırlı sayıda uygulanabilmektedir. Bu süreçte</w:t>
      </w:r>
      <w:r>
        <w:rPr>
          <w:rFonts w:ascii="Times New Roman" w:hAnsi="Times New Roman" w:cs="Times New Roman"/>
          <w:sz w:val="24"/>
          <w:szCs w:val="24"/>
        </w:rPr>
        <w:t xml:space="preserve"> hastalara</w:t>
      </w:r>
      <w:r w:rsidRPr="002F521E">
        <w:rPr>
          <w:rFonts w:ascii="Times New Roman" w:hAnsi="Times New Roman" w:cs="Times New Roman"/>
          <w:sz w:val="24"/>
          <w:szCs w:val="24"/>
        </w:rPr>
        <w:t xml:space="preserve"> düzenli </w:t>
      </w:r>
      <w:r>
        <w:rPr>
          <w:rFonts w:ascii="Times New Roman" w:hAnsi="Times New Roman" w:cs="Times New Roman"/>
          <w:sz w:val="24"/>
          <w:szCs w:val="24"/>
        </w:rPr>
        <w:t xml:space="preserve">olarak uygulanan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w:t>
      </w:r>
      <w:r>
        <w:rPr>
          <w:rFonts w:ascii="Times New Roman" w:hAnsi="Times New Roman" w:cs="Times New Roman"/>
          <w:sz w:val="24"/>
          <w:szCs w:val="24"/>
        </w:rPr>
        <w:t>ve rehabilitasyonun</w:t>
      </w:r>
      <w:r w:rsidRPr="002F521E">
        <w:rPr>
          <w:rFonts w:ascii="Times New Roman" w:hAnsi="Times New Roman" w:cs="Times New Roman"/>
          <w:sz w:val="24"/>
          <w:szCs w:val="24"/>
        </w:rPr>
        <w:t xml:space="preserve"> hastanede kalışları boyunca (nakil sonrası ilk 30 gün) </w:t>
      </w:r>
      <w:r>
        <w:rPr>
          <w:rFonts w:ascii="Times New Roman" w:hAnsi="Times New Roman" w:cs="Times New Roman"/>
          <w:sz w:val="24"/>
          <w:szCs w:val="24"/>
        </w:rPr>
        <w:t xml:space="preserve">hastaların </w:t>
      </w:r>
      <w:r w:rsidRPr="002F521E">
        <w:rPr>
          <w:rFonts w:ascii="Times New Roman" w:hAnsi="Times New Roman" w:cs="Times New Roman"/>
          <w:sz w:val="24"/>
          <w:szCs w:val="24"/>
        </w:rPr>
        <w:t xml:space="preserve">kan transfüzyon sayıları üzerine etkileri incelenmiştir. Egzersiz grubunda eritrosit infüzyon sayısının 2.5 (0-5), kontrol grubunda 4 (1-6) (p&lt;0.05); trombosit infüzyon sayısının ise egzersiz grubunda 1 (1-7), kontrol grubunda 2 (0-4) olduğu bildirilmiştir (p&gt;0.05). OHKHN sürecinde egzersiz programıyla izlenen grupta, eritrosit transfüzyonu ihtiyacının anlamlı düzeyde düşük olması, egzersiz uygulamalarının hematopoez üzerinde uyarıcı olan olumlu etkisini ortaya koymuştur. 60-65 yaş aralığındaki bireylerde OHKHN sürecinin, özellikle egzersiz ile desteklenmesi gerektiği belirtilmiştir </w:t>
      </w:r>
      <w:r w:rsidRPr="002F521E">
        <w:rPr>
          <w:rFonts w:ascii="Times New Roman" w:hAnsi="Times New Roman" w:cs="Times New Roman"/>
          <w:noProof/>
          <w:sz w:val="24"/>
          <w:szCs w:val="24"/>
        </w:rPr>
        <w:t>(27)</w:t>
      </w:r>
      <w:r w:rsidRPr="002F521E">
        <w:rPr>
          <w:rFonts w:ascii="Times New Roman" w:hAnsi="Times New Roman" w:cs="Times New Roman"/>
          <w:sz w:val="24"/>
          <w:szCs w:val="24"/>
        </w:rPr>
        <w:t>.</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Kanser hastalarının kendi potansiyellerine uygun fiziksel mobiliteyi kazanması ve günlük yaşamdaki rolüne daha hızlı adapte olması için bu hastaların ilk günden başlayarak fiziksel aktivite ve mobilitelerinin koruması ve artırılması gerekliliği ile ilgili detaylı bilgilere, </w:t>
      </w:r>
      <w:proofErr w:type="gramStart"/>
      <w:r w:rsidRPr="002F521E">
        <w:rPr>
          <w:rFonts w:ascii="Times New Roman" w:hAnsi="Times New Roman" w:cs="Times New Roman"/>
          <w:sz w:val="24"/>
          <w:szCs w:val="24"/>
        </w:rPr>
        <w:t>literatürde</w:t>
      </w:r>
      <w:proofErr w:type="gramEnd"/>
      <w:r w:rsidRPr="002F521E">
        <w:rPr>
          <w:rFonts w:ascii="Times New Roman" w:hAnsi="Times New Roman" w:cs="Times New Roman"/>
          <w:sz w:val="24"/>
          <w:szCs w:val="24"/>
        </w:rPr>
        <w:t xml:space="preserve"> 1978 yıllarında rastlanmaktadır (12). Egzersizlerin hem hastanede yatış süresince yapılması hem de hastaneden taburcu olduktan sonra devam ettirilmesinin kas kuvveti, fiziksel performans, vücut ağırlığı, yağ kaybı ve yaşam kalitesinde gelişmelere yol açtığı gösterilmiştir </w:t>
      </w:r>
      <w:r w:rsidRPr="002F521E">
        <w:rPr>
          <w:rFonts w:ascii="Times New Roman" w:hAnsi="Times New Roman" w:cs="Times New Roman"/>
          <w:noProof/>
          <w:sz w:val="24"/>
          <w:szCs w:val="24"/>
        </w:rPr>
        <w:t>(28-31)</w:t>
      </w:r>
      <w:r w:rsidRPr="002F521E">
        <w:rPr>
          <w:rFonts w:ascii="Times New Roman" w:hAnsi="Times New Roman" w:cs="Times New Roman"/>
          <w:sz w:val="24"/>
          <w:szCs w:val="24"/>
        </w:rPr>
        <w:t xml:space="preserve">. Egzersizin kök hücre nakli süresince herhangi bir beklenmedik veya olumsuz etkisi olmadığı, hatta süreci olumlu yönde etkilediği rapor edilmiştir </w:t>
      </w:r>
      <w:r w:rsidRPr="002F521E">
        <w:rPr>
          <w:rFonts w:ascii="Times New Roman" w:hAnsi="Times New Roman" w:cs="Times New Roman"/>
          <w:noProof/>
          <w:sz w:val="24"/>
          <w:szCs w:val="24"/>
        </w:rPr>
        <w:t>(31-33)</w:t>
      </w:r>
      <w:r w:rsidRPr="002F521E">
        <w:rPr>
          <w:rFonts w:ascii="Times New Roman" w:hAnsi="Times New Roman" w:cs="Times New Roman"/>
          <w:sz w:val="24"/>
          <w:szCs w:val="24"/>
        </w:rPr>
        <w:t xml:space="preserve">. Hematolojik kanserler nedeniyle hastanede yatarak izlenen veya ayaktan takip edilen hastalarda hastalığın ve tedavilerin yan etkilerinin neden olduğu faktörler değerlendirilerek, uygun onkolojik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w:t>
      </w:r>
      <w:r>
        <w:rPr>
          <w:rFonts w:ascii="Times New Roman" w:hAnsi="Times New Roman" w:cs="Times New Roman"/>
          <w:sz w:val="24"/>
          <w:szCs w:val="24"/>
        </w:rPr>
        <w:t xml:space="preserve">ve rehabilitasyon </w:t>
      </w:r>
      <w:r w:rsidRPr="002F521E">
        <w:rPr>
          <w:rFonts w:ascii="Times New Roman" w:hAnsi="Times New Roman" w:cs="Times New Roman"/>
          <w:sz w:val="24"/>
          <w:szCs w:val="24"/>
        </w:rPr>
        <w:t xml:space="preserve">programı kapsamlı bir şekilde oluşturulmalıdır.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Çok yaygın olan kanser türlerinden birisi olan meme kanserine, Türkiye Halk Sağlığı Kurumu’nun 2014 yılına ait kanser </w:t>
      </w:r>
      <w:r w:rsidRPr="002F521E">
        <w:rPr>
          <w:rFonts w:ascii="Times New Roman" w:hAnsi="Times New Roman" w:cs="Times New Roman"/>
          <w:sz w:val="24"/>
          <w:szCs w:val="24"/>
        </w:rPr>
        <w:lastRenderedPageBreak/>
        <w:t xml:space="preserve">istatistikleri raporuna göre, ülkemizde her 4 kadın kanserinden 1’inde rastlanmaktadır </w:t>
      </w:r>
      <w:r w:rsidRPr="002F521E">
        <w:rPr>
          <w:rFonts w:ascii="Times New Roman" w:hAnsi="Times New Roman" w:cs="Times New Roman"/>
          <w:noProof/>
          <w:sz w:val="24"/>
          <w:szCs w:val="24"/>
        </w:rPr>
        <w:t>(34)</w:t>
      </w:r>
      <w:r w:rsidRPr="002F521E">
        <w:rPr>
          <w:rFonts w:ascii="Times New Roman" w:hAnsi="Times New Roman" w:cs="Times New Roman"/>
          <w:sz w:val="24"/>
          <w:szCs w:val="24"/>
        </w:rPr>
        <w:t xml:space="preserve">. Meme kanserinin kadınlarda yaygın olarak görülen bir kanser türü olması, ünitemize başvuran hastalar içerisinde de meme kanseri tanılı hastaların ikinci sırada yer alması ve önemli bir orana sahip olmasının nedeni olarak düşünülmüştür. Bu durum meme kanserinde </w:t>
      </w:r>
      <w:r>
        <w:rPr>
          <w:rFonts w:ascii="Times New Roman" w:hAnsi="Times New Roman" w:cs="Times New Roman"/>
          <w:sz w:val="24"/>
          <w:szCs w:val="24"/>
        </w:rPr>
        <w:t>bu alandaki uygulamaların gerekliliğini</w:t>
      </w:r>
      <w:r w:rsidRPr="002F521E">
        <w:rPr>
          <w:rFonts w:ascii="Times New Roman" w:hAnsi="Times New Roman" w:cs="Times New Roman"/>
          <w:sz w:val="24"/>
          <w:szCs w:val="24"/>
        </w:rPr>
        <w:t xml:space="preserve"> destekler niteliktedir.</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Kanser tedavilerindeki ilerlemeler ile meme kanseri tanılı bireylerin sağ kalım süresi artmış, tedaviye bağlı </w:t>
      </w:r>
      <w:proofErr w:type="gramStart"/>
      <w:r w:rsidRPr="002F521E">
        <w:rPr>
          <w:rFonts w:ascii="Times New Roman" w:hAnsi="Times New Roman" w:cs="Times New Roman"/>
          <w:sz w:val="24"/>
          <w:szCs w:val="24"/>
        </w:rPr>
        <w:t>komplikasyonların</w:t>
      </w:r>
      <w:proofErr w:type="gramEnd"/>
      <w:r w:rsidRPr="002F521E">
        <w:rPr>
          <w:rFonts w:ascii="Times New Roman" w:hAnsi="Times New Roman" w:cs="Times New Roman"/>
          <w:sz w:val="24"/>
          <w:szCs w:val="24"/>
        </w:rPr>
        <w:t xml:space="preserve"> düzeltilmesi ve yaşam kalitesinin arttırılması daha fazla önem kazanmıştır. Kısıtlanmış üst gövde mobilitesi, ağrı, bozulmuş duyu ve kuvvet kaybı meme kanserli bireylerde genellikle cerrahi tedavi veya </w:t>
      </w:r>
      <w:proofErr w:type="gramStart"/>
      <w:r w:rsidRPr="002F521E">
        <w:rPr>
          <w:rFonts w:ascii="Times New Roman" w:hAnsi="Times New Roman" w:cs="Times New Roman"/>
          <w:sz w:val="24"/>
          <w:szCs w:val="24"/>
        </w:rPr>
        <w:t>radyoterapi</w:t>
      </w:r>
      <w:proofErr w:type="gramEnd"/>
      <w:r w:rsidRPr="002F521E">
        <w:rPr>
          <w:rFonts w:ascii="Times New Roman" w:hAnsi="Times New Roman" w:cs="Times New Roman"/>
          <w:sz w:val="24"/>
          <w:szCs w:val="24"/>
        </w:rPr>
        <w:t xml:space="preserve"> sonrası ortaya çıkan ve sıkça rastlanan bozukluklar arasındadır. Meme cerrahisi geçiren hastalarla yapılan bir çalışmada azalmış omuz eklem hareketinin %1-67, kol zayıflığının %28, omuz-kol ağrısının %9-68 oranında olduğu gösterilmiştir </w:t>
      </w:r>
      <w:r w:rsidRPr="002F521E">
        <w:rPr>
          <w:rFonts w:ascii="Times New Roman" w:hAnsi="Times New Roman" w:cs="Times New Roman"/>
          <w:noProof/>
          <w:sz w:val="24"/>
          <w:szCs w:val="24"/>
        </w:rPr>
        <w:t>(35)</w:t>
      </w:r>
      <w:r w:rsidRPr="002F521E">
        <w:rPr>
          <w:rFonts w:ascii="Times New Roman" w:hAnsi="Times New Roman" w:cs="Times New Roman"/>
          <w:sz w:val="24"/>
          <w:szCs w:val="24"/>
        </w:rPr>
        <w:t xml:space="preserve">. </w:t>
      </w:r>
    </w:p>
    <w:p w:rsidR="00622F23" w:rsidRPr="002F521E" w:rsidRDefault="00622F23" w:rsidP="00622F23">
      <w:pPr>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Tüm bu bozukluklar hastalarda fonksiyon kaybına neden olarak hastaların yaşam kalitesini olumsuz yönde etkilemektedir. Bu olumsuzlukları düzeltmek amacıyla meme kanseri ve tedavilerine bağlı komplikasyonların giderilmesinde multidisipliner </w:t>
      </w:r>
      <w:proofErr w:type="gramStart"/>
      <w:r w:rsidRPr="002F521E">
        <w:rPr>
          <w:rFonts w:ascii="Times New Roman" w:hAnsi="Times New Roman" w:cs="Times New Roman"/>
          <w:sz w:val="24"/>
          <w:szCs w:val="24"/>
        </w:rPr>
        <w:t>rehabilitasyon</w:t>
      </w:r>
      <w:proofErr w:type="gramEnd"/>
      <w:r w:rsidRPr="002F521E">
        <w:rPr>
          <w:rFonts w:ascii="Times New Roman" w:hAnsi="Times New Roman" w:cs="Times New Roman"/>
          <w:sz w:val="24"/>
          <w:szCs w:val="24"/>
        </w:rPr>
        <w:t xml:space="preserve"> yaklaşımları çok önemli bir yere sahiptir. Rehabilitasyon uygulamaları içerisinde </w:t>
      </w:r>
      <w:r>
        <w:rPr>
          <w:rFonts w:ascii="Times New Roman" w:hAnsi="Times New Roman" w:cs="Times New Roman"/>
          <w:sz w:val="24"/>
          <w:szCs w:val="24"/>
        </w:rPr>
        <w:t xml:space="preserve">onkolojik </w:t>
      </w:r>
      <w:proofErr w:type="gramStart"/>
      <w:r w:rsidRPr="002F521E">
        <w:rPr>
          <w:rFonts w:ascii="Times New Roman" w:hAnsi="Times New Roman" w:cs="Times New Roman"/>
          <w:sz w:val="24"/>
          <w:szCs w:val="24"/>
        </w:rPr>
        <w:t>fizyoterapinin</w:t>
      </w:r>
      <w:proofErr w:type="gramEnd"/>
      <w:r w:rsidRPr="002F521E">
        <w:rPr>
          <w:rFonts w:ascii="Times New Roman" w:hAnsi="Times New Roman" w:cs="Times New Roman"/>
          <w:sz w:val="24"/>
          <w:szCs w:val="24"/>
        </w:rPr>
        <w:t xml:space="preserve"> etkinliği yapılan farklı çalışmalarla gösterilmiştir </w:t>
      </w:r>
      <w:r w:rsidRPr="002F521E">
        <w:rPr>
          <w:rFonts w:ascii="Times New Roman" w:hAnsi="Times New Roman" w:cs="Times New Roman"/>
          <w:noProof/>
          <w:sz w:val="24"/>
          <w:szCs w:val="24"/>
        </w:rPr>
        <w:t>(36, 37)</w:t>
      </w:r>
      <w:r w:rsidRPr="002F521E">
        <w:rPr>
          <w:rFonts w:ascii="Times New Roman" w:hAnsi="Times New Roman" w:cs="Times New Roman"/>
          <w:sz w:val="24"/>
          <w:szCs w:val="24"/>
        </w:rPr>
        <w:t xml:space="preserve">. </w:t>
      </w:r>
    </w:p>
    <w:p w:rsidR="00622F23" w:rsidRPr="002F521E" w:rsidRDefault="00622F23" w:rsidP="00622F23">
      <w:pPr>
        <w:autoSpaceDE w:val="0"/>
        <w:autoSpaceDN w:val="0"/>
        <w:adjustRightInd w:val="0"/>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Meme kanseri tanılı hastalarda pilates temelli egzersizleri (38),  </w:t>
      </w:r>
      <w:proofErr w:type="gramStart"/>
      <w:r w:rsidRPr="002F521E">
        <w:rPr>
          <w:rFonts w:ascii="Times New Roman" w:hAnsi="Times New Roman" w:cs="Times New Roman"/>
          <w:sz w:val="24"/>
          <w:szCs w:val="24"/>
        </w:rPr>
        <w:t>kompleks</w:t>
      </w:r>
      <w:proofErr w:type="gramEnd"/>
      <w:r w:rsidRPr="002F521E">
        <w:rPr>
          <w:rFonts w:ascii="Times New Roman" w:hAnsi="Times New Roman" w:cs="Times New Roman"/>
          <w:sz w:val="24"/>
          <w:szCs w:val="24"/>
        </w:rPr>
        <w:t xml:space="preserve"> dekonjestif fizyoterapi uygulamaları (39-41), yoga (42), aerobik egzersiz programları (43), Kinezyo Bantlama (Kinesio Taping(®)) (44) gibi çok çeşitli fizyoterapi uygulamalarının etkileri incelenmiştir. </w:t>
      </w:r>
    </w:p>
    <w:p w:rsidR="00622F23" w:rsidRDefault="00622F23" w:rsidP="00622F2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2F521E">
        <w:rPr>
          <w:rFonts w:ascii="Times New Roman" w:hAnsi="Times New Roman" w:cs="Times New Roman"/>
          <w:sz w:val="24"/>
          <w:szCs w:val="24"/>
        </w:rPr>
        <w:t>rostat kanseri tanılı hastaların ünitemize başvuran kanser hastaları arasında üçüncü sırada yer almış olmaları</w:t>
      </w:r>
      <w:r>
        <w:rPr>
          <w:rFonts w:ascii="Times New Roman" w:hAnsi="Times New Roman" w:cs="Times New Roman"/>
          <w:sz w:val="24"/>
          <w:szCs w:val="24"/>
        </w:rPr>
        <w:t>,</w:t>
      </w:r>
      <w:r w:rsidRPr="002F521E">
        <w:rPr>
          <w:rFonts w:ascii="Times New Roman" w:hAnsi="Times New Roman" w:cs="Times New Roman"/>
          <w:sz w:val="24"/>
          <w:szCs w:val="24"/>
        </w:rPr>
        <w:t xml:space="preserve"> </w:t>
      </w:r>
      <w:r w:rsidRPr="00397DBB">
        <w:rPr>
          <w:rFonts w:ascii="Times New Roman" w:hAnsi="Times New Roman" w:cs="Times New Roman"/>
          <w:sz w:val="24"/>
          <w:szCs w:val="24"/>
        </w:rPr>
        <w:t xml:space="preserve">bu kanser türünün ülkemizde erkeklerde görülen kanserler </w:t>
      </w:r>
      <w:r w:rsidRPr="00397DBB">
        <w:rPr>
          <w:rFonts w:ascii="Times New Roman" w:hAnsi="Times New Roman" w:cs="Times New Roman"/>
          <w:sz w:val="24"/>
          <w:szCs w:val="24"/>
        </w:rPr>
        <w:lastRenderedPageBreak/>
        <w:t>arasında ikinci sırada olmasından</w:t>
      </w:r>
      <w:r w:rsidRPr="002F521E">
        <w:rPr>
          <w:rFonts w:ascii="Times New Roman" w:hAnsi="Times New Roman" w:cs="Times New Roman"/>
          <w:sz w:val="24"/>
          <w:szCs w:val="24"/>
        </w:rPr>
        <w:t xml:space="preserve"> kaynaklanabilir. Prostat kanserinde, </w:t>
      </w:r>
      <w:r>
        <w:rPr>
          <w:rFonts w:ascii="Times New Roman" w:hAnsi="Times New Roman" w:cs="Times New Roman"/>
          <w:sz w:val="24"/>
          <w:szCs w:val="24"/>
        </w:rPr>
        <w:t xml:space="preserve">yapılan </w:t>
      </w:r>
      <w:r w:rsidRPr="002F521E">
        <w:rPr>
          <w:rFonts w:ascii="Times New Roman" w:hAnsi="Times New Roman" w:cs="Times New Roman"/>
          <w:sz w:val="24"/>
          <w:szCs w:val="24"/>
        </w:rPr>
        <w:t>egzersiz veya fiziksel aktivite müdahalelerin</w:t>
      </w:r>
      <w:r>
        <w:rPr>
          <w:rFonts w:ascii="Times New Roman" w:hAnsi="Times New Roman" w:cs="Times New Roman"/>
          <w:sz w:val="24"/>
          <w:szCs w:val="24"/>
        </w:rPr>
        <w:t>in</w:t>
      </w:r>
      <w:r w:rsidRPr="002F521E">
        <w:rPr>
          <w:rFonts w:ascii="Times New Roman" w:hAnsi="Times New Roman" w:cs="Times New Roman"/>
          <w:sz w:val="24"/>
          <w:szCs w:val="24"/>
        </w:rPr>
        <w:t xml:space="preserve"> yaşam kalitesi, yorgunluk, fiziksel uygunluk ve fonksiyonu geliştirebileceği daha önce</w:t>
      </w:r>
      <w:r>
        <w:rPr>
          <w:rFonts w:ascii="Times New Roman" w:hAnsi="Times New Roman" w:cs="Times New Roman"/>
          <w:sz w:val="24"/>
          <w:szCs w:val="24"/>
        </w:rPr>
        <w:t>ki</w:t>
      </w:r>
      <w:r w:rsidRPr="002F521E">
        <w:rPr>
          <w:rFonts w:ascii="Times New Roman" w:hAnsi="Times New Roman" w:cs="Times New Roman"/>
          <w:sz w:val="24"/>
          <w:szCs w:val="24"/>
        </w:rPr>
        <w:t xml:space="preserve"> çalışmalarda gösterilmiştir </w:t>
      </w:r>
      <w:r w:rsidRPr="002F521E">
        <w:rPr>
          <w:rFonts w:ascii="Times New Roman" w:hAnsi="Times New Roman" w:cs="Times New Roman"/>
          <w:noProof/>
          <w:sz w:val="24"/>
          <w:szCs w:val="24"/>
        </w:rPr>
        <w:t>(45)</w:t>
      </w:r>
      <w:r w:rsidRPr="002F521E">
        <w:rPr>
          <w:rFonts w:ascii="Times New Roman" w:hAnsi="Times New Roman" w:cs="Times New Roman"/>
          <w:sz w:val="24"/>
          <w:szCs w:val="24"/>
        </w:rPr>
        <w:t xml:space="preserve">. Türkiye’de, </w:t>
      </w:r>
      <w:r>
        <w:rPr>
          <w:rFonts w:ascii="Times New Roman" w:hAnsi="Times New Roman" w:cs="Times New Roman"/>
          <w:sz w:val="24"/>
          <w:szCs w:val="24"/>
        </w:rPr>
        <w:t xml:space="preserve">sadece </w:t>
      </w:r>
      <w:r w:rsidRPr="002F521E">
        <w:rPr>
          <w:rFonts w:ascii="Times New Roman" w:hAnsi="Times New Roman" w:cs="Times New Roman"/>
          <w:sz w:val="24"/>
          <w:szCs w:val="24"/>
        </w:rPr>
        <w:t>prostat kanseri tanılı hastalar</w:t>
      </w:r>
      <w:r>
        <w:rPr>
          <w:rFonts w:ascii="Times New Roman" w:hAnsi="Times New Roman" w:cs="Times New Roman"/>
          <w:sz w:val="24"/>
          <w:szCs w:val="24"/>
        </w:rPr>
        <w:t>ın yer aldığı,</w:t>
      </w:r>
      <w:r w:rsidRPr="002F521E">
        <w:rPr>
          <w:rFonts w:ascii="Times New Roman" w:hAnsi="Times New Roman" w:cs="Times New Roman"/>
          <w:sz w:val="24"/>
          <w:szCs w:val="24"/>
        </w:rPr>
        <w:t xml:space="preserve"> </w:t>
      </w:r>
      <w:proofErr w:type="gramStart"/>
      <w:r w:rsidRPr="002F521E">
        <w:rPr>
          <w:rFonts w:ascii="Times New Roman" w:hAnsi="Times New Roman" w:cs="Times New Roman"/>
          <w:sz w:val="24"/>
          <w:szCs w:val="24"/>
        </w:rPr>
        <w:t>fizyoterapistler</w:t>
      </w:r>
      <w:proofErr w:type="gramEnd"/>
      <w:r w:rsidRPr="002F521E">
        <w:rPr>
          <w:rFonts w:ascii="Times New Roman" w:hAnsi="Times New Roman" w:cs="Times New Roman"/>
          <w:sz w:val="24"/>
          <w:szCs w:val="24"/>
        </w:rPr>
        <w:t xml:space="preserve"> tarafından ilk olarak yapılan </w:t>
      </w:r>
      <w:r>
        <w:rPr>
          <w:rFonts w:ascii="Times New Roman" w:hAnsi="Times New Roman" w:cs="Times New Roman"/>
          <w:sz w:val="24"/>
          <w:szCs w:val="24"/>
        </w:rPr>
        <w:t xml:space="preserve">bir </w:t>
      </w:r>
      <w:r w:rsidRPr="002F521E">
        <w:rPr>
          <w:rFonts w:ascii="Times New Roman" w:hAnsi="Times New Roman" w:cs="Times New Roman"/>
          <w:sz w:val="24"/>
          <w:szCs w:val="24"/>
        </w:rPr>
        <w:t>çalışmada, çalışmaya davet edilen 344 hastadan 304’ünün (%88,4) çeşitli sebeplerden dolayı çalışmaya katılmadığı bildirilmiştir.  Katılım o</w:t>
      </w:r>
      <w:r>
        <w:rPr>
          <w:rFonts w:ascii="Times New Roman" w:hAnsi="Times New Roman" w:cs="Times New Roman"/>
          <w:sz w:val="24"/>
          <w:szCs w:val="24"/>
        </w:rPr>
        <w:t>ranının bu kadar düşük olması</w:t>
      </w:r>
      <w:r w:rsidRPr="002F521E">
        <w:rPr>
          <w:rFonts w:ascii="Times New Roman" w:hAnsi="Times New Roman" w:cs="Times New Roman"/>
          <w:sz w:val="24"/>
          <w:szCs w:val="24"/>
        </w:rPr>
        <w:t xml:space="preserve">, </w:t>
      </w:r>
      <w:r>
        <w:rPr>
          <w:rFonts w:ascii="Times New Roman" w:hAnsi="Times New Roman" w:cs="Times New Roman"/>
          <w:sz w:val="24"/>
          <w:szCs w:val="24"/>
        </w:rPr>
        <w:t>Özdemir</w:t>
      </w:r>
      <w:r w:rsidRPr="002F521E">
        <w:rPr>
          <w:rFonts w:ascii="Times New Roman" w:hAnsi="Times New Roman" w:cs="Times New Roman"/>
          <w:sz w:val="24"/>
          <w:szCs w:val="24"/>
        </w:rPr>
        <w:t xml:space="preserve"> ve ark. tarafından, prostat kanseri tanılı hastaların, koruyucu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yaklaşımları hakkında yeterli bilgiye sahip olmamalarından kaynaklanmış olabileceği şeklinde yorumlanmış, prostat kanseri hastalarında koruyucu fizyoterapi uygulamalarının daha tanınır hale getirilmesinin gerekliliği vurgulanmıştır </w:t>
      </w:r>
      <w:r w:rsidRPr="002F521E">
        <w:rPr>
          <w:rFonts w:ascii="Times New Roman" w:hAnsi="Times New Roman" w:cs="Times New Roman"/>
          <w:noProof/>
          <w:sz w:val="24"/>
          <w:szCs w:val="24"/>
        </w:rPr>
        <w:t>(46)</w:t>
      </w:r>
      <w:r w:rsidRPr="002F521E">
        <w:rPr>
          <w:rFonts w:ascii="Times New Roman" w:hAnsi="Times New Roman" w:cs="Times New Roman"/>
          <w:sz w:val="24"/>
          <w:szCs w:val="24"/>
        </w:rPr>
        <w:t xml:space="preserve">. </w:t>
      </w:r>
    </w:p>
    <w:p w:rsidR="00622F23" w:rsidRPr="002F521E" w:rsidRDefault="00622F23" w:rsidP="00622F2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2F521E">
        <w:rPr>
          <w:rFonts w:ascii="Times New Roman" w:hAnsi="Times New Roman" w:cs="Times New Roman"/>
          <w:sz w:val="24"/>
          <w:szCs w:val="24"/>
        </w:rPr>
        <w:t xml:space="preserve">gzersizin kanser yönetiminde önemli bir adjuvan tedavi olduğu görüşü de desteklenmektedir </w:t>
      </w:r>
      <w:r w:rsidRPr="002F521E">
        <w:rPr>
          <w:rFonts w:ascii="Times New Roman" w:hAnsi="Times New Roman" w:cs="Times New Roman"/>
          <w:noProof/>
          <w:sz w:val="24"/>
          <w:szCs w:val="24"/>
        </w:rPr>
        <w:t>(47)</w:t>
      </w:r>
      <w:r w:rsidRPr="002F521E">
        <w:rPr>
          <w:rFonts w:ascii="Times New Roman" w:hAnsi="Times New Roman" w:cs="Times New Roman"/>
          <w:sz w:val="24"/>
          <w:szCs w:val="24"/>
        </w:rPr>
        <w:t xml:space="preserve">. Jinekolojik kanserlerde alt ekstremite lenfödemini kontrol etmede de </w:t>
      </w:r>
      <w:proofErr w:type="gramStart"/>
      <w:r w:rsidRPr="002F521E">
        <w:rPr>
          <w:rFonts w:ascii="Times New Roman" w:hAnsi="Times New Roman" w:cs="Times New Roman"/>
          <w:sz w:val="24"/>
          <w:szCs w:val="24"/>
        </w:rPr>
        <w:t>kompleks</w:t>
      </w:r>
      <w:proofErr w:type="gramEnd"/>
      <w:r w:rsidRPr="002F521E">
        <w:rPr>
          <w:rFonts w:ascii="Times New Roman" w:hAnsi="Times New Roman" w:cs="Times New Roman"/>
          <w:sz w:val="24"/>
          <w:szCs w:val="24"/>
        </w:rPr>
        <w:t xml:space="preserve"> boşaltıcı fizyoterapi uygulamalarının gerekliliği bildirilmiştir (48).</w:t>
      </w:r>
    </w:p>
    <w:p w:rsidR="00622F23" w:rsidRPr="002F521E" w:rsidRDefault="00622F23" w:rsidP="00622F23">
      <w:pPr>
        <w:autoSpaceDE w:val="0"/>
        <w:autoSpaceDN w:val="0"/>
        <w:adjustRightInd w:val="0"/>
        <w:spacing w:line="240" w:lineRule="auto"/>
        <w:jc w:val="both"/>
        <w:rPr>
          <w:rFonts w:ascii="Times New Roman" w:hAnsi="Times New Roman" w:cs="Times New Roman"/>
          <w:sz w:val="24"/>
          <w:szCs w:val="24"/>
        </w:rPr>
      </w:pPr>
      <w:r w:rsidRPr="002F521E">
        <w:rPr>
          <w:rFonts w:ascii="Times New Roman" w:hAnsi="Times New Roman" w:cs="Times New Roman"/>
          <w:sz w:val="24"/>
          <w:szCs w:val="24"/>
        </w:rPr>
        <w:t xml:space="preserve">Ayrıca </w:t>
      </w:r>
      <w:proofErr w:type="gramStart"/>
      <w:r w:rsidRPr="002F521E">
        <w:rPr>
          <w:rFonts w:ascii="Times New Roman" w:hAnsi="Times New Roman" w:cs="Times New Roman"/>
          <w:sz w:val="24"/>
          <w:szCs w:val="24"/>
        </w:rPr>
        <w:t>literatürde</w:t>
      </w:r>
      <w:proofErr w:type="gramEnd"/>
      <w:r w:rsidRPr="002F521E">
        <w:rPr>
          <w:rFonts w:ascii="Times New Roman" w:hAnsi="Times New Roman" w:cs="Times New Roman"/>
          <w:sz w:val="24"/>
          <w:szCs w:val="24"/>
        </w:rPr>
        <w:t>, beyin tümörlü hastalarda yapılan erken dönemdeki</w:t>
      </w:r>
      <w:r>
        <w:rPr>
          <w:rFonts w:ascii="Times New Roman" w:hAnsi="Times New Roman" w:cs="Times New Roman"/>
          <w:sz w:val="24"/>
          <w:szCs w:val="24"/>
        </w:rPr>
        <w:t xml:space="preserve"> uygulamaların</w:t>
      </w:r>
      <w:r w:rsidRPr="002F521E">
        <w:rPr>
          <w:rFonts w:ascii="Times New Roman" w:hAnsi="Times New Roman" w:cs="Times New Roman"/>
          <w:sz w:val="24"/>
          <w:szCs w:val="24"/>
        </w:rPr>
        <w:t xml:space="preserve"> hastaların fonksiyonel becerilerini geliştirdiği bildirilmiştir (49). Akciğer kanseri hastalarının operasyon öncesi değerlerine göre operasyon sonrası </w:t>
      </w:r>
      <w:proofErr w:type="gramStart"/>
      <w:r w:rsidRPr="002F521E">
        <w:rPr>
          <w:rFonts w:ascii="Times New Roman" w:hAnsi="Times New Roman" w:cs="Times New Roman"/>
          <w:sz w:val="24"/>
          <w:szCs w:val="24"/>
        </w:rPr>
        <w:t>fizyoterapi</w:t>
      </w:r>
      <w:proofErr w:type="gramEnd"/>
      <w:r w:rsidRPr="002F521E">
        <w:rPr>
          <w:rFonts w:ascii="Times New Roman" w:hAnsi="Times New Roman" w:cs="Times New Roman"/>
          <w:sz w:val="24"/>
          <w:szCs w:val="24"/>
        </w:rPr>
        <w:t xml:space="preserve"> programı ile izlediklerinde, hastanede kalış süresinin azaldığı ve hastaların egzersiz kapasitelerinde kazanımlar olduğu belirtilmiştir (50).</w:t>
      </w:r>
    </w:p>
    <w:p w:rsidR="00622F23" w:rsidRPr="00404C0E" w:rsidRDefault="00622F23" w:rsidP="00622F2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Çalışmamızda farklı kanser</w:t>
      </w:r>
      <w:r w:rsidRPr="000A410F">
        <w:rPr>
          <w:rFonts w:ascii="Times New Roman" w:hAnsi="Times New Roman" w:cs="Times New Roman"/>
          <w:sz w:val="24"/>
          <w:szCs w:val="24"/>
        </w:rPr>
        <w:t xml:space="preserve"> tanılarına sahip olan hastaların sayıca az olmalarına rağmen ünitemize başvurmaları/konsülte edilmeleri, onkolojik </w:t>
      </w:r>
      <w:proofErr w:type="gramStart"/>
      <w:r w:rsidRPr="000A410F">
        <w:rPr>
          <w:rFonts w:ascii="Times New Roman" w:hAnsi="Times New Roman" w:cs="Times New Roman"/>
          <w:sz w:val="24"/>
          <w:szCs w:val="24"/>
        </w:rPr>
        <w:t>fizyoterapi</w:t>
      </w:r>
      <w:proofErr w:type="gramEnd"/>
      <w:r w:rsidRPr="000A410F">
        <w:rPr>
          <w:rFonts w:ascii="Times New Roman" w:hAnsi="Times New Roman" w:cs="Times New Roman"/>
          <w:sz w:val="24"/>
          <w:szCs w:val="24"/>
        </w:rPr>
        <w:t xml:space="preserve"> ve rehabilitasyonun ne kadar geniş bir alanda hizmet verdiğinin bir işareti niteliğindedir. </w:t>
      </w:r>
      <w:r>
        <w:rPr>
          <w:rFonts w:ascii="Times New Roman" w:hAnsi="Times New Roman" w:cs="Times New Roman"/>
          <w:sz w:val="24"/>
          <w:szCs w:val="24"/>
        </w:rPr>
        <w:t>Ancak diğer kanser türlerine ulaşılamamış olması o</w:t>
      </w:r>
      <w:r w:rsidRPr="00404C0E">
        <w:rPr>
          <w:rFonts w:ascii="Times New Roman" w:hAnsi="Times New Roman" w:cs="Times New Roman"/>
          <w:sz w:val="24"/>
          <w:szCs w:val="24"/>
        </w:rPr>
        <w:t xml:space="preserve">nkolojik </w:t>
      </w:r>
      <w:proofErr w:type="gramStart"/>
      <w:r w:rsidRPr="00404C0E">
        <w:rPr>
          <w:rFonts w:ascii="Times New Roman" w:hAnsi="Times New Roman" w:cs="Times New Roman"/>
          <w:sz w:val="24"/>
          <w:szCs w:val="24"/>
        </w:rPr>
        <w:t>fizyoterapi</w:t>
      </w:r>
      <w:proofErr w:type="gramEnd"/>
      <w:r w:rsidRPr="00404C0E">
        <w:rPr>
          <w:rFonts w:ascii="Times New Roman" w:hAnsi="Times New Roman" w:cs="Times New Roman"/>
          <w:sz w:val="24"/>
          <w:szCs w:val="24"/>
        </w:rPr>
        <w:t xml:space="preserve"> ve rehabilitasyon hizmetleri konusundaki </w:t>
      </w:r>
      <w:r w:rsidRPr="00404C0E">
        <w:rPr>
          <w:rFonts w:ascii="Times New Roman" w:hAnsi="Times New Roman" w:cs="Times New Roman"/>
          <w:sz w:val="24"/>
          <w:szCs w:val="24"/>
        </w:rPr>
        <w:lastRenderedPageBreak/>
        <w:t>farkındalığı</w:t>
      </w:r>
      <w:r>
        <w:rPr>
          <w:rFonts w:ascii="Times New Roman" w:hAnsi="Times New Roman" w:cs="Times New Roman"/>
          <w:sz w:val="24"/>
          <w:szCs w:val="24"/>
        </w:rPr>
        <w:t>n</w:t>
      </w:r>
      <w:r w:rsidRPr="00404C0E">
        <w:rPr>
          <w:rFonts w:ascii="Times New Roman" w:hAnsi="Times New Roman" w:cs="Times New Roman"/>
          <w:sz w:val="24"/>
          <w:szCs w:val="24"/>
        </w:rPr>
        <w:t xml:space="preserve"> artır</w:t>
      </w:r>
      <w:r>
        <w:rPr>
          <w:rFonts w:ascii="Times New Roman" w:hAnsi="Times New Roman" w:cs="Times New Roman"/>
          <w:sz w:val="24"/>
          <w:szCs w:val="24"/>
        </w:rPr>
        <w:t xml:space="preserve">ılması </w:t>
      </w:r>
      <w:r w:rsidRPr="00404C0E">
        <w:rPr>
          <w:rFonts w:ascii="Times New Roman" w:hAnsi="Times New Roman" w:cs="Times New Roman"/>
          <w:sz w:val="24"/>
          <w:szCs w:val="24"/>
        </w:rPr>
        <w:t>ve hizmetlerin hastalar tarafından bilinirliğini sağlama</w:t>
      </w:r>
      <w:r>
        <w:rPr>
          <w:rFonts w:ascii="Times New Roman" w:hAnsi="Times New Roman" w:cs="Times New Roman"/>
          <w:sz w:val="24"/>
          <w:szCs w:val="24"/>
        </w:rPr>
        <w:t>sı konusundaki</w:t>
      </w:r>
      <w:r w:rsidRPr="00404C0E">
        <w:rPr>
          <w:rFonts w:ascii="Times New Roman" w:hAnsi="Times New Roman" w:cs="Times New Roman"/>
          <w:sz w:val="24"/>
          <w:szCs w:val="24"/>
        </w:rPr>
        <w:t xml:space="preserve"> </w:t>
      </w:r>
      <w:r>
        <w:rPr>
          <w:rFonts w:ascii="Times New Roman" w:hAnsi="Times New Roman" w:cs="Times New Roman"/>
          <w:sz w:val="24"/>
          <w:szCs w:val="24"/>
        </w:rPr>
        <w:t>gerekliliği ortaya çıkartmıştır</w:t>
      </w:r>
      <w:r w:rsidRPr="00404C0E">
        <w:rPr>
          <w:rFonts w:ascii="Times New Roman" w:hAnsi="Times New Roman" w:cs="Times New Roman"/>
          <w:sz w:val="24"/>
          <w:szCs w:val="24"/>
        </w:rPr>
        <w:t xml:space="preserve">. Ünitemiz tarafından sunulan eğitimler, üniversite/fakülte içinden multidisipliner bir ekiple birlikte yürütülerek hastalar, hasta yakınları, meslektaşlarımız ve </w:t>
      </w:r>
      <w:proofErr w:type="gramStart"/>
      <w:r w:rsidRPr="00404C0E">
        <w:rPr>
          <w:rFonts w:ascii="Times New Roman" w:hAnsi="Times New Roman" w:cs="Times New Roman"/>
          <w:sz w:val="24"/>
          <w:szCs w:val="24"/>
        </w:rPr>
        <w:t>rehabilitasyon</w:t>
      </w:r>
      <w:proofErr w:type="gramEnd"/>
      <w:r w:rsidRPr="00404C0E">
        <w:rPr>
          <w:rFonts w:ascii="Times New Roman" w:hAnsi="Times New Roman" w:cs="Times New Roman"/>
          <w:sz w:val="24"/>
          <w:szCs w:val="24"/>
        </w:rPr>
        <w:t xml:space="preserve"> ekibinin diğer üyeleri, bu süreçte </w:t>
      </w:r>
      <w:r>
        <w:rPr>
          <w:rFonts w:ascii="Times New Roman" w:hAnsi="Times New Roman" w:cs="Times New Roman"/>
          <w:sz w:val="24"/>
          <w:szCs w:val="24"/>
        </w:rPr>
        <w:t xml:space="preserve">onkolojik </w:t>
      </w:r>
      <w:r w:rsidRPr="00404C0E">
        <w:rPr>
          <w:rFonts w:ascii="Times New Roman" w:hAnsi="Times New Roman" w:cs="Times New Roman"/>
          <w:sz w:val="24"/>
          <w:szCs w:val="24"/>
        </w:rPr>
        <w:t xml:space="preserve">fizyoterapi </w:t>
      </w:r>
      <w:r>
        <w:rPr>
          <w:rFonts w:ascii="Times New Roman" w:hAnsi="Times New Roman" w:cs="Times New Roman"/>
          <w:sz w:val="24"/>
          <w:szCs w:val="24"/>
        </w:rPr>
        <w:t xml:space="preserve">ve rehabilitasyon </w:t>
      </w:r>
      <w:r w:rsidRPr="00404C0E">
        <w:rPr>
          <w:rFonts w:ascii="Times New Roman" w:hAnsi="Times New Roman" w:cs="Times New Roman"/>
          <w:sz w:val="24"/>
          <w:szCs w:val="24"/>
        </w:rPr>
        <w:t xml:space="preserve">uygulamaları hakkında bilgilendirerek, bu </w:t>
      </w:r>
      <w:r>
        <w:rPr>
          <w:rFonts w:ascii="Times New Roman" w:hAnsi="Times New Roman" w:cs="Times New Roman"/>
          <w:sz w:val="24"/>
          <w:szCs w:val="24"/>
        </w:rPr>
        <w:t>ihtiyacı karşılamaya</w:t>
      </w:r>
      <w:r w:rsidRPr="00404C0E">
        <w:rPr>
          <w:rFonts w:ascii="Times New Roman" w:hAnsi="Times New Roman" w:cs="Times New Roman"/>
          <w:sz w:val="24"/>
          <w:szCs w:val="24"/>
        </w:rPr>
        <w:t xml:space="preserve"> yönelik ilk adımlar atılmış</w:t>
      </w:r>
      <w:r>
        <w:rPr>
          <w:rFonts w:ascii="Times New Roman" w:hAnsi="Times New Roman" w:cs="Times New Roman"/>
          <w:sz w:val="24"/>
          <w:szCs w:val="24"/>
        </w:rPr>
        <w:t>tır</w:t>
      </w:r>
      <w:r w:rsidRPr="00404C0E">
        <w:rPr>
          <w:rFonts w:ascii="Times New Roman" w:hAnsi="Times New Roman" w:cs="Times New Roman"/>
          <w:sz w:val="24"/>
          <w:szCs w:val="24"/>
        </w:rPr>
        <w:t xml:space="preserve">.  </w:t>
      </w:r>
    </w:p>
    <w:p w:rsidR="00622F23" w:rsidRDefault="00622F23" w:rsidP="00622F23">
      <w:pPr>
        <w:autoSpaceDE w:val="0"/>
        <w:autoSpaceDN w:val="0"/>
        <w:adjustRightInd w:val="0"/>
        <w:spacing w:line="240" w:lineRule="auto"/>
        <w:jc w:val="both"/>
        <w:rPr>
          <w:rFonts w:ascii="Times New Roman" w:hAnsi="Times New Roman" w:cs="Times New Roman"/>
          <w:sz w:val="24"/>
          <w:szCs w:val="24"/>
        </w:rPr>
      </w:pPr>
      <w:r w:rsidRPr="00A12DC8">
        <w:rPr>
          <w:rFonts w:ascii="Times New Roman" w:hAnsi="Times New Roman" w:cs="Times New Roman"/>
          <w:sz w:val="24"/>
          <w:szCs w:val="24"/>
        </w:rPr>
        <w:t xml:space="preserve">Çalışmanın Sınırlılıkları: </w:t>
      </w:r>
      <w:r>
        <w:rPr>
          <w:rFonts w:ascii="Times New Roman" w:hAnsi="Times New Roman" w:cs="Times New Roman"/>
          <w:sz w:val="24"/>
          <w:szCs w:val="24"/>
        </w:rPr>
        <w:t>Bu çalışma sadece ünitemize ulaşabilen hastaların sahip olduğu kanser tanılarını içerebilmiştir. Ayrıca, Türkiye’de bilinirliğinin zaman içerisinde artmasına bağlı olarak o</w:t>
      </w:r>
      <w:r w:rsidRPr="00EC05D3">
        <w:rPr>
          <w:rFonts w:ascii="Times New Roman" w:hAnsi="Times New Roman" w:cs="Times New Roman"/>
          <w:sz w:val="24"/>
          <w:szCs w:val="24"/>
        </w:rPr>
        <w:t xml:space="preserve">nkolojik </w:t>
      </w:r>
      <w:proofErr w:type="gramStart"/>
      <w:r w:rsidRPr="00EC05D3">
        <w:rPr>
          <w:rFonts w:ascii="Times New Roman" w:hAnsi="Times New Roman" w:cs="Times New Roman"/>
          <w:sz w:val="24"/>
          <w:szCs w:val="24"/>
        </w:rPr>
        <w:t>fizyoterapi</w:t>
      </w:r>
      <w:proofErr w:type="gramEnd"/>
      <w:r w:rsidRPr="00EC05D3">
        <w:rPr>
          <w:rFonts w:ascii="Times New Roman" w:hAnsi="Times New Roman" w:cs="Times New Roman"/>
          <w:sz w:val="24"/>
          <w:szCs w:val="24"/>
        </w:rPr>
        <w:t xml:space="preserve"> ve rehabilitasyon kapsamında </w:t>
      </w:r>
      <w:r>
        <w:rPr>
          <w:rFonts w:ascii="Times New Roman" w:hAnsi="Times New Roman" w:cs="Times New Roman"/>
          <w:sz w:val="24"/>
          <w:szCs w:val="24"/>
        </w:rPr>
        <w:t xml:space="preserve">hizmet sunulabilecek tüm kanser türlerini kapsayamamış olmasıdır. </w:t>
      </w:r>
    </w:p>
    <w:p w:rsidR="00622F23" w:rsidRPr="000A410F" w:rsidRDefault="00622F23" w:rsidP="00622F23">
      <w:pPr>
        <w:spacing w:line="240" w:lineRule="auto"/>
        <w:jc w:val="both"/>
        <w:rPr>
          <w:rFonts w:ascii="Times New Roman" w:hAnsi="Times New Roman" w:cs="Times New Roman"/>
          <w:b/>
          <w:sz w:val="24"/>
          <w:szCs w:val="24"/>
        </w:rPr>
      </w:pPr>
      <w:r w:rsidRPr="000A410F">
        <w:rPr>
          <w:rFonts w:ascii="Times New Roman" w:hAnsi="Times New Roman" w:cs="Times New Roman"/>
          <w:b/>
          <w:sz w:val="24"/>
          <w:szCs w:val="24"/>
        </w:rPr>
        <w:t>SONUÇ</w:t>
      </w:r>
    </w:p>
    <w:p w:rsidR="00622F23" w:rsidRPr="000A410F" w:rsidRDefault="00622F23" w:rsidP="00622F23">
      <w:pPr>
        <w:spacing w:line="240" w:lineRule="auto"/>
        <w:jc w:val="both"/>
        <w:rPr>
          <w:rFonts w:ascii="Times New Roman" w:hAnsi="Times New Roman" w:cs="Times New Roman"/>
          <w:sz w:val="24"/>
          <w:szCs w:val="24"/>
        </w:rPr>
      </w:pPr>
      <w:r w:rsidRPr="000A410F">
        <w:rPr>
          <w:rFonts w:ascii="Times New Roman" w:hAnsi="Times New Roman" w:cs="Times New Roman"/>
          <w:sz w:val="24"/>
          <w:szCs w:val="24"/>
        </w:rPr>
        <w:t xml:space="preserve">Bu çalışma, onkolojik </w:t>
      </w:r>
      <w:proofErr w:type="gramStart"/>
      <w:r w:rsidRPr="000A410F">
        <w:rPr>
          <w:rFonts w:ascii="Times New Roman" w:hAnsi="Times New Roman" w:cs="Times New Roman"/>
          <w:sz w:val="24"/>
          <w:szCs w:val="24"/>
        </w:rPr>
        <w:t>fizyoterapi</w:t>
      </w:r>
      <w:proofErr w:type="gramEnd"/>
      <w:r w:rsidRPr="000A410F">
        <w:rPr>
          <w:rFonts w:ascii="Times New Roman" w:hAnsi="Times New Roman" w:cs="Times New Roman"/>
          <w:sz w:val="24"/>
          <w:szCs w:val="24"/>
        </w:rPr>
        <w:t xml:space="preserve"> ve rehabilitasyon alanındaki ihtiyacı ortaya koyarak hasta başvurularında, talep edilen hizmetlerin çeşitlerini belirlemek ve ilerideki bilimsel ve mesleki çalışma alanlarını tespit etmek konularında yol gösterici olacaktır. </w:t>
      </w:r>
    </w:p>
    <w:p w:rsidR="00622F23" w:rsidRPr="002F521E" w:rsidRDefault="00622F23" w:rsidP="00622F23">
      <w:pPr>
        <w:pStyle w:val="Balk1"/>
        <w:shd w:val="clear" w:color="auto" w:fill="FFFFFF"/>
        <w:spacing w:before="230" w:after="115" w:line="240" w:lineRule="auto"/>
        <w:rPr>
          <w:rFonts w:ascii="Helvetica" w:hAnsi="Helvetica"/>
          <w:color w:val="auto"/>
          <w:sz w:val="42"/>
          <w:szCs w:val="42"/>
        </w:rPr>
      </w:pPr>
      <w:r w:rsidRPr="002F521E">
        <w:rPr>
          <w:rFonts w:ascii="Times New Roman" w:hAnsi="Times New Roman" w:cs="Times New Roman"/>
          <w:b/>
          <w:color w:val="auto"/>
          <w:sz w:val="24"/>
          <w:szCs w:val="24"/>
        </w:rPr>
        <w:t>KAYNAKLAR</w:t>
      </w:r>
      <w:r w:rsidRPr="002F521E">
        <w:rPr>
          <w:rFonts w:ascii="Helvetica" w:hAnsi="Helvetica"/>
          <w:b/>
          <w:bCs/>
          <w:color w:val="auto"/>
          <w:sz w:val="42"/>
          <w:szCs w:val="42"/>
        </w:rPr>
        <w:t xml:space="preserve"> </w:t>
      </w:r>
    </w:p>
    <w:p w:rsidR="00622F23" w:rsidRPr="00411F6B" w:rsidRDefault="00622F23" w:rsidP="00622F23">
      <w:pPr>
        <w:pStyle w:val="EndNoteBibliography"/>
        <w:spacing w:after="0"/>
        <w:jc w:val="both"/>
        <w:rPr>
          <w:rFonts w:ascii="Times New Roman" w:hAnsi="Times New Roman" w:cs="Times New Roman"/>
          <w:sz w:val="20"/>
          <w:szCs w:val="20"/>
        </w:rPr>
      </w:pPr>
      <w:r w:rsidRPr="002F521E">
        <w:rPr>
          <w:rFonts w:ascii="Times New Roman" w:hAnsi="Times New Roman" w:cs="Times New Roman"/>
          <w:sz w:val="24"/>
          <w:szCs w:val="24"/>
        </w:rPr>
        <w:t>1.</w:t>
      </w:r>
      <w:r w:rsidRPr="00411F6B">
        <w:rPr>
          <w:rFonts w:ascii="Times New Roman" w:hAnsi="Times New Roman" w:cs="Times New Roman"/>
          <w:sz w:val="20"/>
          <w:szCs w:val="20"/>
        </w:rPr>
        <w:t xml:space="preserve">Türkiye Halk Sağlığı Kurumu, Kanserle Savaş Daire Başkanlığı. Kanser Nedir? Date: 06.07.2017. </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Available: http://kanser.gov.tr/kanser/kanser-nedir/4-kanser-nedir.html</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2.</w:t>
      </w:r>
      <w:r w:rsidRPr="00411F6B">
        <w:rPr>
          <w:rFonts w:ascii="Times New Roman" w:hAnsi="Times New Roman" w:cs="Times New Roman"/>
          <w:sz w:val="20"/>
          <w:szCs w:val="20"/>
        </w:rPr>
        <w:t xml:space="preserve">Türkiye Halk Sağlığı Kurumu, Kanserle Savaş Daire Başkanlığı. Kanser İstatistikleri 2017  Date: 06.07.2017. </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Available: http://kanser.gov.tr/Dosya/ca_istatistik/2014-RAPOR._uzun.pdf</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3.</w:t>
      </w:r>
      <w:r w:rsidRPr="00411F6B">
        <w:rPr>
          <w:rFonts w:ascii="Times New Roman" w:hAnsi="Times New Roman" w:cs="Times New Roman"/>
          <w:sz w:val="20"/>
          <w:szCs w:val="20"/>
        </w:rPr>
        <w:t>Hewitt M, Greenfield S, Stovall E. From cancer patient to cancer survivor: lost in transition. Committee on cancer survivorship: improving care and quality of life, institute of medicine and national research council. Washington, DC: The National Academies Press; 2006.</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4.</w:t>
      </w:r>
      <w:r w:rsidRPr="00411F6B">
        <w:rPr>
          <w:rFonts w:ascii="Times New Roman" w:hAnsi="Times New Roman" w:cs="Times New Roman"/>
          <w:sz w:val="20"/>
          <w:szCs w:val="20"/>
        </w:rPr>
        <w:t>Stewart B, Wild CP. World cancer report 2014. Health. 2017.</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5.</w:t>
      </w:r>
      <w:r w:rsidRPr="00411F6B">
        <w:rPr>
          <w:rFonts w:ascii="Times New Roman" w:hAnsi="Times New Roman" w:cs="Times New Roman"/>
          <w:sz w:val="20"/>
          <w:szCs w:val="20"/>
        </w:rPr>
        <w:t xml:space="preserve">Stefani L, Galanti G, Klika R. Clinical implementation of exercise guidelines for cancer patients: Adaptation of ACSM’s guidelines to the </w:t>
      </w:r>
      <w:r w:rsidRPr="00411F6B">
        <w:rPr>
          <w:rFonts w:ascii="Times New Roman" w:hAnsi="Times New Roman" w:cs="Times New Roman"/>
          <w:sz w:val="20"/>
          <w:szCs w:val="20"/>
        </w:rPr>
        <w:lastRenderedPageBreak/>
        <w:t>Italian model. Journal of Functional Morphology and Kinesiology. 2017;2(1):4.</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6.</w:t>
      </w:r>
      <w:r w:rsidRPr="00411F6B">
        <w:rPr>
          <w:rFonts w:ascii="Times New Roman" w:hAnsi="Times New Roman" w:cs="Times New Roman"/>
          <w:sz w:val="20"/>
          <w:szCs w:val="20"/>
        </w:rPr>
        <w:t>Tanaka T, Gotay CC. Physicians' and medical students' perspectives on patients' quality of life. Academic Medicine. 1998;73(9):1003-5.</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7.</w:t>
      </w:r>
      <w:r w:rsidRPr="00411F6B">
        <w:rPr>
          <w:rFonts w:ascii="Times New Roman" w:hAnsi="Times New Roman" w:cs="Times New Roman"/>
          <w:sz w:val="20"/>
          <w:szCs w:val="20"/>
        </w:rPr>
        <w:t>Osoba D. Lessons learned from measuring health-related quality of life in oncology. Journal of Clinical Oncology. 1994;12(3):608-16.</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8.</w:t>
      </w:r>
      <w:r w:rsidRPr="00411F6B">
        <w:rPr>
          <w:rFonts w:ascii="Times New Roman" w:hAnsi="Times New Roman" w:cs="Times New Roman"/>
          <w:sz w:val="20"/>
          <w:szCs w:val="20"/>
        </w:rPr>
        <w:t>Young T, Maher J. Collecting quality of life data in EORTC clinical trials—what happens in practice? Psycho</w:t>
      </w:r>
      <w:r w:rsidRPr="00411F6B">
        <w:rPr>
          <w:rFonts w:ascii="Cambria Math" w:hAnsi="Cambria Math" w:cs="Times New Roman"/>
          <w:sz w:val="20"/>
          <w:szCs w:val="20"/>
        </w:rPr>
        <w:t>‐</w:t>
      </w:r>
      <w:r w:rsidRPr="00411F6B">
        <w:rPr>
          <w:rFonts w:ascii="Times New Roman" w:hAnsi="Times New Roman" w:cs="Times New Roman"/>
          <w:sz w:val="20"/>
          <w:szCs w:val="20"/>
        </w:rPr>
        <w:t>Oncology. 1999;8(3):260-3.</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9.</w:t>
      </w:r>
      <w:r w:rsidRPr="00411F6B">
        <w:rPr>
          <w:rFonts w:ascii="Times New Roman" w:hAnsi="Times New Roman" w:cs="Times New Roman"/>
          <w:sz w:val="20"/>
          <w:szCs w:val="20"/>
        </w:rPr>
        <w:t>Yancik R. Population Aging and Cancer: A Cross</w:t>
      </w:r>
      <w:r w:rsidRPr="00411F6B">
        <w:rPr>
          <w:rFonts w:ascii="Cambria Math" w:hAnsi="Cambria Math" w:cs="Times New Roman"/>
          <w:sz w:val="20"/>
          <w:szCs w:val="20"/>
        </w:rPr>
        <w:t>‐</w:t>
      </w:r>
      <w:r w:rsidRPr="00411F6B">
        <w:rPr>
          <w:rFonts w:ascii="Times New Roman" w:hAnsi="Times New Roman" w:cs="Times New Roman"/>
          <w:sz w:val="20"/>
          <w:szCs w:val="20"/>
        </w:rPr>
        <w:t>National Concern. The Cancer Journal. 2005;11(6):437-41.</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10.</w:t>
      </w:r>
      <w:r w:rsidRPr="00411F6B">
        <w:rPr>
          <w:rFonts w:ascii="Times New Roman" w:hAnsi="Times New Roman" w:cs="Times New Roman"/>
          <w:sz w:val="20"/>
          <w:szCs w:val="20"/>
        </w:rPr>
        <w:t>DiSipio T, Rye S, Newman B, Hayes S. Incidence of unilateral arm lymphoedema after breast cancer: a systematic review and meta-analysis. The lancet oncology. 2013;14(6):500-15.</w:t>
      </w:r>
    </w:p>
    <w:p w:rsidR="00622F23" w:rsidRPr="00411F6B" w:rsidRDefault="00622F23" w:rsidP="00622F23">
      <w:pPr>
        <w:pStyle w:val="Balk2"/>
        <w:spacing w:before="0" w:after="0" w:line="240" w:lineRule="auto"/>
        <w:jc w:val="both"/>
        <w:textAlignment w:val="baseline"/>
        <w:rPr>
          <w:rFonts w:ascii="Times New Roman" w:hAnsi="Times New Roman" w:cs="Times New Roman"/>
          <w:noProof/>
          <w:color w:val="auto"/>
          <w:sz w:val="20"/>
          <w:szCs w:val="20"/>
        </w:rPr>
      </w:pPr>
      <w:r>
        <w:rPr>
          <w:rFonts w:ascii="Times New Roman" w:hAnsi="Times New Roman" w:cs="Times New Roman"/>
          <w:noProof/>
          <w:color w:val="auto"/>
          <w:sz w:val="20"/>
          <w:szCs w:val="20"/>
        </w:rPr>
        <w:t>11.</w:t>
      </w:r>
      <w:r w:rsidRPr="00411F6B">
        <w:rPr>
          <w:rFonts w:ascii="Times New Roman" w:hAnsi="Times New Roman" w:cs="Times New Roman"/>
          <w:noProof/>
          <w:color w:val="auto"/>
          <w:sz w:val="20"/>
          <w:szCs w:val="20"/>
        </w:rPr>
        <w:t xml:space="preserve">WHO. </w:t>
      </w:r>
      <w:r w:rsidRPr="00411F6B">
        <w:rPr>
          <w:rFonts w:ascii="Times New Roman" w:hAnsi="Times New Roman" w:cs="Times New Roman"/>
          <w:color w:val="auto"/>
          <w:sz w:val="20"/>
          <w:szCs w:val="20"/>
        </w:rPr>
        <w:t xml:space="preserve">Global Strategy on Diet, Physical Activity and Health. </w:t>
      </w:r>
      <w:r w:rsidRPr="00411F6B">
        <w:rPr>
          <w:rFonts w:ascii="Times New Roman" w:hAnsi="Times New Roman" w:cs="Times New Roman"/>
          <w:noProof/>
          <w:color w:val="auto"/>
          <w:sz w:val="20"/>
          <w:szCs w:val="20"/>
        </w:rPr>
        <w:t>World Health Organization.</w:t>
      </w:r>
      <w:r w:rsidRPr="00411F6B">
        <w:rPr>
          <w:rFonts w:ascii="Times New Roman" w:hAnsi="Times New Roman" w:cs="Times New Roman"/>
          <w:color w:val="auto"/>
          <w:sz w:val="20"/>
          <w:szCs w:val="20"/>
        </w:rPr>
        <w:t xml:space="preserve"> Date:13.06.2017</w:t>
      </w:r>
      <w:r w:rsidRPr="00411F6B">
        <w:rPr>
          <w:rFonts w:ascii="Times New Roman" w:hAnsi="Times New Roman" w:cs="Times New Roman"/>
          <w:noProof/>
          <w:color w:val="auto"/>
          <w:sz w:val="20"/>
          <w:szCs w:val="20"/>
        </w:rPr>
        <w:t xml:space="preserve">. </w:t>
      </w:r>
    </w:p>
    <w:p w:rsidR="00622F23" w:rsidRPr="00411F6B" w:rsidRDefault="00622F23" w:rsidP="00622F23">
      <w:pPr>
        <w:pStyle w:val="Balk2"/>
        <w:spacing w:before="0" w:after="0" w:line="240" w:lineRule="auto"/>
        <w:jc w:val="both"/>
        <w:textAlignment w:val="baseline"/>
        <w:rPr>
          <w:rFonts w:ascii="Times New Roman" w:hAnsi="Times New Roman" w:cs="Times New Roman"/>
          <w:noProof/>
          <w:color w:val="auto"/>
          <w:sz w:val="20"/>
          <w:szCs w:val="20"/>
        </w:rPr>
      </w:pPr>
      <w:r w:rsidRPr="00411F6B">
        <w:rPr>
          <w:rFonts w:ascii="Times New Roman" w:hAnsi="Times New Roman" w:cs="Times New Roman"/>
          <w:noProof/>
          <w:color w:val="auto"/>
          <w:sz w:val="20"/>
          <w:szCs w:val="20"/>
        </w:rPr>
        <w:t xml:space="preserve">Available: </w:t>
      </w:r>
      <w:r w:rsidRPr="00411F6B">
        <w:rPr>
          <w:rFonts w:ascii="Times New Roman" w:hAnsi="Times New Roman" w:cs="Times New Roman"/>
          <w:color w:val="auto"/>
          <w:sz w:val="20"/>
          <w:szCs w:val="20"/>
        </w:rPr>
        <w:t>http://www.who.int/dietphysicalactivity/pa/en/</w:t>
      </w:r>
      <w:r w:rsidRPr="00411F6B">
        <w:rPr>
          <w:rFonts w:ascii="Times New Roman" w:hAnsi="Times New Roman" w:cs="Times New Roman"/>
          <w:noProof/>
          <w:color w:val="auto"/>
          <w:sz w:val="20"/>
          <w:szCs w:val="20"/>
        </w:rPr>
        <w:t>.</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12.</w:t>
      </w:r>
      <w:r w:rsidRPr="00411F6B">
        <w:rPr>
          <w:rFonts w:ascii="Times New Roman" w:hAnsi="Times New Roman" w:cs="Times New Roman"/>
          <w:sz w:val="20"/>
          <w:szCs w:val="20"/>
        </w:rPr>
        <w:t>Cromes Jr GF. Implementation of Interdisciplinary Cancer Rehabilitation. Rehabilitation Counseling Bulletin. 1978;21(3):230-7.</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13.</w:t>
      </w:r>
      <w:r w:rsidRPr="00411F6B">
        <w:rPr>
          <w:rFonts w:ascii="Times New Roman" w:hAnsi="Times New Roman" w:cs="Times New Roman"/>
          <w:sz w:val="20"/>
          <w:szCs w:val="20"/>
        </w:rPr>
        <w:t>Fialka-Moser V, Crevenna R, Korpan M, Quittan M. Cancer Rehabilitation. Journal of rehabilitation medicine. 2003;35(4):153-62.</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14.</w:t>
      </w:r>
      <w:r w:rsidRPr="00411F6B">
        <w:rPr>
          <w:rFonts w:ascii="Times New Roman" w:hAnsi="Times New Roman" w:cs="Times New Roman"/>
          <w:sz w:val="20"/>
          <w:szCs w:val="20"/>
        </w:rPr>
        <w:t>Courneya KS, Friedenreich CM. Physical exercise and quality of life following cancer diagnosis: a literature review. Annals of behavioral medicine. 1999;21(2):171-9.</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15.</w:t>
      </w:r>
      <w:r w:rsidRPr="00411F6B">
        <w:rPr>
          <w:rFonts w:ascii="Times New Roman" w:hAnsi="Times New Roman" w:cs="Times New Roman"/>
          <w:sz w:val="20"/>
          <w:szCs w:val="20"/>
        </w:rPr>
        <w:t>Winningham M, MacVicar M, Bondoc M, Anderson J, Minton J, editors. Effect of aerobic exercise on body weight and composition in patients with breast cancer on adjuvant chemotherapy. Oncology nursing forum; 1988.</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16.</w:t>
      </w:r>
      <w:r w:rsidRPr="00411F6B">
        <w:rPr>
          <w:rFonts w:ascii="Times New Roman" w:hAnsi="Times New Roman" w:cs="Times New Roman"/>
          <w:sz w:val="20"/>
          <w:szCs w:val="20"/>
        </w:rPr>
        <w:t>Cancer News. 1948 Oct-Nov;2(10-11):3-7.</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17.</w:t>
      </w:r>
      <w:r w:rsidRPr="00411F6B">
        <w:rPr>
          <w:rFonts w:ascii="Times New Roman" w:hAnsi="Times New Roman" w:cs="Times New Roman"/>
          <w:sz w:val="20"/>
          <w:szCs w:val="20"/>
        </w:rPr>
        <w:t>Krusen FH, Kottke FJ, Ellwood PM. Handbook of physical medicine and rehabilitation: WB Saunders Company; 1965,1971.</w:t>
      </w:r>
    </w:p>
    <w:p w:rsidR="00622F23" w:rsidRPr="00411F6B" w:rsidRDefault="00622F23" w:rsidP="00622F23">
      <w:pPr>
        <w:pStyle w:val="EndNoteBibliography"/>
        <w:spacing w:after="0"/>
        <w:jc w:val="both"/>
        <w:rPr>
          <w:rFonts w:ascii="Times New Roman" w:hAnsi="Times New Roman" w:cs="Times New Roman"/>
          <w:sz w:val="20"/>
          <w:szCs w:val="20"/>
        </w:rPr>
      </w:pPr>
      <w:r>
        <w:rPr>
          <w:rFonts w:ascii="Times New Roman" w:hAnsi="Times New Roman" w:cs="Times New Roman"/>
          <w:sz w:val="20"/>
          <w:szCs w:val="20"/>
        </w:rPr>
        <w:t>18.</w:t>
      </w:r>
      <w:r w:rsidRPr="00411F6B">
        <w:rPr>
          <w:rFonts w:ascii="Times New Roman" w:hAnsi="Times New Roman" w:cs="Times New Roman"/>
          <w:sz w:val="20"/>
          <w:szCs w:val="20"/>
        </w:rPr>
        <w:t>Yıldız Kabak V, Taş N., Ekinci Y., Atasavun Uysal S., Düger T. Investigation of The Physical and Functional Needs in Adult Cancer Patients Consulted to Physiotherapy and Rehabilitation, Turk J Oncol. 2016;31(3):104-108.</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19</w:t>
      </w:r>
      <w:r>
        <w:rPr>
          <w:rFonts w:ascii="Times New Roman" w:hAnsi="Times New Roman" w:cs="Times New Roman"/>
          <w:sz w:val="20"/>
          <w:szCs w:val="20"/>
        </w:rPr>
        <w:t>.</w:t>
      </w:r>
      <w:r w:rsidRPr="00411F6B">
        <w:rPr>
          <w:rFonts w:ascii="Times New Roman" w:hAnsi="Times New Roman" w:cs="Times New Roman"/>
          <w:sz w:val="20"/>
          <w:szCs w:val="20"/>
        </w:rPr>
        <w:t>Bozdemir N, Eray O, Eken C, Şenol Y, Artac M, Samur M. Demographics, Clinical Presentations and Outcomes of Cancer Patients Admitting to Emergency Department. Turkish Journal of Medical Sciences. 2009;39(2):235-40.</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20</w:t>
      </w:r>
      <w:r>
        <w:rPr>
          <w:rFonts w:ascii="Times New Roman" w:hAnsi="Times New Roman" w:cs="Times New Roman"/>
          <w:sz w:val="20"/>
          <w:szCs w:val="20"/>
        </w:rPr>
        <w:t>.</w:t>
      </w:r>
      <w:r w:rsidRPr="00411F6B">
        <w:rPr>
          <w:rFonts w:ascii="Times New Roman" w:hAnsi="Times New Roman" w:cs="Times New Roman"/>
          <w:sz w:val="20"/>
          <w:szCs w:val="20"/>
        </w:rPr>
        <w:t>Taccone FS, Artigas AA, Sprung CL, Moreno R, Sakr Y, Vincent J-L. Characteristics and outcomes of cancer patients in European ICUs. Critical care. 2009;13(1):R15.</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21</w:t>
      </w:r>
      <w:r>
        <w:rPr>
          <w:rFonts w:ascii="Times New Roman" w:hAnsi="Times New Roman" w:cs="Times New Roman"/>
          <w:sz w:val="20"/>
          <w:szCs w:val="20"/>
        </w:rPr>
        <w:t>.</w:t>
      </w:r>
      <w:r w:rsidRPr="00411F6B">
        <w:rPr>
          <w:rFonts w:ascii="Times New Roman" w:hAnsi="Times New Roman" w:cs="Times New Roman"/>
          <w:sz w:val="20"/>
          <w:szCs w:val="20"/>
        </w:rPr>
        <w:t xml:space="preserve">Wiskemann J, Huber G. Physical exercise as adjuvant therapy for patients undergoing </w:t>
      </w:r>
      <w:r w:rsidRPr="00411F6B">
        <w:rPr>
          <w:rFonts w:ascii="Times New Roman" w:hAnsi="Times New Roman" w:cs="Times New Roman"/>
          <w:sz w:val="20"/>
          <w:szCs w:val="20"/>
        </w:rPr>
        <w:lastRenderedPageBreak/>
        <w:t>hematopoietic stem cell transplantation. Bone marrow transplantation. 2008;41(4):321-9.</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22</w:t>
      </w:r>
      <w:r>
        <w:rPr>
          <w:rFonts w:ascii="Times New Roman" w:hAnsi="Times New Roman" w:cs="Times New Roman"/>
          <w:sz w:val="20"/>
          <w:szCs w:val="20"/>
        </w:rPr>
        <w:t>.</w:t>
      </w:r>
      <w:r w:rsidRPr="00411F6B">
        <w:rPr>
          <w:rFonts w:ascii="Times New Roman" w:hAnsi="Times New Roman" w:cs="Times New Roman"/>
          <w:sz w:val="20"/>
          <w:szCs w:val="20"/>
        </w:rPr>
        <w:t>Andorsky D, Loberiza F, Lee S. Pre-transplantation physical and mental functioning is strongly associated with self-reported recovery from stem cell transplantation. Bone marrow transplantation. 2006;37(9):889-95.</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23</w:t>
      </w:r>
      <w:r>
        <w:rPr>
          <w:rFonts w:ascii="Times New Roman" w:hAnsi="Times New Roman" w:cs="Times New Roman"/>
          <w:sz w:val="20"/>
          <w:szCs w:val="20"/>
        </w:rPr>
        <w:t>.</w:t>
      </w:r>
      <w:r w:rsidRPr="00411F6B">
        <w:rPr>
          <w:rFonts w:ascii="Times New Roman" w:hAnsi="Times New Roman" w:cs="Times New Roman"/>
          <w:sz w:val="20"/>
          <w:szCs w:val="20"/>
        </w:rPr>
        <w:t>Persoon S, Kersten MJ, ChinAPaw MJ, Buffart LM, Burghout H, Schep G, et al. Design of the EXercise Intervention after Stem cell Transplantation (EXIST) study: a randomized controlled trial to evaluate the effectiveness and cost-effectiveness of an individualized high intensity physical exercise program on fitness and fatigue in patients with multiple myeloma or (non-) Hodgkin's lymphoma treated with high dose chemotherapy and autologous stem cell transplantation. BMC cancer. 2010;10(1):671.</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24</w:t>
      </w:r>
      <w:r>
        <w:rPr>
          <w:rFonts w:ascii="Times New Roman" w:hAnsi="Times New Roman" w:cs="Times New Roman"/>
          <w:sz w:val="20"/>
          <w:szCs w:val="20"/>
        </w:rPr>
        <w:t>.</w:t>
      </w:r>
      <w:r w:rsidRPr="00411F6B">
        <w:rPr>
          <w:rFonts w:ascii="Times New Roman" w:hAnsi="Times New Roman" w:cs="Times New Roman"/>
          <w:sz w:val="20"/>
          <w:szCs w:val="20"/>
        </w:rPr>
        <w:t>Keser I, Suyani E, Aki SZ, Sucak AGT. The positive impact of regular exercise program on stem cell mobilization prior to autologous stem cell transplantation. Transfusion and Apheresis Science. 2013;49(2):302-6.</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25</w:t>
      </w:r>
      <w:r>
        <w:rPr>
          <w:rFonts w:ascii="Times New Roman" w:hAnsi="Times New Roman" w:cs="Times New Roman"/>
          <w:sz w:val="20"/>
          <w:szCs w:val="20"/>
        </w:rPr>
        <w:t>.</w:t>
      </w:r>
      <w:r w:rsidRPr="00411F6B">
        <w:rPr>
          <w:rFonts w:ascii="Times New Roman" w:hAnsi="Times New Roman" w:cs="Times New Roman"/>
          <w:sz w:val="20"/>
          <w:szCs w:val="20"/>
        </w:rPr>
        <w:t>Keser I, Suyani E, Yosmaoglu HB, Aki SZ, Turkoz Sucak AG. Acute physiological responses to physiotherapy applications pre and post autologous stem cell transplantation: an experimental study. Hematology. 2014;19(3):136-40.</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26</w:t>
      </w:r>
      <w:r>
        <w:rPr>
          <w:rFonts w:ascii="Times New Roman" w:hAnsi="Times New Roman" w:cs="Times New Roman"/>
          <w:sz w:val="20"/>
          <w:szCs w:val="20"/>
        </w:rPr>
        <w:t>.</w:t>
      </w:r>
      <w:r w:rsidRPr="00411F6B">
        <w:rPr>
          <w:rFonts w:ascii="Times New Roman" w:hAnsi="Times New Roman" w:cs="Times New Roman"/>
          <w:bCs/>
          <w:sz w:val="20"/>
          <w:szCs w:val="20"/>
        </w:rPr>
        <w:t xml:space="preserve">Yildiz Kabak V, Duger T, Uckan Cetinkaya D. </w:t>
      </w:r>
      <w:r w:rsidRPr="00411F6B">
        <w:rPr>
          <w:rFonts w:ascii="Times New Roman" w:hAnsi="Times New Roman" w:cs="Times New Roman"/>
          <w:sz w:val="20"/>
          <w:szCs w:val="20"/>
        </w:rPr>
        <w:t>Investigation of the Effects of an Exercise Program on Physical Functions and Activities of Daily Life in Pediatric Hematopoietic Stem Cell Transplantation</w:t>
      </w:r>
      <w:r w:rsidRPr="00411F6B">
        <w:rPr>
          <w:rFonts w:ascii="Times New Roman" w:eastAsia="Times New Roman" w:hAnsi="Times New Roman" w:cs="Times New Roman"/>
          <w:sz w:val="20"/>
          <w:szCs w:val="20"/>
        </w:rPr>
        <w:t xml:space="preserve"> Pediatr Blood Cancer 2016;63:1643–1648.</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27</w:t>
      </w:r>
      <w:r>
        <w:rPr>
          <w:rFonts w:ascii="Times New Roman" w:hAnsi="Times New Roman" w:cs="Times New Roman"/>
          <w:sz w:val="20"/>
          <w:szCs w:val="20"/>
        </w:rPr>
        <w:t>.</w:t>
      </w:r>
      <w:r w:rsidRPr="00411F6B">
        <w:rPr>
          <w:rFonts w:ascii="Times New Roman" w:hAnsi="Times New Roman" w:cs="Times New Roman"/>
          <w:sz w:val="20"/>
          <w:szCs w:val="20"/>
        </w:rPr>
        <w:t>Keser İ, Sahika Zeynep A, Suyani E, Sucak AGT. 60-65 yaş arası hastalarda fizyoterapinin otolog hematopoietik kök hücre nakli sonrası transfüzyon sayıları üzerine etkileri. Fizyoterapi Rehabilitasyon. 2013;24(1):42-6.</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28</w:t>
      </w:r>
      <w:r>
        <w:rPr>
          <w:rFonts w:ascii="Times New Roman" w:hAnsi="Times New Roman" w:cs="Times New Roman"/>
          <w:sz w:val="20"/>
          <w:szCs w:val="20"/>
        </w:rPr>
        <w:t>.</w:t>
      </w:r>
      <w:r w:rsidRPr="00411F6B">
        <w:rPr>
          <w:rFonts w:ascii="Times New Roman" w:hAnsi="Times New Roman" w:cs="Times New Roman"/>
          <w:sz w:val="20"/>
          <w:szCs w:val="20"/>
        </w:rPr>
        <w:t>Jarden M, Baadsgaard MT, Hovgaard D, Boesen E, Adamsen L. A randomized trial on the effect of a multimodal intervention on physical capacity, functional performance and quality of life in adult patients undergoing allogeneic SCT. Bone marrow transplantation. 2009;43(9):725-37.</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29</w:t>
      </w:r>
      <w:r>
        <w:rPr>
          <w:rFonts w:ascii="Times New Roman" w:hAnsi="Times New Roman" w:cs="Times New Roman"/>
          <w:sz w:val="20"/>
          <w:szCs w:val="20"/>
        </w:rPr>
        <w:t>.</w:t>
      </w:r>
      <w:r w:rsidRPr="00411F6B">
        <w:rPr>
          <w:rFonts w:ascii="Times New Roman" w:hAnsi="Times New Roman" w:cs="Times New Roman"/>
          <w:sz w:val="20"/>
          <w:szCs w:val="20"/>
        </w:rPr>
        <w:t>Baumann FT, Zopf EM, Nykamp E, Kraut L, Schüle K, Elter T, et al. Physical activity for patients undergoing an allogeneic hematopoietic stem cell transplantation: benefits of a moderate exercise intervention. European journal of haematology. 2011;87(2):148-56.</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30</w:t>
      </w:r>
      <w:r>
        <w:rPr>
          <w:rFonts w:ascii="Times New Roman" w:hAnsi="Times New Roman" w:cs="Times New Roman"/>
          <w:sz w:val="20"/>
          <w:szCs w:val="20"/>
        </w:rPr>
        <w:t>.</w:t>
      </w:r>
      <w:r w:rsidRPr="00411F6B">
        <w:rPr>
          <w:rFonts w:ascii="Times New Roman" w:hAnsi="Times New Roman" w:cs="Times New Roman"/>
          <w:sz w:val="20"/>
          <w:szCs w:val="20"/>
        </w:rPr>
        <w:t>DeFor TE, Burns LJ, Gold E-MA, Weisdorf DJ. A randomized trial of the effect of a walking regimen on the functional status of 100 adult allogeneic donor hematopoietic cell transplant patients. Biology of Blood and Marrow Transplantation. 2007;13(8):948-55.</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31</w:t>
      </w:r>
      <w:r>
        <w:rPr>
          <w:rFonts w:ascii="Times New Roman" w:hAnsi="Times New Roman" w:cs="Times New Roman"/>
          <w:sz w:val="20"/>
          <w:szCs w:val="20"/>
        </w:rPr>
        <w:t>.</w:t>
      </w:r>
      <w:r w:rsidRPr="00411F6B">
        <w:rPr>
          <w:rFonts w:ascii="Times New Roman" w:hAnsi="Times New Roman" w:cs="Times New Roman"/>
          <w:sz w:val="20"/>
          <w:szCs w:val="20"/>
        </w:rPr>
        <w:t xml:space="preserve">Courneya KS, Keats MR, Turner AR. Physical exercise and quality of life in cancer patients following high dose chemotherapy and autologous </w:t>
      </w:r>
      <w:r w:rsidRPr="00411F6B">
        <w:rPr>
          <w:rFonts w:ascii="Times New Roman" w:hAnsi="Times New Roman" w:cs="Times New Roman"/>
          <w:sz w:val="20"/>
          <w:szCs w:val="20"/>
        </w:rPr>
        <w:lastRenderedPageBreak/>
        <w:t>bone marrow transplantation. Psycho</w:t>
      </w:r>
      <w:r w:rsidRPr="00411F6B">
        <w:rPr>
          <w:rFonts w:ascii="Cambria Math" w:hAnsi="Cambria Math" w:cs="Times New Roman"/>
          <w:sz w:val="20"/>
          <w:szCs w:val="20"/>
        </w:rPr>
        <w:t>‐</w:t>
      </w:r>
      <w:r w:rsidRPr="00411F6B">
        <w:rPr>
          <w:rFonts w:ascii="Times New Roman" w:hAnsi="Times New Roman" w:cs="Times New Roman"/>
          <w:sz w:val="20"/>
          <w:szCs w:val="20"/>
        </w:rPr>
        <w:t>Oncology. 2000;9(2):127-36.</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32</w:t>
      </w:r>
      <w:r>
        <w:rPr>
          <w:rFonts w:ascii="Times New Roman" w:hAnsi="Times New Roman" w:cs="Times New Roman"/>
          <w:sz w:val="20"/>
          <w:szCs w:val="20"/>
        </w:rPr>
        <w:t>.</w:t>
      </w:r>
      <w:r w:rsidRPr="00411F6B">
        <w:rPr>
          <w:rFonts w:ascii="Times New Roman" w:hAnsi="Times New Roman" w:cs="Times New Roman"/>
          <w:sz w:val="20"/>
          <w:szCs w:val="20"/>
        </w:rPr>
        <w:t>Baumann F, Kraut L, Schüle K, Bloch W, Fauser A. A controlled randomized study examining the effects of exercise therapy on patients undergoing haematopoietic stem cell transplantation. Bone marrow transplantation. 2010;45(2):355-62.</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33</w:t>
      </w:r>
      <w:r>
        <w:rPr>
          <w:rFonts w:ascii="Times New Roman" w:hAnsi="Times New Roman" w:cs="Times New Roman"/>
          <w:sz w:val="20"/>
          <w:szCs w:val="20"/>
        </w:rPr>
        <w:t>.</w:t>
      </w:r>
      <w:r w:rsidRPr="00411F6B">
        <w:rPr>
          <w:rFonts w:ascii="Times New Roman" w:hAnsi="Times New Roman" w:cs="Times New Roman"/>
          <w:sz w:val="20"/>
          <w:szCs w:val="20"/>
        </w:rPr>
        <w:t>Oldervoll LM, Loge JH, Paltiel H, Asp MB, Vidvei U, Wiken AN, et al. The effect of a physical exercise program in palliative care: a phase II study. Journal of pain and symptom management. 2006;31(5):421-30.</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34</w:t>
      </w:r>
      <w:r>
        <w:rPr>
          <w:rFonts w:ascii="Times New Roman" w:hAnsi="Times New Roman" w:cs="Times New Roman"/>
          <w:sz w:val="20"/>
          <w:szCs w:val="20"/>
        </w:rPr>
        <w:t>.</w:t>
      </w:r>
      <w:r w:rsidRPr="00411F6B">
        <w:rPr>
          <w:rFonts w:ascii="Times New Roman" w:hAnsi="Times New Roman" w:cs="Times New Roman"/>
          <w:sz w:val="20"/>
          <w:szCs w:val="20"/>
        </w:rPr>
        <w:t>Gültekin M, Boztaş G. Türkiye kanser istatistikleri. Sağlık Bakanlığı, Türkiye Halk Sağlığı Kurumu. 2014;43.</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35</w:t>
      </w:r>
      <w:r>
        <w:rPr>
          <w:rFonts w:ascii="Times New Roman" w:hAnsi="Times New Roman" w:cs="Times New Roman"/>
          <w:sz w:val="20"/>
          <w:szCs w:val="20"/>
        </w:rPr>
        <w:t>.</w:t>
      </w:r>
      <w:r w:rsidRPr="00411F6B">
        <w:rPr>
          <w:rFonts w:ascii="Times New Roman" w:hAnsi="Times New Roman" w:cs="Times New Roman"/>
          <w:sz w:val="20"/>
          <w:szCs w:val="20"/>
        </w:rPr>
        <w:t>Sclafani LM, Baron RH. Sentinel lymph node biopsy and axillary dissection: added morbidity of the arm, shoulder and chest wall after mastectomy and reconstruction. The Cancer Journal. 2008;14(4):216-22.</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36</w:t>
      </w:r>
      <w:r>
        <w:rPr>
          <w:rFonts w:ascii="Times New Roman" w:hAnsi="Times New Roman" w:cs="Times New Roman"/>
          <w:sz w:val="20"/>
          <w:szCs w:val="20"/>
        </w:rPr>
        <w:t>.</w:t>
      </w:r>
      <w:r w:rsidRPr="00411F6B">
        <w:rPr>
          <w:rFonts w:ascii="Times New Roman" w:hAnsi="Times New Roman" w:cs="Times New Roman"/>
          <w:sz w:val="20"/>
          <w:szCs w:val="20"/>
        </w:rPr>
        <w:t>Loh SY, Musa AN. Methods to improve rehabilitation of patients following breast cancer surgery: a review of systematic reviews. Breast Cancer: Targets and Therapy. 2015;7:81.</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37</w:t>
      </w:r>
      <w:r>
        <w:rPr>
          <w:rFonts w:ascii="Times New Roman" w:hAnsi="Times New Roman" w:cs="Times New Roman"/>
          <w:sz w:val="20"/>
          <w:szCs w:val="20"/>
        </w:rPr>
        <w:t>.</w:t>
      </w:r>
      <w:r w:rsidRPr="00411F6B">
        <w:rPr>
          <w:rFonts w:ascii="Times New Roman" w:hAnsi="Times New Roman" w:cs="Times New Roman"/>
          <w:sz w:val="20"/>
          <w:szCs w:val="20"/>
        </w:rPr>
        <w:t>McNeely ML, Campbell K, Ospina M, Rowe BH, Dabbs K, Klassen TP, et al. Exercise interventions for upper</w:t>
      </w:r>
      <w:r w:rsidRPr="00411F6B">
        <w:rPr>
          <w:rFonts w:ascii="Cambria Math" w:hAnsi="Cambria Math" w:cs="Times New Roman"/>
          <w:sz w:val="20"/>
          <w:szCs w:val="20"/>
        </w:rPr>
        <w:t>‐</w:t>
      </w:r>
      <w:r w:rsidRPr="00411F6B">
        <w:rPr>
          <w:rFonts w:ascii="Times New Roman" w:hAnsi="Times New Roman" w:cs="Times New Roman"/>
          <w:sz w:val="20"/>
          <w:szCs w:val="20"/>
        </w:rPr>
        <w:t>limb dysfunction due to breast cancer treatment. The Cochrane Library. 2010.</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38.</w:t>
      </w:r>
      <w:r>
        <w:rPr>
          <w:rFonts w:ascii="Times New Roman" w:hAnsi="Times New Roman" w:cs="Times New Roman"/>
          <w:sz w:val="20"/>
          <w:szCs w:val="20"/>
        </w:rPr>
        <w:t xml:space="preserve"> </w:t>
      </w:r>
      <w:r w:rsidRPr="00411F6B">
        <w:rPr>
          <w:rFonts w:ascii="Times New Roman" w:hAnsi="Times New Roman" w:cs="Times New Roman"/>
          <w:sz w:val="20"/>
          <w:szCs w:val="20"/>
        </w:rPr>
        <w:t>Zengin Alpozgen A, Razak Ozdincler A, Karanlik H, Yaman Agaoglu F, Narin AN. Effectiveness of Pilates-based exercises on upper extremity disorders related with breast cancer treatment. Eur J Cancer Care 2016; 1–8.</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 xml:space="preserve">39.Didem K, Ufuk YS, Serdar S, Zümre A. The comparison of two different physiotherapy methods in treatment of lymphedema after breast surgery. Breast Cancer Res Treat. 2005;93(1):49-54. </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40.</w:t>
      </w:r>
      <w:r>
        <w:rPr>
          <w:rFonts w:ascii="Times New Roman" w:hAnsi="Times New Roman" w:cs="Times New Roman"/>
          <w:sz w:val="20"/>
          <w:szCs w:val="20"/>
        </w:rPr>
        <w:t xml:space="preserve"> </w:t>
      </w:r>
      <w:r w:rsidRPr="00411F6B">
        <w:rPr>
          <w:rFonts w:ascii="Times New Roman" w:hAnsi="Times New Roman" w:cs="Times New Roman"/>
          <w:sz w:val="20"/>
          <w:szCs w:val="20"/>
        </w:rPr>
        <w:t>Bakar Y</w:t>
      </w:r>
      <w:proofErr w:type="gramStart"/>
      <w:r w:rsidRPr="00411F6B">
        <w:rPr>
          <w:rFonts w:ascii="Times New Roman" w:hAnsi="Times New Roman" w:cs="Times New Roman"/>
          <w:sz w:val="20"/>
          <w:szCs w:val="20"/>
        </w:rPr>
        <w:t>.,</w:t>
      </w:r>
      <w:proofErr w:type="gramEnd"/>
      <w:r w:rsidRPr="00411F6B">
        <w:rPr>
          <w:rFonts w:ascii="Times New Roman" w:hAnsi="Times New Roman" w:cs="Times New Roman"/>
          <w:sz w:val="20"/>
          <w:szCs w:val="20"/>
        </w:rPr>
        <w:t xml:space="preserve"> Berdici B., Şahin N., Pala Ö.O. Lymphedema after Breast Cancer and its Treatment J Breast Health 2014;10:6-14. </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41.</w:t>
      </w:r>
      <w:r>
        <w:rPr>
          <w:rFonts w:ascii="Times New Roman" w:hAnsi="Times New Roman" w:cs="Times New Roman"/>
          <w:sz w:val="20"/>
          <w:szCs w:val="20"/>
        </w:rPr>
        <w:t xml:space="preserve">  </w:t>
      </w:r>
      <w:r w:rsidRPr="00411F6B">
        <w:rPr>
          <w:rFonts w:ascii="Times New Roman" w:hAnsi="Times New Roman" w:cs="Times New Roman"/>
          <w:sz w:val="20"/>
          <w:szCs w:val="20"/>
        </w:rPr>
        <w:t xml:space="preserve">Atalay OT, Özkir A, Çalik BB, Baskan E, Taşkin H. Effects of phase I complex decongestive physiotherapy on physical functions and depression levels in breast cancer related lymph edema. J Phys Ther Sci. 2015;27(3):865-70. </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 xml:space="preserve">42.Yagli NV, Ulger O.The effects of yoga on the quality of life and depression in elderly breast cancer patients. Complement Ther Clin Pract. 2015;21(1):7-10. </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43.Vardar Yağlı N, Şener G, Arıkan H, Sağlam M, İnal İnce D, Savcı S, Çalık Kutukcu E, Altundağ K, Kaya EB, Kutluk T, Özışık Y.Do yoga and aerobic exercise training have impact on functional capacity, fatigue, peripheral muscle strength, and quality of life in breast cancer survivors? Integr Cancer Ther. 2015;14(2):125-32.</w:t>
      </w:r>
    </w:p>
    <w:p w:rsidR="00622F23" w:rsidRPr="00411F6B" w:rsidRDefault="00622F23" w:rsidP="00622F23">
      <w:pPr>
        <w:tabs>
          <w:tab w:val="left" w:pos="709"/>
        </w:tabs>
        <w:autoSpaceDE w:val="0"/>
        <w:autoSpaceDN w:val="0"/>
        <w:adjustRightInd w:val="0"/>
        <w:spacing w:after="0" w:line="240" w:lineRule="auto"/>
        <w:jc w:val="both"/>
        <w:rPr>
          <w:rFonts w:ascii="Times New Roman" w:hAnsi="Times New Roman" w:cs="Times New Roman"/>
          <w:sz w:val="20"/>
          <w:szCs w:val="20"/>
        </w:rPr>
      </w:pPr>
      <w:r w:rsidRPr="00411F6B">
        <w:rPr>
          <w:rFonts w:ascii="Times New Roman" w:hAnsi="Times New Roman" w:cs="Times New Roman"/>
          <w:sz w:val="20"/>
          <w:szCs w:val="20"/>
        </w:rPr>
        <w:t xml:space="preserve">44.Pekyavaş NÖ, Tunay VB, Akbayrak T, Kaya S, Karataş M. Complex decongestive therapy and taping for patients with postmastectomy </w:t>
      </w:r>
      <w:r w:rsidRPr="00411F6B">
        <w:rPr>
          <w:rFonts w:ascii="Times New Roman" w:hAnsi="Times New Roman" w:cs="Times New Roman"/>
          <w:sz w:val="20"/>
          <w:szCs w:val="20"/>
        </w:rPr>
        <w:lastRenderedPageBreak/>
        <w:t xml:space="preserve">lymphedema: a randomized controlled </w:t>
      </w:r>
      <w:proofErr w:type="gramStart"/>
      <w:r w:rsidRPr="00411F6B">
        <w:rPr>
          <w:rFonts w:ascii="Times New Roman" w:hAnsi="Times New Roman" w:cs="Times New Roman"/>
          <w:sz w:val="20"/>
          <w:szCs w:val="20"/>
        </w:rPr>
        <w:t>study.Eur</w:t>
      </w:r>
      <w:proofErr w:type="gramEnd"/>
      <w:r w:rsidRPr="00411F6B">
        <w:rPr>
          <w:rFonts w:ascii="Times New Roman" w:hAnsi="Times New Roman" w:cs="Times New Roman"/>
          <w:sz w:val="20"/>
          <w:szCs w:val="20"/>
        </w:rPr>
        <w:t xml:space="preserve"> J Oncol Nurs. 2014;18(6):585-90.</w:t>
      </w:r>
    </w:p>
    <w:p w:rsidR="00622F23" w:rsidRPr="00411F6B" w:rsidRDefault="00622F23" w:rsidP="00622F2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45.</w:t>
      </w:r>
      <w:r w:rsidRPr="00411F6B">
        <w:rPr>
          <w:rFonts w:ascii="Times New Roman" w:hAnsi="Times New Roman" w:cs="Times New Roman"/>
          <w:sz w:val="20"/>
          <w:szCs w:val="20"/>
        </w:rPr>
        <w:t>Bourke L, Smith D, Steed L, Hooper R, Carter A, Catto J, et al. Exercise for men with prostate cancer: a systematic review and meta-analysis. European urology. 2016;69(4):693-703.</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46.Özdemir K, Keser İ, Sen I, Tan MÖ. The Importance of Preventive Physiotherapy in Patients Diagnosed with Prostate Cancer. Journal of Urological Surgery. 2016;3(4):123.</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47.Cormie P, Zopf EM, Zhang X, Schmitz KH. The impact of exercise on cancer mortality, recurrence, and treatment-related adverse effects. Epidemiologic Reviews. 2017;39(1):71-92.</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48.</w:t>
      </w:r>
      <w:r w:rsidRPr="00411F6B">
        <w:rPr>
          <w:rFonts w:ascii="Times New Roman" w:hAnsi="Times New Roman" w:cs="Times New Roman"/>
          <w:sz w:val="20"/>
          <w:szCs w:val="20"/>
          <w:lang w:val="tr-TR"/>
        </w:rPr>
        <w:t>Bakar Y, Tuğral A.Lower Extremity Lymphedema Management after Gynecologic Cancer Surgery: A Review of Current Management Strategies. Ann Vasc Surg. 2017 May 5. doi: 10.1016/j.avsg.2017.03.197. [Epub ahead of print])</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49.Bilgin S, Kose N, Karakaya J, Mut M.Traumatic brain injury shows better functional recovery than brain tumor: a rehabilitative perspective. Eur J Phys Rehabil Med. 2014;50(1):17-23.</w:t>
      </w:r>
    </w:p>
    <w:p w:rsidR="00622F23" w:rsidRPr="00411F6B" w:rsidRDefault="00622F23" w:rsidP="00622F23">
      <w:pPr>
        <w:pStyle w:val="EndNoteBibliography"/>
        <w:spacing w:after="0"/>
        <w:jc w:val="both"/>
        <w:rPr>
          <w:rFonts w:ascii="Times New Roman" w:hAnsi="Times New Roman" w:cs="Times New Roman"/>
          <w:sz w:val="20"/>
          <w:szCs w:val="20"/>
        </w:rPr>
      </w:pPr>
      <w:r w:rsidRPr="00411F6B">
        <w:rPr>
          <w:rFonts w:ascii="Times New Roman" w:hAnsi="Times New Roman" w:cs="Times New Roman"/>
          <w:sz w:val="20"/>
          <w:szCs w:val="20"/>
        </w:rPr>
        <w:t>50.</w:t>
      </w:r>
      <w:r w:rsidRPr="00411F6B">
        <w:rPr>
          <w:rFonts w:ascii="Times New Roman" w:hAnsi="Times New Roman" w:cs="Times New Roman"/>
          <w:sz w:val="20"/>
          <w:szCs w:val="20"/>
          <w:lang w:val="tr-TR"/>
        </w:rPr>
        <w:t>Pehlivan E, Turna A, Gurses A, Gurses HN.The effects of preoperative short-term intense physical therapy in lung cancer patients: a randomized controlled trial. Ann Thorac Cardiovasc Surg. 2011;17(5):461-8.</w:t>
      </w:r>
    </w:p>
    <w:p w:rsidR="00622F23" w:rsidRPr="00411F6B" w:rsidRDefault="00622F23" w:rsidP="00622F23">
      <w:pPr>
        <w:autoSpaceDE w:val="0"/>
        <w:autoSpaceDN w:val="0"/>
        <w:adjustRightInd w:val="0"/>
        <w:spacing w:after="0" w:line="240" w:lineRule="auto"/>
        <w:jc w:val="both"/>
        <w:rPr>
          <w:sz w:val="20"/>
          <w:szCs w:val="20"/>
        </w:rPr>
      </w:pPr>
    </w:p>
    <w:p w:rsidR="00622F23" w:rsidRDefault="00622F23" w:rsidP="00622F23">
      <w:pPr>
        <w:shd w:val="clear" w:color="auto" w:fill="FFFFFF"/>
        <w:spacing w:after="150" w:line="240" w:lineRule="auto"/>
        <w:rPr>
          <w:rFonts w:ascii="Helvetica" w:eastAsia="Times New Roman" w:hAnsi="Helvetica" w:cs="Helvetica"/>
          <w:color w:val="333333"/>
          <w:sz w:val="19"/>
          <w:szCs w:val="19"/>
          <w:lang w:eastAsia="tr-TR"/>
        </w:rPr>
        <w:sectPr w:rsidR="00622F23" w:rsidSect="00411F6B">
          <w:type w:val="continuous"/>
          <w:pgSz w:w="11906" w:h="16838"/>
          <w:pgMar w:top="1417" w:right="1417" w:bottom="1417" w:left="1417" w:header="708" w:footer="708" w:gutter="0"/>
          <w:cols w:num="2" w:space="708"/>
          <w:titlePg/>
          <w:docGrid w:linePitch="360"/>
        </w:sectPr>
      </w:pPr>
    </w:p>
    <w:p w:rsidR="00622F23" w:rsidRPr="00162392" w:rsidRDefault="00622F23" w:rsidP="00622F23">
      <w:pPr>
        <w:spacing w:after="0" w:line="480" w:lineRule="auto"/>
        <w:jc w:val="center"/>
        <w:rPr>
          <w:rFonts w:ascii="Times New Roman" w:hAnsi="Times New Roman"/>
          <w:b/>
          <w:caps/>
          <w:color w:val="000000"/>
          <w:sz w:val="24"/>
          <w:szCs w:val="24"/>
          <w:lang w:val="en-US"/>
        </w:rPr>
      </w:pPr>
      <w:r w:rsidRPr="00162392">
        <w:rPr>
          <w:rFonts w:ascii="Times New Roman" w:hAnsi="Times New Roman"/>
          <w:b/>
          <w:caps/>
          <w:color w:val="000000"/>
          <w:sz w:val="24"/>
          <w:szCs w:val="24"/>
          <w:lang w:val="en-US"/>
        </w:rPr>
        <w:lastRenderedPageBreak/>
        <w:t>Investigation of 5-hydroxymethyl-2-furaldehyde and 2-furaldehyde compounds in fruit juices</w:t>
      </w:r>
    </w:p>
    <w:p w:rsidR="00622F23" w:rsidRPr="00162392" w:rsidRDefault="00622F23" w:rsidP="00622F23">
      <w:pPr>
        <w:spacing w:after="0" w:line="480" w:lineRule="auto"/>
        <w:jc w:val="center"/>
        <w:rPr>
          <w:rFonts w:ascii="Times New Roman" w:hAnsi="Times New Roman"/>
          <w:b/>
          <w:color w:val="000000"/>
          <w:sz w:val="24"/>
          <w:szCs w:val="24"/>
          <w:lang w:val="en-US"/>
        </w:rPr>
      </w:pPr>
      <w:r w:rsidRPr="00162392">
        <w:rPr>
          <w:rFonts w:ascii="Times New Roman" w:hAnsi="Times New Roman"/>
          <w:b/>
          <w:color w:val="000000"/>
          <w:sz w:val="24"/>
          <w:szCs w:val="24"/>
          <w:lang w:val="en-US"/>
        </w:rPr>
        <w:t>Ceren SÖNMEZ</w:t>
      </w:r>
      <w:r w:rsidRPr="00A0168B">
        <w:rPr>
          <w:rFonts w:ascii="Times New Roman" w:hAnsi="Times New Roman"/>
          <w:b/>
          <w:color w:val="000000"/>
          <w:sz w:val="24"/>
          <w:szCs w:val="24"/>
          <w:vertAlign w:val="superscript"/>
          <w:lang w:val="en-US"/>
        </w:rPr>
        <w:t>1</w:t>
      </w:r>
      <w:r w:rsidRPr="00162392">
        <w:rPr>
          <w:rFonts w:ascii="Times New Roman" w:hAnsi="Times New Roman"/>
          <w:b/>
          <w:color w:val="000000"/>
          <w:sz w:val="24"/>
          <w:szCs w:val="24"/>
          <w:lang w:val="en-US"/>
        </w:rPr>
        <w:t>, Gülderen YENTÜR</w:t>
      </w:r>
      <w:r w:rsidRPr="00A0168B">
        <w:rPr>
          <w:rFonts w:ascii="Times New Roman" w:hAnsi="Times New Roman"/>
          <w:b/>
          <w:color w:val="000000"/>
          <w:sz w:val="24"/>
          <w:szCs w:val="24"/>
          <w:vertAlign w:val="superscript"/>
          <w:lang w:val="en-US"/>
        </w:rPr>
        <w:t>1</w:t>
      </w:r>
      <w:r w:rsidRPr="00162392">
        <w:rPr>
          <w:rFonts w:ascii="Times New Roman" w:hAnsi="Times New Roman"/>
          <w:b/>
          <w:color w:val="000000"/>
          <w:sz w:val="24"/>
          <w:szCs w:val="24"/>
          <w:lang w:val="en-US"/>
        </w:rPr>
        <w:t>, Burak DEMİRHAN</w:t>
      </w:r>
      <w:r w:rsidRPr="00A0168B">
        <w:rPr>
          <w:rFonts w:ascii="Times New Roman" w:hAnsi="Times New Roman"/>
          <w:b/>
          <w:color w:val="000000"/>
          <w:sz w:val="24"/>
          <w:szCs w:val="24"/>
          <w:vertAlign w:val="superscript"/>
          <w:lang w:val="en-US"/>
        </w:rPr>
        <w:t>1</w:t>
      </w:r>
      <w:r w:rsidRPr="00162392">
        <w:rPr>
          <w:rFonts w:ascii="Times New Roman" w:hAnsi="Times New Roman"/>
          <w:b/>
          <w:color w:val="000000"/>
          <w:sz w:val="24"/>
          <w:szCs w:val="24"/>
          <w:lang w:val="en-US"/>
        </w:rPr>
        <w:t>, Buket ER DEMİRHAN</w:t>
      </w:r>
      <w:r w:rsidRPr="00A0168B">
        <w:rPr>
          <w:rFonts w:ascii="Times New Roman" w:hAnsi="Times New Roman"/>
          <w:b/>
          <w:color w:val="000000"/>
          <w:sz w:val="24"/>
          <w:szCs w:val="24"/>
          <w:vertAlign w:val="superscript"/>
          <w:lang w:val="en-US"/>
        </w:rPr>
        <w:t>1</w:t>
      </w:r>
    </w:p>
    <w:p w:rsidR="00622F23" w:rsidRPr="00A0168B" w:rsidRDefault="00622F23" w:rsidP="00622F23">
      <w:pPr>
        <w:spacing w:after="0" w:line="480" w:lineRule="auto"/>
        <w:jc w:val="center"/>
        <w:rPr>
          <w:rFonts w:ascii="Times New Roman" w:hAnsi="Times New Roman"/>
          <w:i/>
          <w:color w:val="000000"/>
          <w:sz w:val="20"/>
          <w:szCs w:val="20"/>
          <w:lang w:val="en-US"/>
        </w:rPr>
      </w:pPr>
      <w:r w:rsidRPr="00A0168B">
        <w:rPr>
          <w:rFonts w:ascii="Times New Roman" w:hAnsi="Times New Roman"/>
          <w:i/>
          <w:color w:val="000000"/>
          <w:sz w:val="20"/>
          <w:szCs w:val="20"/>
          <w:vertAlign w:val="superscript"/>
          <w:lang w:val="en-US"/>
        </w:rPr>
        <w:t>1</w:t>
      </w:r>
      <w:r w:rsidRPr="00A0168B">
        <w:rPr>
          <w:rFonts w:ascii="Times New Roman" w:hAnsi="Times New Roman"/>
          <w:i/>
          <w:color w:val="000000"/>
          <w:sz w:val="20"/>
          <w:szCs w:val="20"/>
          <w:lang w:val="en-US"/>
        </w:rPr>
        <w:t>Gazi University Faculty of Pharmacy Department of Food Analysis, Ankara, Turkey</w:t>
      </w:r>
    </w:p>
    <w:p w:rsidR="00622F23" w:rsidRDefault="00622F23" w:rsidP="00622F23">
      <w:pPr>
        <w:spacing w:after="0" w:line="240" w:lineRule="auto"/>
        <w:ind w:right="283"/>
        <w:jc w:val="center"/>
        <w:rPr>
          <w:rFonts w:ascii="Times New Roman" w:hAnsi="Times New Roman"/>
          <w:b/>
          <w:caps/>
          <w:color w:val="000000"/>
          <w:sz w:val="20"/>
          <w:szCs w:val="20"/>
          <w:lang w:val="en-US"/>
        </w:rPr>
      </w:pPr>
      <w:r w:rsidRPr="00472D86">
        <w:rPr>
          <w:rFonts w:ascii="Times New Roman" w:hAnsi="Times New Roman"/>
          <w:b/>
          <w:caps/>
          <w:color w:val="000000"/>
          <w:sz w:val="20"/>
          <w:szCs w:val="20"/>
          <w:lang w:val="en-US"/>
        </w:rPr>
        <w:t>Abstract</w:t>
      </w:r>
    </w:p>
    <w:p w:rsidR="00622F23" w:rsidRPr="00472D86" w:rsidRDefault="00622F23" w:rsidP="00622F23">
      <w:pPr>
        <w:spacing w:after="0" w:line="240" w:lineRule="auto"/>
        <w:ind w:right="283"/>
        <w:jc w:val="center"/>
        <w:rPr>
          <w:rFonts w:ascii="Times New Roman" w:hAnsi="Times New Roman"/>
          <w:b/>
          <w:caps/>
          <w:color w:val="000000"/>
          <w:sz w:val="20"/>
          <w:szCs w:val="20"/>
          <w:lang w:val="en-US"/>
        </w:rPr>
      </w:pPr>
    </w:p>
    <w:p w:rsidR="00622F23" w:rsidRPr="00472D86" w:rsidRDefault="00622F23" w:rsidP="00622F23">
      <w:pPr>
        <w:spacing w:after="0" w:line="240" w:lineRule="auto"/>
        <w:jc w:val="both"/>
        <w:rPr>
          <w:rFonts w:ascii="Times New Roman" w:hAnsi="Times New Roman"/>
          <w:color w:val="000000"/>
          <w:sz w:val="20"/>
          <w:szCs w:val="20"/>
          <w:lang w:val="en-US"/>
        </w:rPr>
      </w:pPr>
      <w:r w:rsidRPr="00472D86">
        <w:rPr>
          <w:rFonts w:ascii="Times New Roman" w:hAnsi="Times New Roman"/>
          <w:color w:val="000000"/>
          <w:sz w:val="20"/>
          <w:szCs w:val="20"/>
          <w:lang w:val="en-GB"/>
        </w:rPr>
        <w:t xml:space="preserve">Maillard reactions are responsible </w:t>
      </w:r>
      <w:r w:rsidRPr="00472D86">
        <w:rPr>
          <w:rFonts w:ascii="Times New Roman" w:hAnsi="Times New Roman"/>
          <w:noProof/>
          <w:color w:val="000000"/>
          <w:sz w:val="20"/>
          <w:szCs w:val="20"/>
          <w:lang w:val="en-GB"/>
        </w:rPr>
        <w:t>for reducing</w:t>
      </w:r>
      <w:r w:rsidRPr="00472D86">
        <w:rPr>
          <w:rFonts w:ascii="Times New Roman" w:hAnsi="Times New Roman"/>
          <w:color w:val="000000"/>
          <w:sz w:val="20"/>
          <w:szCs w:val="20"/>
          <w:lang w:val="en-GB"/>
        </w:rPr>
        <w:t xml:space="preserve"> the nutritional value of foods. </w:t>
      </w:r>
      <w:r w:rsidRPr="00472D86">
        <w:rPr>
          <w:rFonts w:ascii="Times New Roman" w:hAnsi="Times New Roman"/>
          <w:color w:val="000000"/>
          <w:sz w:val="20"/>
          <w:szCs w:val="20"/>
          <w:lang w:val="en-US"/>
        </w:rPr>
        <w:t xml:space="preserve">Hydroxymethylfurfural which is the intermediate products of </w:t>
      </w:r>
      <w:r w:rsidRPr="00472D86">
        <w:rPr>
          <w:rFonts w:ascii="Times New Roman" w:hAnsi="Times New Roman"/>
          <w:noProof/>
          <w:color w:val="000000"/>
          <w:sz w:val="20"/>
          <w:szCs w:val="20"/>
          <w:lang w:val="en-US"/>
        </w:rPr>
        <w:t>Maillard</w:t>
      </w:r>
      <w:r w:rsidRPr="00472D86">
        <w:rPr>
          <w:rFonts w:ascii="Times New Roman" w:hAnsi="Times New Roman"/>
          <w:color w:val="000000"/>
          <w:sz w:val="20"/>
          <w:szCs w:val="20"/>
          <w:lang w:val="en-US"/>
        </w:rPr>
        <w:t xml:space="preserve"> </w:t>
      </w:r>
      <w:r w:rsidRPr="00472D86">
        <w:rPr>
          <w:rFonts w:ascii="Times New Roman" w:hAnsi="Times New Roman"/>
          <w:noProof/>
          <w:color w:val="000000"/>
          <w:sz w:val="20"/>
          <w:szCs w:val="20"/>
          <w:lang w:val="en-US"/>
        </w:rPr>
        <w:t>reaction</w:t>
      </w:r>
      <w:r w:rsidRPr="00472D86">
        <w:rPr>
          <w:rFonts w:ascii="Times New Roman" w:hAnsi="Times New Roman"/>
          <w:color w:val="000000"/>
          <w:sz w:val="20"/>
          <w:szCs w:val="20"/>
          <w:lang w:val="en-US"/>
        </w:rPr>
        <w:t xml:space="preserve"> is the most important quality criteria in fruit juices. Our aim was to determine the levels of 5-hydroxymethly-2-furaldehyde (HMF) and 2-furaldehyde (F) compounds in 100 commercial fruit juice samples (apple juice, apricot nectar, cherry juice and peach nectar) of five different brands (A, B, C, </w:t>
      </w:r>
      <w:r w:rsidRPr="00472D86">
        <w:rPr>
          <w:rFonts w:ascii="Times New Roman" w:hAnsi="Times New Roman"/>
          <w:noProof/>
          <w:color w:val="000000"/>
          <w:sz w:val="20"/>
          <w:szCs w:val="20"/>
          <w:lang w:val="en-US"/>
        </w:rPr>
        <w:t>D,</w:t>
      </w:r>
      <w:r w:rsidRPr="00472D86">
        <w:rPr>
          <w:rFonts w:ascii="Times New Roman" w:hAnsi="Times New Roman"/>
          <w:color w:val="000000"/>
          <w:sz w:val="20"/>
          <w:szCs w:val="20"/>
          <w:lang w:val="en-US"/>
        </w:rPr>
        <w:t xml:space="preserve"> and E) sold in Ankara, Turkey. HMF and F compounds were determined by high-performance liquid chromatography (HPLC) with diode array detector (DAD). The HMF and F assays were linear in broad concentration ranges (HMF: R</w:t>
      </w:r>
      <w:r w:rsidRPr="00472D86">
        <w:rPr>
          <w:rFonts w:ascii="Times New Roman" w:hAnsi="Times New Roman"/>
          <w:color w:val="000000"/>
          <w:sz w:val="20"/>
          <w:szCs w:val="20"/>
          <w:vertAlign w:val="superscript"/>
          <w:lang w:val="en-US"/>
        </w:rPr>
        <w:t>2</w:t>
      </w:r>
      <w:r w:rsidRPr="00472D86">
        <w:rPr>
          <w:rFonts w:ascii="Times New Roman" w:hAnsi="Times New Roman"/>
          <w:color w:val="000000"/>
          <w:sz w:val="20"/>
          <w:szCs w:val="20"/>
          <w:lang w:val="en-US"/>
        </w:rPr>
        <w:t>&gt;0.999, F: R</w:t>
      </w:r>
      <w:r w:rsidRPr="00472D86">
        <w:rPr>
          <w:rFonts w:ascii="Times New Roman" w:hAnsi="Times New Roman"/>
          <w:color w:val="000000"/>
          <w:sz w:val="20"/>
          <w:szCs w:val="20"/>
          <w:vertAlign w:val="superscript"/>
          <w:lang w:val="en-US"/>
        </w:rPr>
        <w:t>2</w:t>
      </w:r>
      <w:r w:rsidRPr="00472D86">
        <w:rPr>
          <w:rFonts w:ascii="Times New Roman" w:hAnsi="Times New Roman"/>
          <w:color w:val="000000"/>
          <w:sz w:val="20"/>
          <w:szCs w:val="20"/>
          <w:lang w:val="en-US"/>
        </w:rPr>
        <w:t xml:space="preserve">&gt;0.994). Recovery values of HMF and F were calculated as 101.8% and 99.1%, respectively. Limit of detection (LOD) and limit of quantification (LOQ) values of HMF were determined as 0.0017 mg/L and 0.0055 mg/L, respectively. These values were determined as 0.0018 mg/L and 0.0059 mg/L for F. </w:t>
      </w:r>
      <w:r w:rsidRPr="00472D86">
        <w:rPr>
          <w:rFonts w:ascii="Times New Roman" w:hAnsi="Times New Roman"/>
          <w:color w:val="000000"/>
          <w:sz w:val="20"/>
          <w:szCs w:val="20"/>
          <w:shd w:val="clear" w:color="auto" w:fill="FFFFFF"/>
          <w:lang w:val="en-US"/>
        </w:rPr>
        <w:t xml:space="preserve">HMF and F were determined in all of the samples. Also, HMF levels of all samples were higher than F levels of samples. </w:t>
      </w:r>
      <w:r w:rsidRPr="00472D86">
        <w:rPr>
          <w:rFonts w:ascii="Times New Roman" w:hAnsi="Times New Roman"/>
          <w:color w:val="000000"/>
          <w:sz w:val="20"/>
          <w:szCs w:val="20"/>
          <w:lang w:val="en-US"/>
        </w:rPr>
        <w:t>The minimum and maximum HMF and F levels were determined as 63.89 – 162.27 mg/L and 0.19 – 4.85 mg/L, respectively. Our data revealed that HMF levels in fruit juice samples were higher than maximum allowed value set by Turkish Standard Institute (TSI) (10 mg/L).</w:t>
      </w:r>
      <w:r w:rsidRPr="00472D86">
        <w:rPr>
          <w:rFonts w:ascii="Times New Roman" w:hAnsi="Times New Roman"/>
          <w:color w:val="000000"/>
          <w:sz w:val="20"/>
          <w:szCs w:val="20"/>
          <w:lang w:val="en-US" w:eastAsia="tr-TR"/>
        </w:rPr>
        <w:t xml:space="preserve"> No value has been established in the TSI for F compound in fruit juices or nectars.</w:t>
      </w:r>
    </w:p>
    <w:p w:rsidR="00622F23" w:rsidRPr="00472D86" w:rsidRDefault="00622F23" w:rsidP="00622F23">
      <w:pPr>
        <w:spacing w:after="0" w:line="240" w:lineRule="auto"/>
        <w:ind w:left="284" w:right="283"/>
        <w:rPr>
          <w:rFonts w:ascii="Times New Roman" w:hAnsi="Times New Roman"/>
          <w:b/>
          <w:caps/>
          <w:color w:val="000000"/>
          <w:sz w:val="20"/>
          <w:szCs w:val="20"/>
          <w:lang w:val="en-US"/>
        </w:rPr>
      </w:pPr>
    </w:p>
    <w:p w:rsidR="00622F23" w:rsidRPr="00472D86" w:rsidRDefault="00622F23" w:rsidP="00622F23">
      <w:pPr>
        <w:spacing w:after="0" w:line="240" w:lineRule="auto"/>
        <w:ind w:right="283"/>
        <w:jc w:val="both"/>
        <w:rPr>
          <w:rFonts w:ascii="Times New Roman" w:hAnsi="Times New Roman"/>
          <w:color w:val="000000"/>
          <w:sz w:val="20"/>
          <w:szCs w:val="20"/>
          <w:lang w:val="en-US"/>
        </w:rPr>
      </w:pPr>
      <w:r w:rsidRPr="00472D86">
        <w:rPr>
          <w:rFonts w:ascii="Times New Roman" w:hAnsi="Times New Roman"/>
          <w:b/>
          <w:color w:val="000000"/>
          <w:sz w:val="20"/>
          <w:szCs w:val="20"/>
          <w:lang w:val="en-US"/>
        </w:rPr>
        <w:t>Keywords:</w:t>
      </w:r>
      <w:r w:rsidRPr="00472D86">
        <w:rPr>
          <w:rFonts w:ascii="Times New Roman" w:hAnsi="Times New Roman"/>
          <w:color w:val="000000"/>
          <w:sz w:val="20"/>
          <w:szCs w:val="20"/>
          <w:lang w:val="en-US"/>
        </w:rPr>
        <w:t xml:space="preserve"> Fruit juice, 5-hydroxymethly-2-furaldehyde, 2-furaldehyde, high-performance liquid chromatography.</w:t>
      </w:r>
    </w:p>
    <w:p w:rsidR="00622F23" w:rsidRDefault="00622F23" w:rsidP="00622F23">
      <w:pPr>
        <w:spacing w:after="0" w:line="240" w:lineRule="auto"/>
        <w:ind w:right="283"/>
        <w:jc w:val="center"/>
        <w:rPr>
          <w:rFonts w:ascii="Times New Roman" w:hAnsi="Times New Roman"/>
          <w:b/>
          <w:color w:val="000000"/>
          <w:sz w:val="20"/>
          <w:szCs w:val="20"/>
          <w:lang w:val="en-US"/>
        </w:rPr>
      </w:pPr>
    </w:p>
    <w:p w:rsidR="00622F23" w:rsidRPr="00472D86" w:rsidRDefault="00622F23" w:rsidP="00622F23">
      <w:pPr>
        <w:spacing w:after="0" w:line="240" w:lineRule="auto"/>
        <w:ind w:right="283"/>
        <w:jc w:val="center"/>
        <w:rPr>
          <w:rFonts w:ascii="Times New Roman" w:hAnsi="Times New Roman"/>
          <w:b/>
          <w:color w:val="000000"/>
          <w:sz w:val="20"/>
          <w:szCs w:val="20"/>
          <w:lang w:val="en-US"/>
        </w:rPr>
      </w:pPr>
    </w:p>
    <w:p w:rsidR="00622F23" w:rsidRDefault="00622F23" w:rsidP="00622F23">
      <w:pPr>
        <w:spacing w:after="0" w:line="240" w:lineRule="auto"/>
        <w:ind w:right="283"/>
        <w:jc w:val="center"/>
        <w:rPr>
          <w:rFonts w:ascii="Times New Roman" w:hAnsi="Times New Roman"/>
          <w:b/>
          <w:color w:val="000000"/>
          <w:sz w:val="20"/>
          <w:szCs w:val="20"/>
          <w:lang w:val="en-US"/>
        </w:rPr>
      </w:pPr>
      <w:r w:rsidRPr="00472D86">
        <w:rPr>
          <w:rFonts w:ascii="Times New Roman" w:hAnsi="Times New Roman"/>
          <w:b/>
          <w:caps/>
          <w:color w:val="000000"/>
          <w:sz w:val="20"/>
          <w:szCs w:val="20"/>
          <w:lang w:val="en-US"/>
        </w:rPr>
        <w:t>Meyve sularında 5-hİdroksİmetİl-2-furaldehİt ve 2-furaldehİt bİleşİklerİnİn araştırılması</w:t>
      </w:r>
      <w:r w:rsidRPr="00694778">
        <w:rPr>
          <w:rFonts w:ascii="Times New Roman" w:hAnsi="Times New Roman"/>
          <w:b/>
          <w:color w:val="000000"/>
          <w:sz w:val="20"/>
          <w:szCs w:val="20"/>
          <w:lang w:val="en-US"/>
        </w:rPr>
        <w:t xml:space="preserve"> </w:t>
      </w:r>
    </w:p>
    <w:p w:rsidR="00622F23" w:rsidRDefault="00622F23" w:rsidP="00622F23">
      <w:pPr>
        <w:spacing w:after="0" w:line="240" w:lineRule="auto"/>
        <w:ind w:right="283"/>
        <w:jc w:val="center"/>
        <w:rPr>
          <w:rFonts w:ascii="Times New Roman" w:hAnsi="Times New Roman"/>
          <w:b/>
          <w:color w:val="000000"/>
          <w:sz w:val="20"/>
          <w:szCs w:val="20"/>
          <w:lang w:val="en-US"/>
        </w:rPr>
      </w:pPr>
    </w:p>
    <w:p w:rsidR="00622F23" w:rsidRDefault="00622F23" w:rsidP="00622F23">
      <w:pPr>
        <w:spacing w:after="0" w:line="240" w:lineRule="auto"/>
        <w:ind w:right="283"/>
        <w:jc w:val="center"/>
        <w:rPr>
          <w:rFonts w:ascii="Times New Roman" w:hAnsi="Times New Roman"/>
          <w:b/>
          <w:color w:val="000000"/>
          <w:sz w:val="20"/>
          <w:szCs w:val="20"/>
          <w:lang w:val="en-US"/>
        </w:rPr>
      </w:pPr>
      <w:r w:rsidRPr="00472D86">
        <w:rPr>
          <w:rFonts w:ascii="Times New Roman" w:hAnsi="Times New Roman"/>
          <w:b/>
          <w:color w:val="000000"/>
          <w:sz w:val="20"/>
          <w:szCs w:val="20"/>
          <w:lang w:val="en-US"/>
        </w:rPr>
        <w:t>ÖZET</w:t>
      </w:r>
    </w:p>
    <w:p w:rsidR="00622F23" w:rsidRPr="00472D86" w:rsidRDefault="00622F23" w:rsidP="00622F23">
      <w:pPr>
        <w:spacing w:after="0" w:line="240" w:lineRule="auto"/>
        <w:jc w:val="center"/>
        <w:rPr>
          <w:rFonts w:ascii="Times New Roman" w:hAnsi="Times New Roman"/>
          <w:b/>
          <w:caps/>
          <w:color w:val="000000"/>
          <w:sz w:val="20"/>
          <w:szCs w:val="20"/>
          <w:lang w:val="en-US"/>
        </w:rPr>
      </w:pPr>
    </w:p>
    <w:p w:rsidR="00622F23" w:rsidRPr="00472D86" w:rsidRDefault="00622F23" w:rsidP="00622F23">
      <w:pPr>
        <w:spacing w:line="240" w:lineRule="auto"/>
        <w:jc w:val="both"/>
        <w:rPr>
          <w:rFonts w:ascii="Times New Roman" w:hAnsi="Times New Roman"/>
          <w:color w:val="000000"/>
          <w:sz w:val="20"/>
          <w:szCs w:val="20"/>
        </w:rPr>
      </w:pPr>
      <w:r w:rsidRPr="00472D86">
        <w:rPr>
          <w:rFonts w:ascii="Times New Roman" w:hAnsi="Times New Roman"/>
          <w:color w:val="000000"/>
          <w:sz w:val="20"/>
          <w:szCs w:val="20"/>
          <w:lang w:val="en-US"/>
        </w:rPr>
        <w:t xml:space="preserve">Maillard reaksiyonları gıdaların besinsel değerini düşürebilir. Maillard reaksiyonu ara ürünlerinden olan hidroksimetilfurfural meyve sularında en önemli kalite kriteridir. </w:t>
      </w:r>
      <w:r w:rsidRPr="00472D86">
        <w:rPr>
          <w:rFonts w:ascii="Times New Roman" w:hAnsi="Times New Roman"/>
          <w:color w:val="000000"/>
          <w:sz w:val="20"/>
          <w:szCs w:val="20"/>
        </w:rPr>
        <w:t xml:space="preserve">Çalışmada Ankara'da tüketime sunulan beş farklı markanın (A, B, C, D, E) 100 adet ticari meyve suyu örneğinde (kayısı, elma, vişne, şeftali) </w:t>
      </w:r>
      <w:r w:rsidRPr="00472D86">
        <w:rPr>
          <w:rFonts w:ascii="Times New Roman" w:hAnsi="Times New Roman"/>
          <w:color w:val="000000"/>
          <w:sz w:val="20"/>
          <w:szCs w:val="20"/>
          <w:lang w:val="en-US"/>
        </w:rPr>
        <w:t>5-hidroksimetil-2-furaldehit (HMF) ve 2-furaldehit (F) bileşiklerinin düzeylerinin belirlenmesi amaçlanmıştır</w:t>
      </w:r>
      <w:r w:rsidRPr="00472D86">
        <w:rPr>
          <w:rFonts w:ascii="Times New Roman" w:hAnsi="Times New Roman"/>
          <w:color w:val="000000"/>
          <w:sz w:val="20"/>
          <w:szCs w:val="20"/>
        </w:rPr>
        <w:t xml:space="preserve">. HMF ve F bileşiklerinin analizleri diyot dizinli dedektörlü, yüksek performanslı sıvı kromatografisi (HPLC-DAD) kullanılarak gerçekleştirilmiştir. HMF ve F deneyleri geniş </w:t>
      </w:r>
      <w:proofErr w:type="gramStart"/>
      <w:r w:rsidRPr="00472D86">
        <w:rPr>
          <w:rFonts w:ascii="Times New Roman" w:hAnsi="Times New Roman"/>
          <w:color w:val="000000"/>
          <w:sz w:val="20"/>
          <w:szCs w:val="20"/>
        </w:rPr>
        <w:t>konsantrasyon</w:t>
      </w:r>
      <w:proofErr w:type="gramEnd"/>
      <w:r w:rsidRPr="00472D86">
        <w:rPr>
          <w:rFonts w:ascii="Times New Roman" w:hAnsi="Times New Roman"/>
          <w:color w:val="000000"/>
          <w:sz w:val="20"/>
          <w:szCs w:val="20"/>
        </w:rPr>
        <w:t xml:space="preserve"> aralıklarında doğrusal sonuç vermiştir (HMF: R</w:t>
      </w:r>
      <w:r w:rsidRPr="00472D86">
        <w:rPr>
          <w:rFonts w:ascii="Times New Roman" w:hAnsi="Times New Roman"/>
          <w:color w:val="000000"/>
          <w:sz w:val="20"/>
          <w:szCs w:val="20"/>
          <w:vertAlign w:val="superscript"/>
        </w:rPr>
        <w:t>2</w:t>
      </w:r>
      <w:r w:rsidRPr="00472D86">
        <w:rPr>
          <w:rFonts w:ascii="Times New Roman" w:hAnsi="Times New Roman"/>
          <w:color w:val="000000"/>
          <w:sz w:val="20"/>
          <w:szCs w:val="20"/>
        </w:rPr>
        <w:t>&gt;0,999, F: R</w:t>
      </w:r>
      <w:r w:rsidRPr="00472D86">
        <w:rPr>
          <w:rFonts w:ascii="Times New Roman" w:hAnsi="Times New Roman"/>
          <w:color w:val="000000"/>
          <w:sz w:val="20"/>
          <w:szCs w:val="20"/>
          <w:vertAlign w:val="superscript"/>
        </w:rPr>
        <w:t>2</w:t>
      </w:r>
      <w:r w:rsidRPr="00472D86">
        <w:rPr>
          <w:rFonts w:ascii="Times New Roman" w:hAnsi="Times New Roman"/>
          <w:color w:val="000000"/>
          <w:sz w:val="20"/>
          <w:szCs w:val="20"/>
        </w:rPr>
        <w:t>&gt;0,994). HMF ve F’nin ortalama geri kazanımları sırasıyla %101,8 ve %99,1 olarak bulunmuştur. HMF’nin teşhis sınırı (TS) ve tayin alt sınırı (TAS) değerleri sırasıyla 0,0017 mg/L ve 0,0055 mg/L olarak tespit edilmiştir. Bu değerler F için sırasıyla 0,0018 mg/L ve 0,0059 mg/L olarak belirlenmiştir. Minimum ve maksimum HMF ve F seviyeleri sırasıyla 63,89-162,27 mg/L ve 0,19-4,85 mg/L olarak tespit edilmiştir. Elde edilen sonuçlara göre meyve sularındaki HMF düzeyleri Türk Standartları Enstitüsünde (TSE) belirtilen maksimum izin verilen düzeyin (10 mg/L) üzerinde bulunmuştur. Meyve sularında veya nektarlarda TSE’de F bileşiği için bir değer belirtilmemiştir.</w:t>
      </w:r>
    </w:p>
    <w:p w:rsidR="00622F23" w:rsidRDefault="00622F23" w:rsidP="00622F23">
      <w:pPr>
        <w:spacing w:after="0" w:line="240" w:lineRule="auto"/>
        <w:jc w:val="both"/>
        <w:rPr>
          <w:rFonts w:ascii="Times New Roman" w:hAnsi="Times New Roman"/>
          <w:color w:val="000000"/>
          <w:sz w:val="20"/>
          <w:szCs w:val="20"/>
        </w:rPr>
      </w:pPr>
      <w:r w:rsidRPr="00472D86">
        <w:rPr>
          <w:rFonts w:ascii="Times New Roman" w:hAnsi="Times New Roman"/>
          <w:b/>
          <w:color w:val="000000"/>
          <w:sz w:val="20"/>
          <w:szCs w:val="20"/>
        </w:rPr>
        <w:t>Anahtar kelimeler:</w:t>
      </w:r>
      <w:r w:rsidRPr="00472D86">
        <w:rPr>
          <w:rFonts w:ascii="Times New Roman" w:hAnsi="Times New Roman"/>
          <w:color w:val="000000"/>
          <w:sz w:val="20"/>
          <w:szCs w:val="20"/>
        </w:rPr>
        <w:t xml:space="preserve"> </w:t>
      </w:r>
      <w:r>
        <w:rPr>
          <w:rFonts w:ascii="Times New Roman" w:hAnsi="Times New Roman"/>
          <w:color w:val="000000"/>
          <w:sz w:val="20"/>
          <w:szCs w:val="20"/>
        </w:rPr>
        <w:t>M</w:t>
      </w:r>
      <w:r w:rsidRPr="00472D86">
        <w:rPr>
          <w:rFonts w:ascii="Times New Roman" w:hAnsi="Times New Roman"/>
          <w:color w:val="000000"/>
          <w:sz w:val="20"/>
          <w:szCs w:val="20"/>
        </w:rPr>
        <w:t xml:space="preserve">eyve suyu, </w:t>
      </w:r>
      <w:r w:rsidRPr="00472D86">
        <w:rPr>
          <w:rFonts w:ascii="Times New Roman" w:hAnsi="Times New Roman"/>
          <w:color w:val="000000"/>
          <w:sz w:val="20"/>
          <w:szCs w:val="20"/>
          <w:lang w:val="en-US"/>
        </w:rPr>
        <w:t xml:space="preserve">5-hidroksimetil-2-furaldehit, 2-furaldehit, </w:t>
      </w:r>
      <w:r w:rsidRPr="00472D86">
        <w:rPr>
          <w:rFonts w:ascii="Times New Roman" w:hAnsi="Times New Roman"/>
          <w:color w:val="000000"/>
          <w:sz w:val="20"/>
          <w:szCs w:val="20"/>
        </w:rPr>
        <w:t>yüksek performanslı sıvı kromatografisi.</w:t>
      </w:r>
    </w:p>
    <w:p w:rsidR="00622F23" w:rsidRDefault="00622F23" w:rsidP="00622F23">
      <w:pPr>
        <w:spacing w:after="0" w:line="480" w:lineRule="auto"/>
        <w:rPr>
          <w:rFonts w:ascii="Times New Roman" w:hAnsi="Times New Roman"/>
          <w:b/>
          <w:caps/>
          <w:sz w:val="24"/>
          <w:szCs w:val="24"/>
          <w:lang w:val="en-US"/>
        </w:rPr>
      </w:pPr>
    </w:p>
    <w:p w:rsidR="00622F23" w:rsidRDefault="00622F23" w:rsidP="00622F23">
      <w:pPr>
        <w:spacing w:after="0" w:line="480" w:lineRule="auto"/>
        <w:rPr>
          <w:rFonts w:ascii="Times New Roman" w:hAnsi="Times New Roman"/>
          <w:b/>
          <w:caps/>
          <w:sz w:val="24"/>
          <w:szCs w:val="24"/>
          <w:lang w:val="en-US"/>
        </w:rPr>
      </w:pPr>
    </w:p>
    <w:p w:rsidR="00622F23" w:rsidRDefault="00622F23" w:rsidP="00622F23">
      <w:pPr>
        <w:spacing w:after="0" w:line="480" w:lineRule="auto"/>
        <w:rPr>
          <w:rFonts w:ascii="Times New Roman" w:hAnsi="Times New Roman"/>
          <w:b/>
          <w:caps/>
          <w:sz w:val="24"/>
          <w:szCs w:val="24"/>
          <w:lang w:val="en-US"/>
        </w:rPr>
      </w:pPr>
    </w:p>
    <w:p w:rsidR="00622F23" w:rsidRDefault="00622F23" w:rsidP="00622F23">
      <w:pPr>
        <w:spacing w:after="0" w:line="480" w:lineRule="auto"/>
        <w:rPr>
          <w:rFonts w:ascii="Times New Roman" w:hAnsi="Times New Roman"/>
          <w:b/>
          <w:caps/>
          <w:sz w:val="24"/>
          <w:szCs w:val="24"/>
          <w:lang w:val="en-US"/>
        </w:rPr>
        <w:sectPr w:rsidR="00622F23" w:rsidSect="00867CFA">
          <w:headerReference w:type="default" r:id="rId25"/>
          <w:footerReference w:type="default" r:id="rId26"/>
          <w:headerReference w:type="first" r:id="rId27"/>
          <w:footerReference w:type="first" r:id="rId28"/>
          <w:pgSz w:w="11906" w:h="16838"/>
          <w:pgMar w:top="1417" w:right="1417" w:bottom="1417" w:left="1417" w:header="708" w:footer="708" w:gutter="0"/>
          <w:cols w:space="708"/>
          <w:titlePg/>
          <w:docGrid w:linePitch="360"/>
        </w:sectPr>
      </w:pPr>
    </w:p>
    <w:p w:rsidR="00622F23" w:rsidRDefault="00622F23" w:rsidP="00622F23">
      <w:pPr>
        <w:spacing w:after="0" w:line="240" w:lineRule="auto"/>
        <w:rPr>
          <w:rFonts w:ascii="Times New Roman" w:hAnsi="Times New Roman"/>
          <w:b/>
          <w:caps/>
          <w:sz w:val="24"/>
          <w:szCs w:val="24"/>
          <w:lang w:val="en-US"/>
        </w:rPr>
      </w:pPr>
      <w:r w:rsidRPr="00A0168B">
        <w:rPr>
          <w:rFonts w:ascii="Times New Roman" w:hAnsi="Times New Roman"/>
          <w:b/>
          <w:caps/>
          <w:sz w:val="24"/>
          <w:szCs w:val="24"/>
          <w:lang w:val="en-US"/>
        </w:rPr>
        <w:lastRenderedPageBreak/>
        <w:t>Introduction</w:t>
      </w:r>
    </w:p>
    <w:p w:rsidR="00622F23" w:rsidRDefault="00622F23" w:rsidP="00622F23">
      <w:pPr>
        <w:spacing w:after="0" w:line="240" w:lineRule="auto"/>
        <w:rPr>
          <w:rFonts w:ascii="Times New Roman" w:hAnsi="Times New Roman"/>
          <w:b/>
          <w:caps/>
          <w:sz w:val="24"/>
          <w:szCs w:val="24"/>
          <w:lang w:val="en-US"/>
        </w:rPr>
      </w:pPr>
    </w:p>
    <w:p w:rsidR="00622F23" w:rsidRDefault="00622F23" w:rsidP="00622F23">
      <w:pPr>
        <w:spacing w:after="0" w:line="240" w:lineRule="auto"/>
        <w:jc w:val="both"/>
        <w:rPr>
          <w:rFonts w:ascii="Times New Roman" w:hAnsi="Times New Roman"/>
          <w:b/>
          <w:caps/>
          <w:sz w:val="24"/>
          <w:szCs w:val="24"/>
          <w:lang w:val="en-US"/>
        </w:rPr>
      </w:pPr>
      <w:r>
        <w:rPr>
          <w:rFonts w:ascii="Times New Roman" w:hAnsi="Times New Roman"/>
          <w:sz w:val="24"/>
          <w:szCs w:val="24"/>
          <w:lang w:val="en-US"/>
        </w:rPr>
        <w:t>F</w:t>
      </w:r>
      <w:r w:rsidRPr="00A0168B">
        <w:rPr>
          <w:rFonts w:ascii="Times New Roman" w:hAnsi="Times New Roman"/>
          <w:sz w:val="24"/>
          <w:szCs w:val="24"/>
          <w:lang w:val="en-US"/>
        </w:rPr>
        <w:t xml:space="preserve">ruit juices have an </w:t>
      </w:r>
      <w:r w:rsidRPr="00A0168B">
        <w:rPr>
          <w:rFonts w:ascii="Times New Roman" w:hAnsi="Times New Roman"/>
          <w:noProof/>
          <w:sz w:val="24"/>
          <w:szCs w:val="24"/>
          <w:lang w:val="en-US"/>
        </w:rPr>
        <w:t>important</w:t>
      </w:r>
      <w:r w:rsidRPr="00A0168B">
        <w:rPr>
          <w:rFonts w:ascii="Times New Roman" w:hAnsi="Times New Roman"/>
          <w:sz w:val="24"/>
          <w:szCs w:val="24"/>
          <w:lang w:val="en-US"/>
        </w:rPr>
        <w:t xml:space="preserve"> role in human nutrition and they are sources of many nutrients and energy (1). Processed </w:t>
      </w:r>
      <w:r w:rsidRPr="00A0168B">
        <w:rPr>
          <w:rStyle w:val="apple-converted-space"/>
          <w:rFonts w:ascii="Times New Roman" w:hAnsi="Times New Roman"/>
          <w:sz w:val="24"/>
          <w:szCs w:val="24"/>
          <w:shd w:val="clear" w:color="auto" w:fill="FFFFFF"/>
          <w:lang w:val="en-US"/>
        </w:rPr>
        <w:t xml:space="preserve">fruit juices </w:t>
      </w:r>
      <w:r w:rsidRPr="00A0168B">
        <w:rPr>
          <w:rFonts w:ascii="Times New Roman" w:hAnsi="Times New Roman"/>
          <w:sz w:val="24"/>
          <w:szCs w:val="24"/>
          <w:shd w:val="clear" w:color="auto" w:fill="FFFFFF"/>
          <w:lang w:val="en-US"/>
        </w:rPr>
        <w:t xml:space="preserve">may contain </w:t>
      </w:r>
      <w:r w:rsidRPr="00A0168B">
        <w:rPr>
          <w:rFonts w:ascii="Times New Roman" w:hAnsi="Times New Roman"/>
          <w:sz w:val="24"/>
          <w:szCs w:val="24"/>
          <w:lang w:val="en-US"/>
        </w:rPr>
        <w:t>5-hydroxymethly-2-furaldehyde (</w:t>
      </w:r>
      <w:r w:rsidRPr="00A0168B">
        <w:rPr>
          <w:rFonts w:ascii="Times New Roman" w:hAnsi="Times New Roman"/>
          <w:sz w:val="24"/>
          <w:szCs w:val="24"/>
          <w:shd w:val="clear" w:color="auto" w:fill="FFFFFF"/>
          <w:lang w:val="en-US"/>
        </w:rPr>
        <w:t>HMF)</w:t>
      </w:r>
      <w:r w:rsidRPr="00A0168B">
        <w:rPr>
          <w:rFonts w:ascii="Times New Roman" w:hAnsi="Times New Roman"/>
          <w:sz w:val="24"/>
          <w:szCs w:val="24"/>
          <w:lang w:val="en-US"/>
        </w:rPr>
        <w:t xml:space="preserve"> and 2-furaldehyde (</w:t>
      </w:r>
      <w:r w:rsidRPr="00A0168B">
        <w:rPr>
          <w:rFonts w:ascii="Times New Roman" w:hAnsi="Times New Roman"/>
          <w:sz w:val="24"/>
          <w:szCs w:val="24"/>
          <w:shd w:val="clear" w:color="auto" w:fill="FFFFFF"/>
          <w:lang w:val="en-US"/>
        </w:rPr>
        <w:t xml:space="preserve">F) compounds that are </w:t>
      </w:r>
      <w:r w:rsidRPr="00A0168B">
        <w:rPr>
          <w:rFonts w:ascii="Times New Roman" w:hAnsi="Times New Roman"/>
          <w:sz w:val="24"/>
          <w:szCs w:val="24"/>
          <w:lang w:val="en-US"/>
        </w:rPr>
        <w:t xml:space="preserve">known as an indicator of product quality. HMF and F are related to </w:t>
      </w:r>
      <w:r w:rsidRPr="00A0168B">
        <w:rPr>
          <w:rFonts w:ascii="Times New Roman" w:hAnsi="Times New Roman"/>
          <w:noProof/>
          <w:sz w:val="24"/>
          <w:szCs w:val="24"/>
          <w:lang w:val="en-US"/>
        </w:rPr>
        <w:t>color</w:t>
      </w:r>
      <w:r w:rsidRPr="00A0168B">
        <w:rPr>
          <w:rFonts w:ascii="Times New Roman" w:hAnsi="Times New Roman"/>
          <w:sz w:val="24"/>
          <w:szCs w:val="24"/>
          <w:lang w:val="en-US"/>
        </w:rPr>
        <w:t xml:space="preserve"> and </w:t>
      </w:r>
      <w:r w:rsidRPr="00A0168B">
        <w:rPr>
          <w:rFonts w:ascii="Times New Roman" w:hAnsi="Times New Roman"/>
          <w:noProof/>
          <w:sz w:val="24"/>
          <w:szCs w:val="24"/>
          <w:lang w:val="en-US"/>
        </w:rPr>
        <w:t>flavor</w:t>
      </w:r>
      <w:r w:rsidRPr="00A0168B">
        <w:rPr>
          <w:rFonts w:ascii="Times New Roman" w:hAnsi="Times New Roman"/>
          <w:sz w:val="24"/>
          <w:szCs w:val="24"/>
          <w:lang w:val="en-US"/>
        </w:rPr>
        <w:t xml:space="preserve"> changes in processed fruit juices (2). Generally, this compounds are not found or are found a few in fresh unheated juices (3, 4). HMF and F are formed during thermal processing of production (heating and </w:t>
      </w:r>
      <w:r w:rsidRPr="00A0168B">
        <w:rPr>
          <w:rFonts w:ascii="Times New Roman" w:hAnsi="Times New Roman"/>
          <w:noProof/>
          <w:sz w:val="24"/>
          <w:szCs w:val="24"/>
          <w:lang w:val="en-US"/>
        </w:rPr>
        <w:t>pasteurization</w:t>
      </w:r>
      <w:r w:rsidRPr="00A0168B">
        <w:rPr>
          <w:rFonts w:ascii="Times New Roman" w:hAnsi="Times New Roman"/>
          <w:sz w:val="24"/>
          <w:szCs w:val="24"/>
          <w:lang w:val="en-US"/>
        </w:rPr>
        <w:t xml:space="preserve">) steps and storage (2). </w:t>
      </w:r>
      <w:r w:rsidRPr="00A0168B">
        <w:rPr>
          <w:rFonts w:ascii="Times New Roman" w:hAnsi="Times New Roman"/>
          <w:noProof/>
          <w:sz w:val="24"/>
          <w:szCs w:val="24"/>
          <w:lang w:val="en-US"/>
        </w:rPr>
        <w:t>A t</w:t>
      </w:r>
      <w:r w:rsidRPr="00A0168B">
        <w:rPr>
          <w:rStyle w:val="hps"/>
          <w:rFonts w:ascii="Times New Roman" w:hAnsi="Times New Roman"/>
          <w:noProof/>
          <w:sz w:val="24"/>
          <w:szCs w:val="24"/>
          <w:lang w:val="en-US"/>
        </w:rPr>
        <w:t>hermal</w:t>
      </w:r>
      <w:r w:rsidRPr="00A0168B">
        <w:rPr>
          <w:rStyle w:val="hps"/>
          <w:rFonts w:ascii="Times New Roman" w:hAnsi="Times New Roman"/>
          <w:sz w:val="24"/>
          <w:szCs w:val="24"/>
          <w:lang w:val="en-US"/>
        </w:rPr>
        <w:t xml:space="preserve"> process is important processing step in food production due to the </w:t>
      </w:r>
      <w:r w:rsidRPr="00A0168B">
        <w:rPr>
          <w:rStyle w:val="hps"/>
          <w:rFonts w:ascii="Times New Roman" w:hAnsi="Times New Roman"/>
          <w:noProof/>
          <w:sz w:val="24"/>
          <w:szCs w:val="24"/>
          <w:lang w:val="en-US"/>
        </w:rPr>
        <w:t>destruction</w:t>
      </w:r>
      <w:r w:rsidRPr="00A0168B">
        <w:rPr>
          <w:rStyle w:val="hps"/>
          <w:rFonts w:ascii="Times New Roman" w:hAnsi="Times New Roman"/>
          <w:sz w:val="24"/>
          <w:szCs w:val="24"/>
          <w:lang w:val="en-US"/>
        </w:rPr>
        <w:t xml:space="preserve"> of microorganisms and </w:t>
      </w:r>
      <w:r w:rsidRPr="00A0168B">
        <w:rPr>
          <w:rStyle w:val="hps"/>
          <w:rFonts w:ascii="Times New Roman" w:hAnsi="Times New Roman"/>
          <w:noProof/>
          <w:sz w:val="24"/>
          <w:szCs w:val="24"/>
          <w:lang w:val="en-US"/>
        </w:rPr>
        <w:t>improves</w:t>
      </w:r>
      <w:r w:rsidRPr="00A0168B">
        <w:rPr>
          <w:rStyle w:val="hps"/>
          <w:rFonts w:ascii="Times New Roman" w:hAnsi="Times New Roman"/>
          <w:sz w:val="24"/>
          <w:szCs w:val="24"/>
          <w:lang w:val="en-US"/>
        </w:rPr>
        <w:t xml:space="preserve"> sensory properties such as </w:t>
      </w:r>
      <w:r w:rsidRPr="00A0168B">
        <w:rPr>
          <w:rStyle w:val="hps"/>
          <w:rFonts w:ascii="Times New Roman" w:hAnsi="Times New Roman"/>
          <w:noProof/>
          <w:sz w:val="24"/>
          <w:szCs w:val="24"/>
          <w:lang w:val="en-US"/>
        </w:rPr>
        <w:t>color</w:t>
      </w:r>
      <w:r w:rsidRPr="00A0168B">
        <w:rPr>
          <w:rStyle w:val="hps"/>
          <w:rFonts w:ascii="Times New Roman" w:hAnsi="Times New Roman"/>
          <w:sz w:val="24"/>
          <w:szCs w:val="24"/>
          <w:lang w:val="en-US"/>
        </w:rPr>
        <w:t xml:space="preserve">, </w:t>
      </w:r>
      <w:r w:rsidRPr="00A0168B">
        <w:rPr>
          <w:rStyle w:val="hps"/>
          <w:rFonts w:ascii="Times New Roman" w:hAnsi="Times New Roman"/>
          <w:noProof/>
          <w:sz w:val="24"/>
          <w:szCs w:val="24"/>
          <w:lang w:val="en-US"/>
        </w:rPr>
        <w:t>taste,</w:t>
      </w:r>
      <w:r w:rsidRPr="00A0168B">
        <w:rPr>
          <w:rStyle w:val="hps"/>
          <w:rFonts w:ascii="Times New Roman" w:hAnsi="Times New Roman"/>
          <w:sz w:val="24"/>
          <w:szCs w:val="24"/>
          <w:lang w:val="en-US"/>
        </w:rPr>
        <w:t xml:space="preserve"> and aroma (5).</w:t>
      </w:r>
      <w:r w:rsidRPr="00A0168B">
        <w:rPr>
          <w:rFonts w:ascii="Times New Roman" w:hAnsi="Times New Roman"/>
          <w:sz w:val="24"/>
          <w:szCs w:val="24"/>
          <w:lang w:val="en-US"/>
        </w:rPr>
        <w:t xml:space="preserve"> HMF is formed during the </w:t>
      </w:r>
      <w:r w:rsidRPr="00A0168B">
        <w:rPr>
          <w:rFonts w:ascii="Times New Roman" w:hAnsi="Times New Roman"/>
          <w:noProof/>
          <w:sz w:val="24"/>
          <w:szCs w:val="24"/>
          <w:lang w:val="en-US"/>
        </w:rPr>
        <w:t>Maillard</w:t>
      </w:r>
      <w:r w:rsidRPr="00A0168B">
        <w:rPr>
          <w:rFonts w:ascii="Times New Roman" w:hAnsi="Times New Roman"/>
          <w:sz w:val="24"/>
          <w:szCs w:val="24"/>
          <w:lang w:val="en-US"/>
        </w:rPr>
        <w:t xml:space="preserve"> reaction or caramelisation which are related to the thermal process applied to foods contents, particularly carbohydrates (</w:t>
      </w:r>
      <w:r w:rsidRPr="00A0168B">
        <w:rPr>
          <w:rStyle w:val="hps"/>
          <w:rFonts w:ascii="Times New Roman" w:hAnsi="Times New Roman"/>
          <w:sz w:val="24"/>
          <w:szCs w:val="24"/>
          <w:lang w:val="en-US"/>
        </w:rPr>
        <w:t>5, 6</w:t>
      </w:r>
      <w:r w:rsidRPr="00A0168B">
        <w:rPr>
          <w:rFonts w:ascii="Times New Roman" w:hAnsi="Times New Roman"/>
          <w:sz w:val="24"/>
          <w:szCs w:val="24"/>
          <w:lang w:val="en-US"/>
        </w:rPr>
        <w:t xml:space="preserve">). HMF and F are found in many </w:t>
      </w:r>
      <w:r w:rsidRPr="00A0168B">
        <w:rPr>
          <w:rFonts w:ascii="Times New Roman" w:hAnsi="Times New Roman"/>
          <w:sz w:val="24"/>
          <w:szCs w:val="24"/>
          <w:shd w:val="clear" w:color="auto" w:fill="FFFFFF"/>
          <w:lang w:val="en-US"/>
        </w:rPr>
        <w:t xml:space="preserve">carbohydrate-containing foods such as fruit, coffee, milk and </w:t>
      </w:r>
      <w:r w:rsidRPr="00A0168B">
        <w:rPr>
          <w:rFonts w:ascii="Times New Roman" w:hAnsi="Times New Roman"/>
          <w:noProof/>
          <w:sz w:val="24"/>
          <w:szCs w:val="24"/>
          <w:shd w:val="clear" w:color="auto" w:fill="FFFFFF"/>
          <w:lang w:val="en-US"/>
        </w:rPr>
        <w:t>cereal-based</w:t>
      </w:r>
      <w:r w:rsidRPr="00A0168B">
        <w:rPr>
          <w:rFonts w:ascii="Times New Roman" w:hAnsi="Times New Roman"/>
          <w:sz w:val="24"/>
          <w:szCs w:val="24"/>
          <w:shd w:val="clear" w:color="auto" w:fill="FFFFFF"/>
          <w:lang w:val="en-US"/>
        </w:rPr>
        <w:t xml:space="preserve"> baby foods, honey, fruit juices,</w:t>
      </w:r>
      <w:r w:rsidRPr="00A0168B">
        <w:rPr>
          <w:rFonts w:ascii="Times New Roman" w:hAnsi="Times New Roman"/>
          <w:sz w:val="24"/>
          <w:szCs w:val="24"/>
          <w:lang w:val="en-US"/>
        </w:rPr>
        <w:t xml:space="preserve"> syrups, tomato puree, ketchup and</w:t>
      </w:r>
      <w:r w:rsidRPr="00A0168B">
        <w:rPr>
          <w:rFonts w:ascii="Times New Roman" w:hAnsi="Times New Roman"/>
          <w:sz w:val="24"/>
          <w:szCs w:val="24"/>
          <w:shd w:val="clear" w:color="auto" w:fill="FFFFFF"/>
          <w:lang w:val="en-US"/>
        </w:rPr>
        <w:t xml:space="preserve"> </w:t>
      </w:r>
      <w:r w:rsidRPr="00A0168B">
        <w:rPr>
          <w:rFonts w:ascii="Times New Roman" w:hAnsi="Times New Roman"/>
          <w:sz w:val="24"/>
          <w:szCs w:val="24"/>
          <w:lang w:val="en-US"/>
        </w:rPr>
        <w:t>jam (</w:t>
      </w:r>
      <w:r w:rsidRPr="00A0168B">
        <w:rPr>
          <w:rFonts w:ascii="Times New Roman" w:hAnsi="Times New Roman"/>
          <w:bCs/>
          <w:sz w:val="24"/>
          <w:szCs w:val="24"/>
          <w:lang w:val="en-US"/>
        </w:rPr>
        <w:t>7-9</w:t>
      </w:r>
      <w:r w:rsidRPr="00A0168B">
        <w:rPr>
          <w:rFonts w:ascii="Times New Roman" w:hAnsi="Times New Roman"/>
          <w:sz w:val="24"/>
          <w:szCs w:val="24"/>
          <w:lang w:val="en-US"/>
        </w:rPr>
        <w:t>).</w:t>
      </w:r>
    </w:p>
    <w:p w:rsidR="00622F23" w:rsidRDefault="00622F23" w:rsidP="00622F23">
      <w:pPr>
        <w:spacing w:after="0" w:line="240" w:lineRule="auto"/>
        <w:jc w:val="both"/>
        <w:rPr>
          <w:rFonts w:ascii="Times New Roman" w:hAnsi="Times New Roman"/>
          <w:sz w:val="24"/>
          <w:szCs w:val="24"/>
          <w:lang w:val="en-US"/>
        </w:rPr>
      </w:pPr>
    </w:p>
    <w:p w:rsidR="00622F23" w:rsidRDefault="00622F23" w:rsidP="00622F23">
      <w:pPr>
        <w:spacing w:after="0" w:line="240" w:lineRule="auto"/>
        <w:jc w:val="both"/>
        <w:rPr>
          <w:rFonts w:ascii="Times New Roman" w:hAnsi="Times New Roman"/>
          <w:sz w:val="24"/>
          <w:szCs w:val="24"/>
          <w:lang w:val="en-US"/>
        </w:rPr>
      </w:pPr>
      <w:r w:rsidRPr="00A0168B">
        <w:rPr>
          <w:rFonts w:ascii="Times New Roman" w:hAnsi="Times New Roman"/>
          <w:sz w:val="24"/>
          <w:szCs w:val="24"/>
          <w:lang w:val="en-US"/>
        </w:rPr>
        <w:t xml:space="preserve">HMF has various side-effects on health. </w:t>
      </w:r>
      <w:r w:rsidRPr="00A0168B">
        <w:rPr>
          <w:rStyle w:val="apple-converted-space"/>
          <w:rFonts w:ascii="Times New Roman" w:hAnsi="Times New Roman"/>
          <w:sz w:val="24"/>
          <w:szCs w:val="24"/>
          <w:shd w:val="clear" w:color="auto" w:fill="FFFFFF"/>
          <w:lang w:val="en-US"/>
        </w:rPr>
        <w:t>Hazards from</w:t>
      </w:r>
      <w:r w:rsidRPr="00A0168B">
        <w:rPr>
          <w:rStyle w:val="apple-converted-space"/>
          <w:rFonts w:ascii="Times New Roman" w:hAnsi="Times New Roman"/>
          <w:noProof/>
          <w:sz w:val="24"/>
          <w:szCs w:val="24"/>
          <w:shd w:val="clear" w:color="auto" w:fill="FFFFFF"/>
          <w:lang w:val="en-US"/>
        </w:rPr>
        <w:t xml:space="preserve"> exposure</w:t>
      </w:r>
      <w:r w:rsidRPr="00A0168B">
        <w:rPr>
          <w:rStyle w:val="apple-converted-space"/>
          <w:rFonts w:ascii="Times New Roman" w:hAnsi="Times New Roman"/>
          <w:sz w:val="24"/>
          <w:szCs w:val="24"/>
          <w:shd w:val="clear" w:color="auto" w:fill="FFFFFF"/>
          <w:lang w:val="en-US"/>
        </w:rPr>
        <w:t xml:space="preserve"> to </w:t>
      </w:r>
      <w:r w:rsidRPr="00A0168B">
        <w:rPr>
          <w:rStyle w:val="apple-converted-space"/>
          <w:rFonts w:ascii="Times New Roman" w:hAnsi="Times New Roman"/>
          <w:noProof/>
          <w:sz w:val="24"/>
          <w:szCs w:val="24"/>
          <w:shd w:val="clear" w:color="auto" w:fill="FFFFFF"/>
          <w:lang w:val="en-US"/>
        </w:rPr>
        <w:t>high-level</w:t>
      </w:r>
      <w:r w:rsidRPr="00A0168B">
        <w:rPr>
          <w:rStyle w:val="apple-converted-space"/>
          <w:rFonts w:ascii="Times New Roman" w:hAnsi="Times New Roman"/>
          <w:sz w:val="24"/>
          <w:szCs w:val="24"/>
          <w:shd w:val="clear" w:color="auto" w:fill="FFFFFF"/>
          <w:lang w:val="en-US"/>
        </w:rPr>
        <w:t xml:space="preserve"> HMF were cytotoxic</w:t>
      </w:r>
      <w:r w:rsidRPr="00A0168B">
        <w:rPr>
          <w:rFonts w:ascii="Times New Roman" w:hAnsi="Times New Roman"/>
          <w:sz w:val="24"/>
          <w:szCs w:val="24"/>
          <w:lang w:val="en-US"/>
        </w:rPr>
        <w:t xml:space="preserve"> and cause </w:t>
      </w:r>
      <w:r w:rsidRPr="00A0168B">
        <w:rPr>
          <w:rFonts w:ascii="Times New Roman" w:hAnsi="Times New Roman"/>
          <w:sz w:val="24"/>
          <w:szCs w:val="24"/>
          <w:shd w:val="clear" w:color="auto" w:fill="FFFFFF"/>
          <w:lang w:val="en-US"/>
        </w:rPr>
        <w:t xml:space="preserve">irritation to eyes, upper respiratory tract, skin and mucous membranes </w:t>
      </w:r>
      <w:r w:rsidRPr="00A0168B">
        <w:rPr>
          <w:rFonts w:ascii="Times New Roman" w:hAnsi="Times New Roman"/>
          <w:sz w:val="24"/>
          <w:szCs w:val="24"/>
          <w:lang w:val="en-US"/>
        </w:rPr>
        <w:t>(5)</w:t>
      </w:r>
      <w:r w:rsidRPr="00A0168B">
        <w:rPr>
          <w:rFonts w:ascii="Times New Roman" w:hAnsi="Times New Roman"/>
          <w:sz w:val="24"/>
          <w:szCs w:val="24"/>
          <w:shd w:val="clear" w:color="auto" w:fill="FFFFFF"/>
          <w:lang w:val="en-US"/>
        </w:rPr>
        <w:t xml:space="preserve">. Whether consumption of </w:t>
      </w:r>
      <w:r w:rsidRPr="00A0168B">
        <w:rPr>
          <w:rFonts w:ascii="Times New Roman" w:hAnsi="Times New Roman"/>
          <w:noProof/>
          <w:sz w:val="24"/>
          <w:szCs w:val="24"/>
          <w:shd w:val="clear" w:color="auto" w:fill="FFFFFF"/>
          <w:lang w:val="en-US"/>
        </w:rPr>
        <w:t>foodborne</w:t>
      </w:r>
      <w:r w:rsidRPr="00A0168B">
        <w:rPr>
          <w:rFonts w:ascii="Times New Roman" w:hAnsi="Times New Roman"/>
          <w:sz w:val="24"/>
          <w:szCs w:val="24"/>
          <w:shd w:val="clear" w:color="auto" w:fill="FFFFFF"/>
          <w:lang w:val="en-US"/>
        </w:rPr>
        <w:t xml:space="preserve"> HMF pose a potential health risk for humans or not is arguable (10).</w:t>
      </w:r>
      <w:r w:rsidRPr="00A0168B">
        <w:rPr>
          <w:rFonts w:ascii="Times New Roman" w:hAnsi="Times New Roman"/>
          <w:sz w:val="24"/>
          <w:szCs w:val="24"/>
          <w:lang w:val="en-US"/>
        </w:rPr>
        <w:t xml:space="preserve"> HMF is present at high levels in several foods and can be metabolized to 5-sulfooxymethylfurfural, which is mutagenic and carcinogenic. This reactive metabolite could be responsible for renal tubule damage (11). On the other hand, Abraham et al. (8) assessed that there are limited studies related to the HMF toxicity, and stated that critical effect is not </w:t>
      </w:r>
    </w:p>
    <w:p w:rsidR="00622F23" w:rsidRDefault="00622F23" w:rsidP="00622F23">
      <w:pPr>
        <w:spacing w:after="0" w:line="240" w:lineRule="auto"/>
        <w:jc w:val="both"/>
        <w:rPr>
          <w:rFonts w:ascii="Times New Roman" w:hAnsi="Times New Roman"/>
          <w:sz w:val="24"/>
          <w:szCs w:val="24"/>
          <w:lang w:val="en-US"/>
        </w:rPr>
      </w:pPr>
    </w:p>
    <w:p w:rsidR="00622F23" w:rsidRDefault="00622F23" w:rsidP="00622F23">
      <w:pPr>
        <w:spacing w:after="0" w:line="240" w:lineRule="auto"/>
        <w:jc w:val="both"/>
        <w:rPr>
          <w:rFonts w:ascii="Times New Roman" w:hAnsi="Times New Roman"/>
          <w:sz w:val="24"/>
          <w:szCs w:val="24"/>
          <w:lang w:val="en-US"/>
        </w:rPr>
      </w:pPr>
    </w:p>
    <w:p w:rsidR="00622F23" w:rsidRDefault="00622F23" w:rsidP="00622F23">
      <w:pPr>
        <w:spacing w:after="0" w:line="240" w:lineRule="auto"/>
        <w:jc w:val="both"/>
        <w:rPr>
          <w:rFonts w:ascii="Times New Roman" w:hAnsi="Times New Roman"/>
          <w:b/>
          <w:caps/>
          <w:sz w:val="24"/>
          <w:szCs w:val="24"/>
          <w:lang w:val="en-US"/>
        </w:rPr>
      </w:pPr>
      <w:r w:rsidRPr="00A0168B">
        <w:rPr>
          <w:rFonts w:ascii="Times New Roman" w:hAnsi="Times New Roman"/>
          <w:sz w:val="24"/>
          <w:szCs w:val="24"/>
          <w:lang w:val="en-US"/>
        </w:rPr>
        <w:t xml:space="preserve">obviously specified. </w:t>
      </w:r>
      <w:r>
        <w:rPr>
          <w:rFonts w:ascii="Times New Roman" w:hAnsi="Times New Roman"/>
          <w:sz w:val="24"/>
          <w:szCs w:val="24"/>
          <w:lang w:val="en-US"/>
        </w:rPr>
        <w:t xml:space="preserve"> </w:t>
      </w:r>
      <w:r w:rsidRPr="00A0168B">
        <w:rPr>
          <w:rFonts w:ascii="Times New Roman" w:hAnsi="Times New Roman"/>
          <w:sz w:val="24"/>
          <w:szCs w:val="24"/>
          <w:lang w:val="en-US"/>
        </w:rPr>
        <w:t xml:space="preserve">Although there are contradictory studies on the possible carcinogenicity of HMF, risk assessment of HMF should be improved by </w:t>
      </w:r>
      <w:r w:rsidRPr="00A0168B">
        <w:rPr>
          <w:rFonts w:ascii="Times New Roman" w:hAnsi="Times New Roman"/>
          <w:noProof/>
          <w:sz w:val="24"/>
          <w:szCs w:val="24"/>
          <w:lang w:val="en-US"/>
        </w:rPr>
        <w:t>tissue-specific</w:t>
      </w:r>
      <w:r w:rsidRPr="00A0168B">
        <w:rPr>
          <w:rFonts w:ascii="Times New Roman" w:hAnsi="Times New Roman"/>
          <w:sz w:val="24"/>
          <w:szCs w:val="24"/>
          <w:lang w:val="en-US"/>
        </w:rPr>
        <w:t xml:space="preserve"> DNA studies and in vivo studies on genotoxicity of HMF. Dietary exposure </w:t>
      </w:r>
      <w:r w:rsidRPr="00A0168B">
        <w:rPr>
          <w:rFonts w:ascii="Times New Roman" w:hAnsi="Times New Roman"/>
          <w:noProof/>
          <w:sz w:val="24"/>
          <w:szCs w:val="24"/>
          <w:lang w:val="en-US"/>
        </w:rPr>
        <w:t>studies</w:t>
      </w:r>
      <w:r w:rsidRPr="00A0168B">
        <w:rPr>
          <w:rFonts w:ascii="Times New Roman" w:hAnsi="Times New Roman"/>
          <w:sz w:val="24"/>
          <w:szCs w:val="24"/>
          <w:lang w:val="en-US"/>
        </w:rPr>
        <w:t xml:space="preserve"> of HMF are needed to assess dietary intake for a </w:t>
      </w:r>
      <w:r w:rsidRPr="00A0168B">
        <w:rPr>
          <w:rFonts w:ascii="Times New Roman" w:hAnsi="Times New Roman"/>
          <w:noProof/>
          <w:sz w:val="24"/>
          <w:szCs w:val="24"/>
          <w:lang w:val="en-US"/>
        </w:rPr>
        <w:t>different</w:t>
      </w:r>
      <w:r w:rsidRPr="00A0168B">
        <w:rPr>
          <w:rFonts w:ascii="Times New Roman" w:hAnsi="Times New Roman"/>
          <w:sz w:val="24"/>
          <w:szCs w:val="24"/>
          <w:lang w:val="en-US"/>
        </w:rPr>
        <w:t xml:space="preserve"> population. </w:t>
      </w:r>
      <w:r w:rsidRPr="00A0168B">
        <w:rPr>
          <w:rFonts w:ascii="Times New Roman" w:hAnsi="Times New Roman"/>
          <w:sz w:val="24"/>
          <w:szCs w:val="24"/>
          <w:lang w:val="en-US" w:eastAsia="tr-TR"/>
        </w:rPr>
        <w:t>At the present time, no values have been established in the Turkish Food Codex (TFC) for HMF and F compounds levels in fruit juices or nectars (12).</w:t>
      </w:r>
    </w:p>
    <w:p w:rsidR="00622F23" w:rsidRDefault="00622F23" w:rsidP="00622F23">
      <w:pPr>
        <w:spacing w:after="0" w:line="240" w:lineRule="auto"/>
        <w:jc w:val="both"/>
        <w:rPr>
          <w:rFonts w:ascii="Times New Roman" w:hAnsi="Times New Roman"/>
          <w:sz w:val="24"/>
          <w:szCs w:val="24"/>
          <w:lang w:val="en-US"/>
        </w:rPr>
      </w:pPr>
    </w:p>
    <w:p w:rsidR="00622F23" w:rsidRPr="00AE3C45" w:rsidRDefault="00622F23" w:rsidP="00622F23">
      <w:pPr>
        <w:spacing w:after="0" w:line="240" w:lineRule="auto"/>
        <w:jc w:val="both"/>
        <w:rPr>
          <w:rFonts w:ascii="Times New Roman" w:hAnsi="Times New Roman"/>
          <w:b/>
          <w:caps/>
          <w:sz w:val="24"/>
          <w:szCs w:val="24"/>
          <w:lang w:val="en-US"/>
        </w:rPr>
      </w:pPr>
      <w:r w:rsidRPr="00A0168B">
        <w:rPr>
          <w:rFonts w:ascii="Times New Roman" w:hAnsi="Times New Roman"/>
          <w:sz w:val="24"/>
          <w:szCs w:val="24"/>
          <w:lang w:val="en-US"/>
        </w:rPr>
        <w:t xml:space="preserve">In the </w:t>
      </w:r>
      <w:r w:rsidRPr="00A0168B">
        <w:rPr>
          <w:rFonts w:ascii="Times New Roman" w:hAnsi="Times New Roman"/>
          <w:bCs/>
          <w:sz w:val="24"/>
          <w:szCs w:val="24"/>
          <w:lang w:val="en-US"/>
        </w:rPr>
        <w:t>Turkish Standard Institute</w:t>
      </w:r>
      <w:r w:rsidRPr="00A0168B">
        <w:rPr>
          <w:rFonts w:ascii="Times New Roman" w:hAnsi="Times New Roman"/>
          <w:sz w:val="24"/>
          <w:szCs w:val="24"/>
          <w:lang w:val="en-US"/>
        </w:rPr>
        <w:t xml:space="preserve"> (TSI), the levels of HMF are regulated as 10 mg/L in apple juice, peach nectar, apricot and cherry nectar (13-16). </w:t>
      </w:r>
      <w:r w:rsidRPr="00A0168B">
        <w:rPr>
          <w:rFonts w:ascii="Times New Roman" w:hAnsi="Times New Roman"/>
          <w:sz w:val="24"/>
          <w:szCs w:val="24"/>
          <w:lang w:val="en-US" w:eastAsia="tr-TR"/>
        </w:rPr>
        <w:t xml:space="preserve">Our aim was to investigate the presence of HMF and F compounds in </w:t>
      </w:r>
      <w:r w:rsidRPr="00A0168B">
        <w:rPr>
          <w:rFonts w:ascii="Times New Roman" w:hAnsi="Times New Roman"/>
          <w:sz w:val="24"/>
          <w:szCs w:val="24"/>
          <w:lang w:val="en-US"/>
        </w:rPr>
        <w:t xml:space="preserve">apple juice, peach nectar, apricot and cherry </w:t>
      </w:r>
      <w:r w:rsidRPr="00A0168B">
        <w:rPr>
          <w:rFonts w:ascii="Times New Roman" w:hAnsi="Times New Roman"/>
          <w:sz w:val="24"/>
          <w:szCs w:val="24"/>
          <w:lang w:val="en-US" w:eastAsia="tr-TR"/>
        </w:rPr>
        <w:t>nectar samples of five different brands sold in Ankara markets, in Turkey.</w:t>
      </w:r>
    </w:p>
    <w:p w:rsidR="00622F23" w:rsidRDefault="00622F23" w:rsidP="00622F23">
      <w:pPr>
        <w:spacing w:after="0" w:line="240" w:lineRule="auto"/>
        <w:jc w:val="both"/>
        <w:rPr>
          <w:rFonts w:ascii="Times New Roman" w:hAnsi="Times New Roman"/>
          <w:b/>
          <w:caps/>
          <w:sz w:val="24"/>
          <w:szCs w:val="24"/>
          <w:lang w:val="en-US"/>
        </w:rPr>
      </w:pPr>
    </w:p>
    <w:p w:rsidR="00622F23" w:rsidRPr="00A0168B" w:rsidRDefault="00622F23" w:rsidP="00622F23">
      <w:pPr>
        <w:spacing w:after="0" w:line="240" w:lineRule="auto"/>
        <w:jc w:val="both"/>
        <w:rPr>
          <w:rFonts w:ascii="Times New Roman" w:hAnsi="Times New Roman"/>
          <w:b/>
          <w:caps/>
          <w:sz w:val="24"/>
          <w:szCs w:val="24"/>
          <w:lang w:val="en-US"/>
        </w:rPr>
      </w:pPr>
      <w:r w:rsidRPr="00A0168B">
        <w:rPr>
          <w:rFonts w:ascii="Times New Roman" w:hAnsi="Times New Roman"/>
          <w:b/>
          <w:caps/>
          <w:sz w:val="24"/>
          <w:szCs w:val="24"/>
          <w:lang w:val="en-US"/>
        </w:rPr>
        <w:t>Materials and methods</w:t>
      </w:r>
    </w:p>
    <w:p w:rsidR="00622F23" w:rsidRDefault="00622F23" w:rsidP="00622F23">
      <w:pPr>
        <w:spacing w:after="0" w:line="240" w:lineRule="auto"/>
        <w:jc w:val="both"/>
        <w:rPr>
          <w:rFonts w:ascii="Times New Roman" w:hAnsi="Times New Roman"/>
          <w:b/>
          <w:i/>
          <w:sz w:val="24"/>
          <w:szCs w:val="24"/>
          <w:lang w:val="en-US"/>
        </w:rPr>
      </w:pPr>
    </w:p>
    <w:p w:rsidR="00622F23" w:rsidRDefault="00622F23" w:rsidP="00622F23">
      <w:pPr>
        <w:spacing w:after="0" w:line="240" w:lineRule="auto"/>
        <w:jc w:val="both"/>
        <w:rPr>
          <w:rFonts w:ascii="Times New Roman" w:hAnsi="Times New Roman"/>
          <w:sz w:val="24"/>
          <w:szCs w:val="24"/>
          <w:lang w:val="en-US"/>
        </w:rPr>
      </w:pPr>
      <w:r w:rsidRPr="00A0168B">
        <w:rPr>
          <w:rFonts w:ascii="Times New Roman" w:hAnsi="Times New Roman"/>
          <w:b/>
          <w:i/>
          <w:sz w:val="24"/>
          <w:szCs w:val="24"/>
          <w:lang w:val="en-US"/>
        </w:rPr>
        <w:t>Samples</w:t>
      </w:r>
    </w:p>
    <w:p w:rsidR="00622F23" w:rsidRPr="00A0168B" w:rsidRDefault="00622F23" w:rsidP="00622F23">
      <w:pPr>
        <w:autoSpaceDE w:val="0"/>
        <w:autoSpaceDN w:val="0"/>
        <w:adjustRightInd w:val="0"/>
        <w:spacing w:after="0" w:line="240" w:lineRule="auto"/>
        <w:jc w:val="both"/>
        <w:rPr>
          <w:rFonts w:ascii="Times New Roman" w:hAnsi="Times New Roman"/>
          <w:sz w:val="24"/>
          <w:szCs w:val="24"/>
          <w:lang w:eastAsia="tr-TR"/>
        </w:rPr>
      </w:pPr>
      <w:r w:rsidRPr="00A0168B">
        <w:rPr>
          <w:rFonts w:ascii="Times New Roman" w:hAnsi="Times New Roman"/>
          <w:sz w:val="24"/>
          <w:szCs w:val="24"/>
          <w:lang w:val="en-US"/>
        </w:rPr>
        <w:t xml:space="preserve">In this study, one hundred fruit juice samples (apricot nectar, apple juice, cherry nectar and peach nectar) were collected and analyzed from different brands (A, B, C, </w:t>
      </w:r>
      <w:r w:rsidRPr="00A0168B">
        <w:rPr>
          <w:rFonts w:ascii="Times New Roman" w:hAnsi="Times New Roman"/>
          <w:noProof/>
          <w:sz w:val="24"/>
          <w:szCs w:val="24"/>
          <w:lang w:val="en-US"/>
        </w:rPr>
        <w:t>D,</w:t>
      </w:r>
      <w:r w:rsidRPr="00A0168B">
        <w:rPr>
          <w:rFonts w:ascii="Times New Roman" w:hAnsi="Times New Roman"/>
          <w:sz w:val="24"/>
          <w:szCs w:val="24"/>
          <w:lang w:val="en-US"/>
        </w:rPr>
        <w:t xml:space="preserve"> and E) in Ankara, Turkey in 2014. Samples were kept at +4 </w:t>
      </w:r>
      <w:r w:rsidRPr="00A0168B">
        <w:rPr>
          <w:rFonts w:ascii="Times New Roman" w:hAnsi="Times New Roman"/>
          <w:sz w:val="24"/>
          <w:szCs w:val="24"/>
          <w:vertAlign w:val="superscript"/>
          <w:lang w:val="en-US"/>
        </w:rPr>
        <w:t>°</w:t>
      </w:r>
      <w:r w:rsidRPr="00A0168B">
        <w:rPr>
          <w:rFonts w:ascii="Times New Roman" w:hAnsi="Times New Roman"/>
          <w:sz w:val="24"/>
          <w:szCs w:val="24"/>
          <w:lang w:val="en-US"/>
        </w:rPr>
        <w:t>C.</w:t>
      </w:r>
      <w:r w:rsidRPr="00A0168B">
        <w:rPr>
          <w:rFonts w:ascii="Times New Roman" w:hAnsi="Times New Roman"/>
          <w:sz w:val="24"/>
          <w:szCs w:val="24"/>
          <w:lang w:eastAsia="tr-TR"/>
        </w:rPr>
        <w:t xml:space="preserve"> For sampling procedure, having a different serial number and the </w:t>
      </w:r>
      <w:r w:rsidRPr="00A0168B">
        <w:rPr>
          <w:rFonts w:ascii="Times New Roman" w:hAnsi="Times New Roman"/>
          <w:noProof/>
          <w:sz w:val="24"/>
          <w:szCs w:val="24"/>
          <w:lang w:eastAsia="tr-TR"/>
        </w:rPr>
        <w:t>production</w:t>
      </w:r>
      <w:r w:rsidRPr="00A0168B">
        <w:rPr>
          <w:rFonts w:ascii="Times New Roman" w:hAnsi="Times New Roman"/>
          <w:sz w:val="24"/>
          <w:szCs w:val="24"/>
          <w:lang w:eastAsia="tr-TR"/>
        </w:rPr>
        <w:t xml:space="preserve"> date is important in terms of realizing the persistence of quality at the production process. The package of samples </w:t>
      </w:r>
      <w:r w:rsidRPr="00A0168B">
        <w:rPr>
          <w:rFonts w:ascii="Times New Roman" w:hAnsi="Times New Roman"/>
          <w:noProof/>
          <w:sz w:val="24"/>
          <w:szCs w:val="24"/>
          <w:lang w:eastAsia="tr-TR"/>
        </w:rPr>
        <w:t>was</w:t>
      </w:r>
      <w:r w:rsidRPr="00A0168B">
        <w:rPr>
          <w:rFonts w:ascii="Times New Roman" w:hAnsi="Times New Roman"/>
          <w:sz w:val="24"/>
          <w:szCs w:val="24"/>
          <w:lang w:eastAsia="tr-TR"/>
        </w:rPr>
        <w:t xml:space="preserve"> opened just before the analysis.</w:t>
      </w:r>
    </w:p>
    <w:p w:rsidR="00622F23" w:rsidRDefault="00622F23" w:rsidP="00622F23">
      <w:pPr>
        <w:autoSpaceDE w:val="0"/>
        <w:autoSpaceDN w:val="0"/>
        <w:adjustRightInd w:val="0"/>
        <w:spacing w:after="0" w:line="240" w:lineRule="auto"/>
        <w:jc w:val="both"/>
        <w:rPr>
          <w:rFonts w:ascii="Times New Roman" w:hAnsi="Times New Roman"/>
          <w:b/>
          <w:i/>
          <w:sz w:val="24"/>
          <w:szCs w:val="24"/>
          <w:lang w:val="en-US"/>
        </w:rPr>
      </w:pPr>
    </w:p>
    <w:p w:rsidR="00622F23" w:rsidRPr="00A0168B" w:rsidRDefault="00622F23" w:rsidP="00622F23">
      <w:pPr>
        <w:autoSpaceDE w:val="0"/>
        <w:autoSpaceDN w:val="0"/>
        <w:adjustRightInd w:val="0"/>
        <w:spacing w:after="0" w:line="240" w:lineRule="auto"/>
        <w:jc w:val="both"/>
        <w:rPr>
          <w:rFonts w:ascii="Times New Roman" w:hAnsi="Times New Roman"/>
          <w:b/>
          <w:i/>
          <w:sz w:val="24"/>
          <w:szCs w:val="24"/>
          <w:lang w:val="en-US"/>
        </w:rPr>
      </w:pPr>
      <w:r w:rsidRPr="00A0168B">
        <w:rPr>
          <w:rFonts w:ascii="Times New Roman" w:hAnsi="Times New Roman"/>
          <w:b/>
          <w:i/>
          <w:sz w:val="24"/>
          <w:szCs w:val="24"/>
          <w:lang w:val="en-US"/>
        </w:rPr>
        <w:t>Reagents and standards</w:t>
      </w:r>
    </w:p>
    <w:p w:rsidR="00622F23" w:rsidRPr="00A0168B" w:rsidRDefault="00622F23" w:rsidP="00622F23">
      <w:pPr>
        <w:spacing w:after="0" w:line="240" w:lineRule="auto"/>
        <w:jc w:val="both"/>
        <w:rPr>
          <w:rFonts w:ascii="Times New Roman" w:hAnsi="Times New Roman"/>
          <w:sz w:val="24"/>
          <w:szCs w:val="24"/>
          <w:lang w:val="en-US"/>
        </w:rPr>
      </w:pPr>
      <w:r w:rsidRPr="00A0168B">
        <w:rPr>
          <w:rFonts w:ascii="Times New Roman" w:hAnsi="Times New Roman"/>
          <w:sz w:val="24"/>
          <w:szCs w:val="24"/>
          <w:lang w:val="en-US"/>
        </w:rPr>
        <w:t>5-hydroxymethly-2-furaldeyhde and 2-furaldeyhde (Sigma-Aldrich, St. Louis, MO, USA) were used as analytical standards. The oxalic acid (C</w:t>
      </w:r>
      <w:r w:rsidRPr="00A0168B">
        <w:rPr>
          <w:rFonts w:ascii="Times New Roman" w:hAnsi="Times New Roman"/>
          <w:sz w:val="24"/>
          <w:szCs w:val="24"/>
          <w:vertAlign w:val="subscript"/>
          <w:lang w:val="en-US"/>
        </w:rPr>
        <w:t>2</w:t>
      </w:r>
      <w:r w:rsidRPr="00A0168B">
        <w:rPr>
          <w:rFonts w:ascii="Times New Roman" w:hAnsi="Times New Roman"/>
          <w:sz w:val="24"/>
          <w:szCs w:val="24"/>
          <w:lang w:val="en-US"/>
        </w:rPr>
        <w:t>H</w:t>
      </w:r>
      <w:r w:rsidRPr="00A0168B">
        <w:rPr>
          <w:rFonts w:ascii="Times New Roman" w:hAnsi="Times New Roman"/>
          <w:sz w:val="24"/>
          <w:szCs w:val="24"/>
          <w:vertAlign w:val="subscript"/>
          <w:lang w:val="en-US"/>
        </w:rPr>
        <w:t>2</w:t>
      </w:r>
      <w:r w:rsidRPr="00A0168B">
        <w:rPr>
          <w:rFonts w:ascii="Times New Roman" w:hAnsi="Times New Roman"/>
          <w:sz w:val="24"/>
          <w:szCs w:val="24"/>
          <w:lang w:val="en-US"/>
        </w:rPr>
        <w:t>O</w:t>
      </w:r>
      <w:r w:rsidRPr="00A0168B">
        <w:rPr>
          <w:rFonts w:ascii="Times New Roman" w:hAnsi="Times New Roman"/>
          <w:sz w:val="24"/>
          <w:szCs w:val="24"/>
          <w:vertAlign w:val="subscript"/>
          <w:lang w:val="en-US"/>
        </w:rPr>
        <w:t>4</w:t>
      </w:r>
      <w:r w:rsidRPr="00A0168B">
        <w:rPr>
          <w:rFonts w:ascii="Times New Roman" w:hAnsi="Times New Roman"/>
          <w:sz w:val="24"/>
          <w:szCs w:val="24"/>
          <w:lang w:val="en-US"/>
        </w:rPr>
        <w:t xml:space="preserve">) was </w:t>
      </w:r>
      <w:r w:rsidRPr="00A0168B">
        <w:rPr>
          <w:rFonts w:ascii="Times New Roman" w:hAnsi="Times New Roman"/>
          <w:sz w:val="24"/>
          <w:szCs w:val="24"/>
          <w:lang w:val="en-US" w:eastAsia="tr-TR"/>
        </w:rPr>
        <w:t>obtained</w:t>
      </w:r>
      <w:r w:rsidRPr="00A0168B">
        <w:rPr>
          <w:rFonts w:ascii="Times New Roman" w:hAnsi="Times New Roman"/>
          <w:sz w:val="24"/>
          <w:szCs w:val="24"/>
          <w:lang w:val="en-US"/>
        </w:rPr>
        <w:t xml:space="preserve"> from Sigma-Aldrich (Steinheim, Germany). Methanol (CH</w:t>
      </w:r>
      <w:r w:rsidRPr="00A0168B">
        <w:rPr>
          <w:rFonts w:ascii="Times New Roman" w:hAnsi="Times New Roman"/>
          <w:sz w:val="24"/>
          <w:szCs w:val="24"/>
          <w:vertAlign w:val="subscript"/>
          <w:lang w:val="en-US"/>
        </w:rPr>
        <w:t>3</w:t>
      </w:r>
      <w:r w:rsidRPr="00A0168B">
        <w:rPr>
          <w:rFonts w:ascii="Times New Roman" w:hAnsi="Times New Roman"/>
          <w:sz w:val="24"/>
          <w:szCs w:val="24"/>
          <w:lang w:val="en-US"/>
        </w:rPr>
        <w:t>OH) was</w:t>
      </w:r>
      <w:r w:rsidRPr="00A0168B">
        <w:rPr>
          <w:rFonts w:ascii="Times New Roman" w:hAnsi="Times New Roman"/>
          <w:sz w:val="24"/>
          <w:szCs w:val="24"/>
          <w:lang w:val="en-US" w:eastAsia="tr-TR"/>
        </w:rPr>
        <w:t xml:space="preserve"> </w:t>
      </w:r>
      <w:r w:rsidRPr="00A0168B">
        <w:rPr>
          <w:rFonts w:ascii="Times New Roman" w:hAnsi="Times New Roman"/>
          <w:sz w:val="24"/>
          <w:szCs w:val="24"/>
          <w:lang w:val="en-US"/>
        </w:rPr>
        <w:t>purchased</w:t>
      </w:r>
      <w:r w:rsidRPr="00A0168B">
        <w:rPr>
          <w:rFonts w:ascii="Times New Roman" w:hAnsi="Times New Roman"/>
          <w:sz w:val="24"/>
          <w:szCs w:val="24"/>
          <w:lang w:val="en-US" w:eastAsia="tr-TR"/>
        </w:rPr>
        <w:t xml:space="preserve"> from </w:t>
      </w:r>
      <w:r w:rsidRPr="00A0168B">
        <w:rPr>
          <w:rFonts w:ascii="Times New Roman" w:hAnsi="Times New Roman"/>
          <w:sz w:val="24"/>
          <w:szCs w:val="24"/>
          <w:lang w:val="en-US"/>
        </w:rPr>
        <w:t>Merck Chemical (</w:t>
      </w:r>
      <w:r w:rsidRPr="00A0168B">
        <w:rPr>
          <w:rFonts w:ascii="Times New Roman" w:hAnsi="Times New Roman"/>
          <w:noProof/>
          <w:sz w:val="24"/>
          <w:szCs w:val="24"/>
          <w:lang w:val="en-US"/>
        </w:rPr>
        <w:t>Darmstadt</w:t>
      </w:r>
      <w:r w:rsidRPr="00A0168B">
        <w:rPr>
          <w:rFonts w:ascii="Times New Roman" w:hAnsi="Times New Roman"/>
          <w:sz w:val="24"/>
          <w:szCs w:val="24"/>
          <w:lang w:val="en-US"/>
        </w:rPr>
        <w:t>, Germany)</w:t>
      </w:r>
      <w:r w:rsidRPr="00A0168B">
        <w:rPr>
          <w:rFonts w:ascii="Times New Roman" w:hAnsi="Times New Roman"/>
          <w:sz w:val="24"/>
          <w:szCs w:val="24"/>
          <w:lang w:val="en-US" w:eastAsia="tr-TR"/>
        </w:rPr>
        <w:t>.</w:t>
      </w:r>
      <w:r w:rsidRPr="00A0168B">
        <w:rPr>
          <w:rFonts w:ascii="Times New Roman" w:hAnsi="Times New Roman"/>
          <w:sz w:val="24"/>
          <w:szCs w:val="24"/>
          <w:lang w:val="en-US"/>
        </w:rPr>
        <w:t xml:space="preserve"> Potassium </w:t>
      </w:r>
      <w:r w:rsidRPr="00A0168B">
        <w:rPr>
          <w:rFonts w:ascii="Times New Roman" w:hAnsi="Times New Roman"/>
          <w:sz w:val="24"/>
          <w:szCs w:val="24"/>
          <w:lang w:val="en-US"/>
        </w:rPr>
        <w:lastRenderedPageBreak/>
        <w:t>ferrocyanide (Carlo Erba Chemical, Milano, Italy) and zinc acetate (</w:t>
      </w:r>
      <w:r w:rsidRPr="00A0168B">
        <w:rPr>
          <w:rFonts w:ascii="Times New Roman" w:hAnsi="Times New Roman"/>
          <w:noProof/>
          <w:sz w:val="24"/>
          <w:szCs w:val="24"/>
          <w:lang w:val="en-US"/>
        </w:rPr>
        <w:t>Pancreac</w:t>
      </w:r>
      <w:r w:rsidRPr="00A0168B">
        <w:rPr>
          <w:rFonts w:ascii="Times New Roman" w:hAnsi="Times New Roman"/>
          <w:sz w:val="24"/>
          <w:szCs w:val="24"/>
          <w:lang w:val="en-US"/>
        </w:rPr>
        <w:t xml:space="preserve">, Barcelona, Spain) were used </w:t>
      </w:r>
      <w:r w:rsidRPr="00A0168B">
        <w:rPr>
          <w:rStyle w:val="st1"/>
          <w:rFonts w:ascii="Times New Roman" w:hAnsi="Times New Roman"/>
          <w:sz w:val="24"/>
          <w:szCs w:val="24"/>
          <w:lang w:val="en-US"/>
        </w:rPr>
        <w:t xml:space="preserve">in the </w:t>
      </w:r>
      <w:r w:rsidRPr="00A0168B">
        <w:rPr>
          <w:rStyle w:val="Vurgu"/>
          <w:rFonts w:ascii="Times New Roman" w:hAnsi="Times New Roman"/>
          <w:sz w:val="24"/>
          <w:szCs w:val="24"/>
          <w:lang w:val="en-US"/>
        </w:rPr>
        <w:t>preparation of</w:t>
      </w:r>
      <w:r w:rsidRPr="00A0168B">
        <w:rPr>
          <w:rStyle w:val="st1"/>
          <w:rFonts w:ascii="Times New Roman" w:hAnsi="Times New Roman"/>
          <w:sz w:val="24"/>
          <w:szCs w:val="24"/>
          <w:lang w:val="en-US"/>
        </w:rPr>
        <w:t xml:space="preserve"> </w:t>
      </w:r>
      <w:r w:rsidRPr="00A0168B">
        <w:rPr>
          <w:rFonts w:ascii="Times New Roman" w:hAnsi="Times New Roman"/>
          <w:sz w:val="24"/>
          <w:szCs w:val="24"/>
          <w:lang w:val="en-US"/>
        </w:rPr>
        <w:t>Carrez solutions.</w:t>
      </w:r>
      <w:r w:rsidRPr="00A0168B">
        <w:rPr>
          <w:rStyle w:val="st"/>
          <w:rFonts w:ascii="Times New Roman" w:hAnsi="Times New Roman"/>
          <w:sz w:val="24"/>
          <w:szCs w:val="24"/>
          <w:lang w:val="en-US"/>
        </w:rPr>
        <w:t xml:space="preserve"> </w:t>
      </w:r>
      <w:r w:rsidRPr="00A0168B">
        <w:rPr>
          <w:rFonts w:ascii="Times New Roman" w:hAnsi="Times New Roman"/>
          <w:noProof/>
          <w:sz w:val="24"/>
          <w:szCs w:val="24"/>
          <w:lang w:val="en-US" w:eastAsia="tr-TR"/>
        </w:rPr>
        <w:t>Deionized</w:t>
      </w:r>
      <w:r w:rsidRPr="00A0168B">
        <w:rPr>
          <w:rFonts w:ascii="Times New Roman" w:hAnsi="Times New Roman"/>
          <w:sz w:val="24"/>
          <w:szCs w:val="24"/>
          <w:lang w:val="en-US" w:eastAsia="tr-TR"/>
        </w:rPr>
        <w:t xml:space="preserve"> water was used throughout the experiments (Millipore Simplicity 185, </w:t>
      </w:r>
      <w:r w:rsidRPr="00A0168B">
        <w:rPr>
          <w:rFonts w:ascii="Times New Roman" w:hAnsi="Times New Roman"/>
          <w:sz w:val="24"/>
          <w:szCs w:val="24"/>
          <w:lang w:val="en-US"/>
        </w:rPr>
        <w:t xml:space="preserve">Molsheim, </w:t>
      </w:r>
      <w:r w:rsidRPr="00A0168B">
        <w:rPr>
          <w:rFonts w:ascii="Times New Roman" w:hAnsi="Times New Roman"/>
          <w:sz w:val="24"/>
          <w:szCs w:val="24"/>
          <w:lang w:val="en-US" w:eastAsia="tr-TR"/>
        </w:rPr>
        <w:t xml:space="preserve">France). </w:t>
      </w:r>
      <w:r w:rsidRPr="00A0168B">
        <w:rPr>
          <w:rFonts w:ascii="Times New Roman" w:hAnsi="Times New Roman"/>
          <w:sz w:val="24"/>
          <w:szCs w:val="24"/>
          <w:lang w:val="en-US"/>
        </w:rPr>
        <w:t xml:space="preserve">All of the reagents were of analytical grade or HPLC grade. </w:t>
      </w:r>
      <w:r w:rsidRPr="00A0168B">
        <w:rPr>
          <w:rFonts w:ascii="Times New Roman" w:hAnsi="Times New Roman"/>
          <w:bCs/>
          <w:sz w:val="24"/>
          <w:szCs w:val="24"/>
          <w:lang w:val="en-US"/>
        </w:rPr>
        <w:t>Stock solutions</w:t>
      </w:r>
      <w:r w:rsidRPr="00A0168B">
        <w:rPr>
          <w:rFonts w:ascii="Times New Roman" w:hAnsi="Times New Roman"/>
          <w:sz w:val="24"/>
          <w:szCs w:val="24"/>
          <w:lang w:val="en-US"/>
        </w:rPr>
        <w:t xml:space="preserve"> </w:t>
      </w:r>
      <w:r w:rsidRPr="00A0168B">
        <w:rPr>
          <w:rFonts w:ascii="Times New Roman" w:hAnsi="Times New Roman"/>
          <w:sz w:val="24"/>
          <w:szCs w:val="24"/>
          <w:shd w:val="clear" w:color="auto" w:fill="FFFFFF"/>
          <w:lang w:val="en-US"/>
        </w:rPr>
        <w:t xml:space="preserve">of </w:t>
      </w:r>
      <w:r w:rsidRPr="00A0168B">
        <w:rPr>
          <w:rFonts w:ascii="Times New Roman" w:hAnsi="Times New Roman"/>
          <w:sz w:val="24"/>
          <w:szCs w:val="24"/>
          <w:lang w:val="en-US"/>
        </w:rPr>
        <w:t>HMF</w:t>
      </w:r>
      <w:r w:rsidRPr="00A0168B">
        <w:rPr>
          <w:rFonts w:ascii="Times New Roman" w:hAnsi="Times New Roman"/>
          <w:sz w:val="24"/>
          <w:szCs w:val="24"/>
          <w:shd w:val="clear" w:color="auto" w:fill="FFFFFF"/>
          <w:lang w:val="en-US"/>
        </w:rPr>
        <w:t xml:space="preserve"> (100</w:t>
      </w:r>
      <w:r w:rsidRPr="00A0168B">
        <w:rPr>
          <w:rFonts w:ascii="Times New Roman" w:hAnsi="Times New Roman"/>
          <w:sz w:val="24"/>
          <w:szCs w:val="24"/>
          <w:lang w:val="en-US"/>
        </w:rPr>
        <w:t xml:space="preserve"> </w:t>
      </w:r>
      <w:r w:rsidRPr="00A0168B">
        <w:rPr>
          <w:rFonts w:ascii="Times New Roman" w:hAnsi="Times New Roman"/>
          <w:bCs/>
          <w:sz w:val="24"/>
          <w:szCs w:val="24"/>
          <w:lang w:val="en-US"/>
        </w:rPr>
        <w:t>μg</w:t>
      </w:r>
      <w:r w:rsidRPr="00A0168B">
        <w:rPr>
          <w:rFonts w:ascii="Times New Roman" w:hAnsi="Times New Roman"/>
          <w:sz w:val="24"/>
          <w:szCs w:val="24"/>
          <w:shd w:val="clear" w:color="auto" w:fill="FFFFFF"/>
          <w:lang w:val="en-US"/>
        </w:rPr>
        <w:t>/</w:t>
      </w:r>
      <w:r w:rsidRPr="00A0168B">
        <w:rPr>
          <w:rFonts w:ascii="Times New Roman" w:hAnsi="Times New Roman"/>
          <w:bCs/>
          <w:sz w:val="24"/>
          <w:szCs w:val="24"/>
          <w:lang w:val="en-US"/>
        </w:rPr>
        <w:t>mL</w:t>
      </w:r>
      <w:r w:rsidRPr="00A0168B">
        <w:rPr>
          <w:rFonts w:ascii="Times New Roman" w:hAnsi="Times New Roman"/>
          <w:sz w:val="24"/>
          <w:szCs w:val="24"/>
          <w:shd w:val="clear" w:color="auto" w:fill="FFFFFF"/>
          <w:lang w:val="en-US"/>
        </w:rPr>
        <w:t>) and F (10</w:t>
      </w:r>
      <w:r w:rsidRPr="00A0168B">
        <w:rPr>
          <w:rFonts w:ascii="Times New Roman" w:hAnsi="Times New Roman"/>
          <w:sz w:val="24"/>
          <w:szCs w:val="24"/>
          <w:lang w:val="en-US"/>
        </w:rPr>
        <w:t xml:space="preserve"> </w:t>
      </w:r>
      <w:r w:rsidRPr="00A0168B">
        <w:rPr>
          <w:rFonts w:ascii="Times New Roman" w:hAnsi="Times New Roman"/>
          <w:bCs/>
          <w:sz w:val="24"/>
          <w:szCs w:val="24"/>
          <w:lang w:val="en-US"/>
        </w:rPr>
        <w:t>μg/mL</w:t>
      </w:r>
      <w:r w:rsidRPr="00A0168B">
        <w:rPr>
          <w:rFonts w:ascii="Times New Roman" w:hAnsi="Times New Roman"/>
          <w:sz w:val="24"/>
          <w:szCs w:val="24"/>
          <w:shd w:val="clear" w:color="auto" w:fill="FFFFFF"/>
          <w:lang w:val="en-US"/>
        </w:rPr>
        <w:t>)</w:t>
      </w:r>
      <w:r w:rsidRPr="00A0168B">
        <w:rPr>
          <w:rFonts w:ascii="Times New Roman" w:hAnsi="Times New Roman"/>
          <w:sz w:val="24"/>
          <w:szCs w:val="24"/>
          <w:lang w:val="en-US"/>
        </w:rPr>
        <w:t xml:space="preserve"> </w:t>
      </w:r>
      <w:r w:rsidRPr="00A0168B">
        <w:rPr>
          <w:rFonts w:ascii="Times New Roman" w:hAnsi="Times New Roman"/>
          <w:bCs/>
          <w:sz w:val="24"/>
          <w:szCs w:val="24"/>
          <w:lang w:val="en-US"/>
        </w:rPr>
        <w:t>were prepared</w:t>
      </w:r>
      <w:r w:rsidRPr="00A0168B">
        <w:rPr>
          <w:rFonts w:ascii="Times New Roman" w:hAnsi="Times New Roman"/>
          <w:sz w:val="24"/>
          <w:szCs w:val="24"/>
          <w:lang w:val="en-US"/>
        </w:rPr>
        <w:t xml:space="preserve"> </w:t>
      </w:r>
      <w:r w:rsidRPr="00A0168B">
        <w:rPr>
          <w:rFonts w:ascii="Times New Roman" w:hAnsi="Times New Roman"/>
          <w:sz w:val="24"/>
          <w:szCs w:val="24"/>
          <w:shd w:val="clear" w:color="auto" w:fill="FFFFFF"/>
          <w:lang w:val="en-US"/>
        </w:rPr>
        <w:t xml:space="preserve">in </w:t>
      </w:r>
      <w:r w:rsidRPr="00A0168B">
        <w:rPr>
          <w:rFonts w:ascii="Times New Roman" w:hAnsi="Times New Roman"/>
          <w:noProof/>
          <w:sz w:val="24"/>
          <w:szCs w:val="24"/>
          <w:lang w:val="en-US" w:eastAsia="tr-TR"/>
        </w:rPr>
        <w:t>deionized</w:t>
      </w:r>
      <w:r w:rsidRPr="00A0168B">
        <w:rPr>
          <w:rFonts w:ascii="Times New Roman" w:hAnsi="Times New Roman"/>
          <w:sz w:val="24"/>
          <w:szCs w:val="24"/>
          <w:lang w:val="en-US" w:eastAsia="tr-TR"/>
        </w:rPr>
        <w:t xml:space="preserve"> water.</w:t>
      </w:r>
      <w:r w:rsidRPr="00A0168B">
        <w:rPr>
          <w:rFonts w:ascii="Times New Roman" w:hAnsi="Times New Roman"/>
          <w:sz w:val="24"/>
          <w:szCs w:val="24"/>
          <w:lang w:val="en-US"/>
        </w:rPr>
        <w:t xml:space="preserve"> </w:t>
      </w:r>
      <w:r w:rsidRPr="00A0168B">
        <w:rPr>
          <w:rFonts w:ascii="Times New Roman" w:hAnsi="Times New Roman"/>
          <w:sz w:val="24"/>
          <w:szCs w:val="24"/>
          <w:lang w:val="en-US" w:eastAsia="tr-TR"/>
        </w:rPr>
        <w:t>The calibration curve was obtained using a series of dilutions containing different levels for HMF (</w:t>
      </w:r>
      <w:r w:rsidRPr="00A0168B">
        <w:rPr>
          <w:rFonts w:ascii="Times New Roman" w:hAnsi="Times New Roman"/>
          <w:sz w:val="24"/>
          <w:szCs w:val="24"/>
          <w:lang w:val="en-US"/>
        </w:rPr>
        <w:t xml:space="preserve">0.05-75 </w:t>
      </w:r>
      <w:r w:rsidRPr="00A0168B">
        <w:rPr>
          <w:rFonts w:ascii="Times New Roman" w:hAnsi="Times New Roman"/>
          <w:bCs/>
          <w:sz w:val="24"/>
          <w:szCs w:val="24"/>
          <w:lang w:val="en-US"/>
        </w:rPr>
        <w:t>μg/mL</w:t>
      </w:r>
      <w:r w:rsidRPr="00A0168B">
        <w:rPr>
          <w:rFonts w:ascii="Times New Roman" w:hAnsi="Times New Roman"/>
          <w:sz w:val="24"/>
          <w:szCs w:val="24"/>
          <w:lang w:val="en-US"/>
        </w:rPr>
        <w:t>)</w:t>
      </w:r>
      <w:r w:rsidRPr="00A0168B">
        <w:rPr>
          <w:rFonts w:ascii="Times New Roman" w:hAnsi="Times New Roman"/>
          <w:sz w:val="24"/>
          <w:szCs w:val="24"/>
          <w:lang w:val="en-US" w:eastAsia="tr-TR"/>
        </w:rPr>
        <w:t xml:space="preserve"> and </w:t>
      </w:r>
      <w:r w:rsidRPr="00A0168B">
        <w:rPr>
          <w:rFonts w:ascii="Times New Roman" w:hAnsi="Times New Roman"/>
          <w:sz w:val="24"/>
          <w:szCs w:val="24"/>
          <w:lang w:val="en-US"/>
        </w:rPr>
        <w:t>F</w:t>
      </w:r>
      <w:r w:rsidRPr="00A0168B">
        <w:rPr>
          <w:rFonts w:ascii="Times New Roman" w:hAnsi="Times New Roman"/>
          <w:sz w:val="24"/>
          <w:szCs w:val="24"/>
          <w:lang w:val="en-US" w:eastAsia="tr-TR"/>
        </w:rPr>
        <w:t xml:space="preserve"> (</w:t>
      </w:r>
      <w:r w:rsidRPr="00A0168B">
        <w:rPr>
          <w:rFonts w:ascii="Times New Roman" w:hAnsi="Times New Roman"/>
          <w:sz w:val="24"/>
          <w:szCs w:val="24"/>
          <w:lang w:val="en-US"/>
        </w:rPr>
        <w:t xml:space="preserve">0.02-4 </w:t>
      </w:r>
      <w:r w:rsidRPr="00A0168B">
        <w:rPr>
          <w:rFonts w:ascii="Times New Roman" w:hAnsi="Times New Roman"/>
          <w:bCs/>
          <w:sz w:val="24"/>
          <w:szCs w:val="24"/>
          <w:lang w:val="en-US"/>
        </w:rPr>
        <w:t>μg/mL</w:t>
      </w:r>
      <w:r w:rsidRPr="00A0168B">
        <w:rPr>
          <w:rFonts w:ascii="Times New Roman" w:hAnsi="Times New Roman"/>
          <w:sz w:val="24"/>
          <w:szCs w:val="24"/>
          <w:lang w:val="en-US"/>
        </w:rPr>
        <w:t>) stock solution.</w:t>
      </w:r>
    </w:p>
    <w:p w:rsidR="00622F23" w:rsidRDefault="00622F23" w:rsidP="00622F23">
      <w:pPr>
        <w:autoSpaceDE w:val="0"/>
        <w:autoSpaceDN w:val="0"/>
        <w:adjustRightInd w:val="0"/>
        <w:spacing w:after="0" w:line="240" w:lineRule="auto"/>
        <w:ind w:right="-17"/>
        <w:jc w:val="both"/>
        <w:rPr>
          <w:rFonts w:ascii="Times New Roman" w:hAnsi="Times New Roman"/>
          <w:b/>
          <w:i/>
          <w:sz w:val="24"/>
          <w:szCs w:val="24"/>
          <w:lang w:val="en-US"/>
        </w:rPr>
      </w:pPr>
    </w:p>
    <w:p w:rsidR="00622F23" w:rsidRPr="00A0168B" w:rsidRDefault="00622F23" w:rsidP="00622F23">
      <w:pPr>
        <w:autoSpaceDE w:val="0"/>
        <w:autoSpaceDN w:val="0"/>
        <w:adjustRightInd w:val="0"/>
        <w:spacing w:after="0" w:line="240" w:lineRule="auto"/>
        <w:ind w:right="-17"/>
        <w:jc w:val="both"/>
        <w:rPr>
          <w:rFonts w:ascii="Times New Roman" w:hAnsi="Times New Roman"/>
          <w:b/>
          <w:i/>
          <w:sz w:val="24"/>
          <w:szCs w:val="24"/>
          <w:lang w:val="en-US"/>
        </w:rPr>
      </w:pPr>
      <w:r w:rsidRPr="00A0168B">
        <w:rPr>
          <w:rFonts w:ascii="Times New Roman" w:hAnsi="Times New Roman"/>
          <w:b/>
          <w:i/>
          <w:sz w:val="24"/>
          <w:szCs w:val="24"/>
          <w:lang w:val="en-US"/>
        </w:rPr>
        <w:t>Sample preparation for potential HMF and F extraction</w:t>
      </w:r>
    </w:p>
    <w:p w:rsidR="00622F23" w:rsidRPr="00A0168B" w:rsidRDefault="00622F23" w:rsidP="00622F23">
      <w:pPr>
        <w:autoSpaceDE w:val="0"/>
        <w:autoSpaceDN w:val="0"/>
        <w:adjustRightInd w:val="0"/>
        <w:spacing w:after="0" w:line="240" w:lineRule="auto"/>
        <w:jc w:val="both"/>
        <w:rPr>
          <w:rFonts w:ascii="Times New Roman" w:hAnsi="Times New Roman"/>
          <w:sz w:val="24"/>
          <w:szCs w:val="24"/>
          <w:lang w:val="en-US" w:eastAsia="tr-TR"/>
        </w:rPr>
      </w:pPr>
      <w:r w:rsidRPr="00A0168B">
        <w:rPr>
          <w:rFonts w:ascii="Times New Roman" w:hAnsi="Times New Roman"/>
          <w:sz w:val="24"/>
          <w:szCs w:val="24"/>
          <w:lang w:val="en-US" w:eastAsia="tr-TR"/>
        </w:rPr>
        <w:t xml:space="preserve">The extraction and determination procedures for the analysis of </w:t>
      </w:r>
      <w:r w:rsidRPr="00A0168B">
        <w:rPr>
          <w:rFonts w:ascii="Times New Roman" w:hAnsi="Times New Roman"/>
          <w:sz w:val="24"/>
          <w:szCs w:val="24"/>
          <w:lang w:val="en-US"/>
        </w:rPr>
        <w:t xml:space="preserve">potential HMF and F are based on the method described by Guerra-Hernandez et al. (17). Briefly, 10 mL of fruit juice sample and 5 mL of 0.3 M oxalic acid were transferred to </w:t>
      </w:r>
      <w:r w:rsidRPr="00A0168B">
        <w:rPr>
          <w:rFonts w:ascii="Times New Roman" w:hAnsi="Times New Roman"/>
          <w:noProof/>
          <w:sz w:val="24"/>
          <w:szCs w:val="24"/>
          <w:lang w:val="en-US"/>
        </w:rPr>
        <w:t>centrifuge tubes</w:t>
      </w:r>
      <w:r w:rsidRPr="00A0168B">
        <w:rPr>
          <w:rFonts w:ascii="Times New Roman" w:hAnsi="Times New Roman"/>
          <w:sz w:val="24"/>
          <w:szCs w:val="24"/>
          <w:lang w:val="en-US"/>
        </w:rPr>
        <w:t xml:space="preserve"> and vortexed well (Firlabo, Lyon, France). The mixture was heated in a </w:t>
      </w:r>
      <w:r w:rsidRPr="00A0168B">
        <w:rPr>
          <w:rFonts w:ascii="Times New Roman" w:hAnsi="Times New Roman"/>
          <w:noProof/>
          <w:sz w:val="24"/>
          <w:szCs w:val="24"/>
          <w:lang w:val="en-US"/>
        </w:rPr>
        <w:t>water</w:t>
      </w:r>
      <w:r w:rsidRPr="00A0168B">
        <w:rPr>
          <w:rFonts w:ascii="Times New Roman" w:hAnsi="Times New Roman"/>
          <w:sz w:val="24"/>
          <w:szCs w:val="24"/>
          <w:lang w:val="en-US"/>
        </w:rPr>
        <w:t xml:space="preserve"> bath for 25 min. </w:t>
      </w:r>
      <w:r w:rsidRPr="00A0168B">
        <w:rPr>
          <w:rFonts w:ascii="Times New Roman" w:hAnsi="Times New Roman"/>
          <w:sz w:val="24"/>
          <w:szCs w:val="24"/>
          <w:lang w:val="en-US" w:eastAsia="tr-TR"/>
        </w:rPr>
        <w:t xml:space="preserve">(Memmert WB 10, </w:t>
      </w:r>
      <w:r w:rsidRPr="00A0168B">
        <w:rPr>
          <w:rFonts w:ascii="Times New Roman" w:hAnsi="Times New Roman"/>
          <w:sz w:val="24"/>
          <w:szCs w:val="24"/>
          <w:lang w:val="en-US"/>
        </w:rPr>
        <w:t xml:space="preserve">Schwabach, </w:t>
      </w:r>
      <w:r w:rsidRPr="00A0168B">
        <w:rPr>
          <w:rFonts w:ascii="Times New Roman" w:hAnsi="Times New Roman"/>
          <w:sz w:val="24"/>
          <w:szCs w:val="24"/>
          <w:lang w:val="en-US" w:eastAsia="tr-TR"/>
        </w:rPr>
        <w:t>Germany</w:t>
      </w:r>
      <w:r w:rsidRPr="00A0168B">
        <w:rPr>
          <w:rFonts w:ascii="Times New Roman" w:hAnsi="Times New Roman"/>
          <w:sz w:val="24"/>
          <w:szCs w:val="24"/>
          <w:lang w:val="en-US"/>
        </w:rPr>
        <w:t xml:space="preserve">). After cooling, 2 mL of each Carrez I (potassium ferrocyanide, 150 g/L) and Carrez II (zinc acetate, 300 g/L) added and vortexed well. Then, the </w:t>
      </w:r>
      <w:r w:rsidRPr="00A0168B">
        <w:rPr>
          <w:rFonts w:ascii="Times New Roman" w:hAnsi="Times New Roman"/>
          <w:noProof/>
          <w:sz w:val="24"/>
          <w:szCs w:val="24"/>
          <w:lang w:val="en-US"/>
        </w:rPr>
        <w:t>mixture</w:t>
      </w:r>
      <w:r w:rsidRPr="00A0168B">
        <w:rPr>
          <w:rFonts w:ascii="Times New Roman" w:hAnsi="Times New Roman"/>
          <w:sz w:val="24"/>
          <w:szCs w:val="24"/>
          <w:lang w:val="en-US"/>
        </w:rPr>
        <w:t xml:space="preserve"> was stirred on an orbital shaker for 10 min. (Biosan, MR-1, EU) and centrifuged at 500 x </w:t>
      </w:r>
      <w:r w:rsidRPr="00A0168B">
        <w:rPr>
          <w:rFonts w:ascii="Times New Roman" w:hAnsi="Times New Roman"/>
          <w:i/>
          <w:sz w:val="24"/>
          <w:szCs w:val="24"/>
          <w:lang w:val="en-US"/>
        </w:rPr>
        <w:t>g</w:t>
      </w:r>
      <w:r w:rsidRPr="00A0168B">
        <w:rPr>
          <w:rFonts w:ascii="Times New Roman" w:hAnsi="Times New Roman"/>
          <w:sz w:val="24"/>
          <w:szCs w:val="24"/>
          <w:lang w:val="en-US"/>
        </w:rPr>
        <w:t xml:space="preserve"> for 5 min </w:t>
      </w:r>
      <w:r w:rsidRPr="00A0168B">
        <w:rPr>
          <w:rFonts w:ascii="Times New Roman" w:hAnsi="Times New Roman"/>
          <w:sz w:val="24"/>
          <w:szCs w:val="24"/>
          <w:lang w:val="en-US" w:eastAsia="tr-TR"/>
        </w:rPr>
        <w:t xml:space="preserve">(MSE, Mistral 1000, UK). After centrifuging and filtering with 0.20 µm filter </w:t>
      </w:r>
      <w:r w:rsidRPr="00A0168B">
        <w:rPr>
          <w:rFonts w:ascii="Times New Roman" w:hAnsi="Times New Roman"/>
          <w:sz w:val="24"/>
          <w:szCs w:val="24"/>
          <w:lang w:val="en-US"/>
        </w:rPr>
        <w:t>(Sartorius, Goettingen, Germany)</w:t>
      </w:r>
      <w:r w:rsidRPr="00A0168B">
        <w:rPr>
          <w:rFonts w:ascii="Times New Roman" w:hAnsi="Times New Roman"/>
          <w:sz w:val="24"/>
          <w:szCs w:val="24"/>
          <w:lang w:val="en-US" w:eastAsia="tr-TR"/>
        </w:rPr>
        <w:t>, the supernatants were injected into the HPLC system</w:t>
      </w:r>
      <w:r w:rsidRPr="00A0168B">
        <w:rPr>
          <w:rFonts w:ascii="Times New Roman" w:eastAsia="WarnockPro-Regular" w:hAnsi="Times New Roman"/>
          <w:sz w:val="24"/>
          <w:szCs w:val="24"/>
          <w:lang w:val="en-US" w:eastAsia="tr-TR"/>
        </w:rPr>
        <w:t>.</w:t>
      </w:r>
      <w:r w:rsidRPr="00A0168B">
        <w:rPr>
          <w:rFonts w:ascii="Times New Roman" w:hAnsi="Times New Roman"/>
          <w:sz w:val="24"/>
          <w:szCs w:val="24"/>
          <w:lang w:val="en-US"/>
        </w:rPr>
        <w:t xml:space="preserve"> Injection volumes of sample and standard were 20 μl.</w:t>
      </w:r>
    </w:p>
    <w:p w:rsidR="00622F23" w:rsidRDefault="00622F23" w:rsidP="00622F23">
      <w:pPr>
        <w:autoSpaceDE w:val="0"/>
        <w:autoSpaceDN w:val="0"/>
        <w:adjustRightInd w:val="0"/>
        <w:spacing w:after="0" w:line="240" w:lineRule="auto"/>
        <w:ind w:right="-18"/>
        <w:jc w:val="both"/>
        <w:rPr>
          <w:rFonts w:ascii="Times New Roman" w:hAnsi="Times New Roman"/>
          <w:b/>
          <w:i/>
          <w:sz w:val="24"/>
          <w:szCs w:val="24"/>
          <w:lang w:val="en-US" w:eastAsia="tr-TR"/>
        </w:rPr>
      </w:pPr>
    </w:p>
    <w:p w:rsidR="00622F23" w:rsidRPr="00A0168B" w:rsidRDefault="00622F23" w:rsidP="00622F23">
      <w:pPr>
        <w:autoSpaceDE w:val="0"/>
        <w:autoSpaceDN w:val="0"/>
        <w:adjustRightInd w:val="0"/>
        <w:spacing w:after="0" w:line="240" w:lineRule="auto"/>
        <w:ind w:right="-18"/>
        <w:jc w:val="both"/>
        <w:rPr>
          <w:rFonts w:ascii="Times New Roman" w:hAnsi="Times New Roman"/>
          <w:b/>
          <w:i/>
          <w:sz w:val="24"/>
          <w:szCs w:val="24"/>
          <w:lang w:val="en-US" w:eastAsia="tr-TR"/>
        </w:rPr>
      </w:pPr>
      <w:r w:rsidRPr="00A0168B">
        <w:rPr>
          <w:rFonts w:ascii="Times New Roman" w:hAnsi="Times New Roman"/>
          <w:b/>
          <w:i/>
          <w:sz w:val="24"/>
          <w:szCs w:val="24"/>
          <w:lang w:val="en-US" w:eastAsia="tr-TR"/>
        </w:rPr>
        <w:t xml:space="preserve">HPLC Conditions for </w:t>
      </w:r>
      <w:r w:rsidRPr="00A0168B">
        <w:rPr>
          <w:rFonts w:ascii="Times New Roman" w:hAnsi="Times New Roman"/>
          <w:b/>
          <w:i/>
          <w:sz w:val="24"/>
          <w:szCs w:val="24"/>
          <w:lang w:val="en-US"/>
        </w:rPr>
        <w:t>potential HMF and F</w:t>
      </w:r>
      <w:r w:rsidRPr="00A0168B">
        <w:rPr>
          <w:rFonts w:ascii="Times New Roman" w:hAnsi="Times New Roman"/>
          <w:b/>
          <w:i/>
          <w:sz w:val="24"/>
          <w:szCs w:val="24"/>
          <w:lang w:val="en-US" w:eastAsia="tr-TR"/>
        </w:rPr>
        <w:t xml:space="preserve"> analysis</w:t>
      </w:r>
    </w:p>
    <w:p w:rsidR="00622F23" w:rsidRPr="00A0168B"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hAnsi="Times New Roman"/>
          <w:sz w:val="24"/>
          <w:szCs w:val="24"/>
          <w:lang w:val="en-US" w:eastAsia="tr-TR"/>
        </w:rPr>
        <w:t xml:space="preserve">The </w:t>
      </w:r>
      <w:r w:rsidRPr="00A0168B">
        <w:rPr>
          <w:rFonts w:ascii="Times New Roman" w:hAnsi="Times New Roman"/>
          <w:sz w:val="24"/>
          <w:szCs w:val="24"/>
          <w:lang w:val="en-US"/>
        </w:rPr>
        <w:t>potential HMF and F</w:t>
      </w:r>
      <w:r w:rsidRPr="00A0168B">
        <w:rPr>
          <w:rFonts w:ascii="Times New Roman" w:hAnsi="Times New Roman"/>
          <w:sz w:val="24"/>
          <w:szCs w:val="24"/>
          <w:lang w:val="en-US" w:eastAsia="tr-TR"/>
        </w:rPr>
        <w:t xml:space="preserve"> were </w:t>
      </w:r>
      <w:r w:rsidRPr="00A0168B">
        <w:rPr>
          <w:rFonts w:ascii="Times New Roman" w:hAnsi="Times New Roman"/>
          <w:noProof/>
          <w:sz w:val="24"/>
          <w:szCs w:val="24"/>
          <w:lang w:val="en-US" w:eastAsia="tr-TR"/>
        </w:rPr>
        <w:t>analyzed</w:t>
      </w:r>
      <w:r w:rsidRPr="00A0168B">
        <w:rPr>
          <w:rFonts w:ascii="Times New Roman" w:hAnsi="Times New Roman"/>
          <w:sz w:val="24"/>
          <w:szCs w:val="24"/>
          <w:lang w:val="en-US" w:eastAsia="tr-TR"/>
        </w:rPr>
        <w:t xml:space="preserve"> by the </w:t>
      </w:r>
      <w:r w:rsidRPr="00A0168B">
        <w:rPr>
          <w:rFonts w:ascii="Times New Roman" w:hAnsi="Times New Roman"/>
          <w:sz w:val="24"/>
          <w:szCs w:val="24"/>
          <w:lang w:val="en-US"/>
        </w:rPr>
        <w:t xml:space="preserve">HPLC (Agilent Series 1200, </w:t>
      </w:r>
      <w:r w:rsidRPr="00A0168B">
        <w:rPr>
          <w:rStyle w:val="st1"/>
          <w:rFonts w:ascii="Times New Roman" w:hAnsi="Times New Roman"/>
          <w:sz w:val="24"/>
          <w:szCs w:val="24"/>
          <w:lang w:val="en-US"/>
        </w:rPr>
        <w:t xml:space="preserve">Santa Clara, CA, </w:t>
      </w:r>
      <w:r w:rsidRPr="00A0168B">
        <w:rPr>
          <w:rFonts w:ascii="Times New Roman" w:hAnsi="Times New Roman"/>
          <w:sz w:val="24"/>
          <w:szCs w:val="24"/>
          <w:lang w:val="en-US"/>
        </w:rPr>
        <w:t xml:space="preserve">USA) </w:t>
      </w:r>
      <w:r w:rsidRPr="00A0168B">
        <w:rPr>
          <w:rFonts w:ascii="Times New Roman" w:hAnsi="Times New Roman"/>
          <w:sz w:val="24"/>
          <w:szCs w:val="24"/>
          <w:lang w:val="en-US" w:eastAsia="tr-TR"/>
        </w:rPr>
        <w:t>using a diode array detector (</w:t>
      </w:r>
      <w:r w:rsidRPr="00A0168B">
        <w:rPr>
          <w:rFonts w:ascii="Times New Roman" w:hAnsi="Times New Roman"/>
          <w:sz w:val="24"/>
          <w:szCs w:val="24"/>
          <w:lang w:val="en-US"/>
        </w:rPr>
        <w:t>Agilent G1314B VWD Series</w:t>
      </w:r>
      <w:r w:rsidRPr="00A0168B">
        <w:rPr>
          <w:rFonts w:ascii="Times New Roman" w:hAnsi="Times New Roman"/>
          <w:sz w:val="24"/>
          <w:szCs w:val="24"/>
          <w:lang w:val="en-US" w:eastAsia="tr-TR"/>
        </w:rPr>
        <w:t>). Detection of p</w:t>
      </w:r>
      <w:r w:rsidRPr="00A0168B">
        <w:rPr>
          <w:rFonts w:ascii="Times New Roman" w:hAnsi="Times New Roman"/>
          <w:sz w:val="24"/>
          <w:szCs w:val="24"/>
          <w:lang w:val="en-US"/>
        </w:rPr>
        <w:t>otential HMF and F</w:t>
      </w:r>
      <w:r w:rsidRPr="00A0168B">
        <w:rPr>
          <w:rFonts w:ascii="Times New Roman" w:hAnsi="Times New Roman"/>
          <w:sz w:val="24"/>
          <w:szCs w:val="24"/>
          <w:lang w:val="en-US" w:eastAsia="tr-TR"/>
        </w:rPr>
        <w:t xml:space="preserve"> were performed at 284 nm. </w:t>
      </w:r>
      <w:r w:rsidRPr="00A0168B">
        <w:rPr>
          <w:rFonts w:ascii="Times New Roman" w:hAnsi="Times New Roman"/>
          <w:sz w:val="24"/>
          <w:szCs w:val="24"/>
          <w:lang w:val="en-US"/>
        </w:rPr>
        <w:t xml:space="preserve">HPLC separation was carried out using the mobile phase of methanol/water (17.5:82.5, v/v) at a flow rate of 1 mL/min. Spherisorb </w:t>
      </w:r>
      <w:r w:rsidRPr="00A0168B">
        <w:rPr>
          <w:rFonts w:ascii="Times New Roman" w:hAnsi="Times New Roman"/>
          <w:bCs/>
          <w:sz w:val="24"/>
          <w:szCs w:val="24"/>
          <w:lang w:val="en-US"/>
        </w:rPr>
        <w:t xml:space="preserve">(Waters, Dublin, Ireland) </w:t>
      </w:r>
      <w:r w:rsidRPr="00A0168B">
        <w:rPr>
          <w:rFonts w:ascii="Times New Roman" w:hAnsi="Times New Roman"/>
          <w:sz w:val="24"/>
          <w:szCs w:val="24"/>
          <w:lang w:val="en-US"/>
        </w:rPr>
        <w:t>ODS2 (250 mm</w:t>
      </w:r>
      <w:r w:rsidRPr="00A0168B">
        <w:rPr>
          <w:rFonts w:ascii="Times New Roman" w:eastAsia="MTSY" w:hAnsi="Times New Roman"/>
          <w:sz w:val="24"/>
          <w:szCs w:val="24"/>
          <w:lang w:val="en-US"/>
        </w:rPr>
        <w:t>×</w:t>
      </w:r>
      <w:r w:rsidRPr="00A0168B">
        <w:rPr>
          <w:rFonts w:ascii="Times New Roman" w:hAnsi="Times New Roman"/>
          <w:sz w:val="24"/>
          <w:szCs w:val="24"/>
          <w:lang w:val="en-US"/>
        </w:rPr>
        <w:t>4.6 mm i.d., 5 μm) column as the stationary phase was used in separation. The mean retention time for HMF and F standards were 7.6 min and 12.4 min, respectively.</w:t>
      </w:r>
    </w:p>
    <w:p w:rsidR="00622F23" w:rsidRDefault="00622F23" w:rsidP="00622F23">
      <w:pPr>
        <w:autoSpaceDE w:val="0"/>
        <w:autoSpaceDN w:val="0"/>
        <w:adjustRightInd w:val="0"/>
        <w:spacing w:after="0" w:line="240" w:lineRule="auto"/>
        <w:jc w:val="both"/>
        <w:rPr>
          <w:rFonts w:ascii="Times New Roman" w:hAnsi="Times New Roman"/>
          <w:b/>
          <w:i/>
          <w:sz w:val="24"/>
          <w:szCs w:val="24"/>
          <w:lang w:val="en-US" w:eastAsia="tr-TR"/>
        </w:rPr>
      </w:pPr>
    </w:p>
    <w:p w:rsidR="00622F23" w:rsidRPr="00A0168B" w:rsidRDefault="00622F23" w:rsidP="00622F23">
      <w:pPr>
        <w:autoSpaceDE w:val="0"/>
        <w:autoSpaceDN w:val="0"/>
        <w:adjustRightInd w:val="0"/>
        <w:spacing w:after="0" w:line="240" w:lineRule="auto"/>
        <w:jc w:val="both"/>
        <w:rPr>
          <w:rFonts w:ascii="Times New Roman" w:hAnsi="Times New Roman"/>
          <w:b/>
          <w:i/>
          <w:sz w:val="24"/>
          <w:szCs w:val="24"/>
          <w:lang w:val="en-US" w:eastAsia="tr-TR"/>
        </w:rPr>
      </w:pPr>
      <w:r w:rsidRPr="00A0168B">
        <w:rPr>
          <w:rFonts w:ascii="Times New Roman" w:hAnsi="Times New Roman"/>
          <w:b/>
          <w:i/>
          <w:sz w:val="24"/>
          <w:szCs w:val="24"/>
          <w:lang w:val="en-US" w:eastAsia="tr-TR"/>
        </w:rPr>
        <w:t>Statistical analysis</w:t>
      </w:r>
    </w:p>
    <w:p w:rsidR="00622F23" w:rsidRPr="00A0168B" w:rsidRDefault="00622F23" w:rsidP="00622F23">
      <w:pPr>
        <w:autoSpaceDE w:val="0"/>
        <w:autoSpaceDN w:val="0"/>
        <w:adjustRightInd w:val="0"/>
        <w:spacing w:after="0" w:line="240" w:lineRule="auto"/>
        <w:ind w:right="-18"/>
        <w:jc w:val="both"/>
        <w:rPr>
          <w:rFonts w:ascii="Times New Roman" w:hAnsi="Times New Roman"/>
          <w:sz w:val="24"/>
          <w:szCs w:val="24"/>
          <w:lang w:val="en-US" w:eastAsia="tr-TR"/>
        </w:rPr>
      </w:pPr>
      <w:r w:rsidRPr="00A0168B">
        <w:rPr>
          <w:rFonts w:ascii="Times New Roman" w:hAnsi="Times New Roman"/>
          <w:sz w:val="24"/>
          <w:szCs w:val="24"/>
          <w:lang w:val="en-US" w:eastAsia="tr-TR"/>
        </w:rPr>
        <w:t xml:space="preserve">One-way ANOVA and </w:t>
      </w:r>
      <w:r w:rsidRPr="00A0168B">
        <w:rPr>
          <w:rFonts w:ascii="Times New Roman" w:hAnsi="Times New Roman"/>
          <w:noProof/>
          <w:sz w:val="24"/>
          <w:szCs w:val="24"/>
          <w:lang w:val="en-US" w:eastAsia="tr-TR"/>
        </w:rPr>
        <w:t>One-sample</w:t>
      </w:r>
      <w:r w:rsidRPr="00A0168B">
        <w:rPr>
          <w:rFonts w:ascii="Times New Roman" w:hAnsi="Times New Roman"/>
          <w:sz w:val="24"/>
          <w:szCs w:val="24"/>
          <w:lang w:val="en-US" w:eastAsia="tr-TR"/>
        </w:rPr>
        <w:t xml:space="preserve"> </w:t>
      </w:r>
      <w:r w:rsidRPr="00A0168B">
        <w:rPr>
          <w:rFonts w:ascii="Times New Roman" w:hAnsi="Times New Roman"/>
          <w:noProof/>
          <w:sz w:val="24"/>
          <w:szCs w:val="24"/>
          <w:lang w:val="en-US" w:eastAsia="tr-TR"/>
        </w:rPr>
        <w:t>t-tests</w:t>
      </w:r>
      <w:r w:rsidRPr="00A0168B">
        <w:rPr>
          <w:rFonts w:ascii="Times New Roman" w:hAnsi="Times New Roman"/>
          <w:sz w:val="24"/>
          <w:szCs w:val="24"/>
          <w:lang w:val="en-US" w:eastAsia="tr-TR"/>
        </w:rPr>
        <w:t xml:space="preserve"> were conducted for the statistical comparison (18).</w:t>
      </w:r>
    </w:p>
    <w:p w:rsidR="00622F23" w:rsidRDefault="00622F23" w:rsidP="00622F23">
      <w:pPr>
        <w:autoSpaceDE w:val="0"/>
        <w:autoSpaceDN w:val="0"/>
        <w:adjustRightInd w:val="0"/>
        <w:spacing w:after="0" w:line="240" w:lineRule="auto"/>
        <w:jc w:val="both"/>
        <w:rPr>
          <w:rFonts w:ascii="Times New Roman" w:hAnsi="Times New Roman"/>
          <w:b/>
          <w:caps/>
          <w:sz w:val="24"/>
          <w:szCs w:val="24"/>
          <w:lang w:val="en-US" w:eastAsia="tr-TR"/>
        </w:rPr>
      </w:pPr>
    </w:p>
    <w:p w:rsidR="00622F23" w:rsidRPr="00A0168B" w:rsidRDefault="00622F23" w:rsidP="00622F23">
      <w:pPr>
        <w:autoSpaceDE w:val="0"/>
        <w:autoSpaceDN w:val="0"/>
        <w:adjustRightInd w:val="0"/>
        <w:spacing w:after="0" w:line="240" w:lineRule="auto"/>
        <w:jc w:val="both"/>
        <w:rPr>
          <w:rFonts w:ascii="Times New Roman" w:hAnsi="Times New Roman"/>
          <w:b/>
          <w:caps/>
          <w:sz w:val="24"/>
          <w:szCs w:val="24"/>
          <w:lang w:val="en-US" w:eastAsia="tr-TR"/>
        </w:rPr>
      </w:pPr>
      <w:r w:rsidRPr="00A0168B">
        <w:rPr>
          <w:rFonts w:ascii="Times New Roman" w:hAnsi="Times New Roman"/>
          <w:b/>
          <w:caps/>
          <w:sz w:val="24"/>
          <w:szCs w:val="24"/>
          <w:lang w:val="en-US" w:eastAsia="tr-TR"/>
        </w:rPr>
        <w:t>Results</w:t>
      </w: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hAnsi="Times New Roman"/>
          <w:sz w:val="24"/>
          <w:szCs w:val="24"/>
          <w:lang w:val="en-US" w:eastAsia="tr-TR"/>
        </w:rPr>
        <w:t xml:space="preserve">The mean recoveries of HMF and F were found as 101.8% and 99.1%, respectively. </w:t>
      </w:r>
      <w:r w:rsidRPr="00A0168B">
        <w:rPr>
          <w:rFonts w:ascii="Times New Roman" w:hAnsi="Times New Roman"/>
          <w:sz w:val="24"/>
          <w:szCs w:val="24"/>
          <w:lang w:val="en-US"/>
        </w:rPr>
        <w:t xml:space="preserve">The precision of the method was assessed by </w:t>
      </w:r>
      <w:r w:rsidRPr="00A0168B">
        <w:rPr>
          <w:rFonts w:ascii="Times New Roman" w:hAnsi="Times New Roman"/>
          <w:noProof/>
          <w:sz w:val="24"/>
          <w:szCs w:val="24"/>
          <w:lang w:val="en-US"/>
        </w:rPr>
        <w:t>Intra-day</w:t>
      </w:r>
      <w:r w:rsidRPr="00A0168B">
        <w:rPr>
          <w:rFonts w:ascii="Times New Roman" w:hAnsi="Times New Roman"/>
          <w:sz w:val="24"/>
          <w:szCs w:val="24"/>
          <w:lang w:val="en-US"/>
        </w:rPr>
        <w:t xml:space="preserve"> and inter-day repeatability of responses after replicate injection (n=5) of standard solutions (0.05 µg/mL). The values of percent relative standard deviation (RSD %) of </w:t>
      </w:r>
      <w:r w:rsidRPr="00A0168B">
        <w:rPr>
          <w:rFonts w:ascii="Times New Roman" w:hAnsi="Times New Roman"/>
          <w:noProof/>
          <w:sz w:val="24"/>
          <w:szCs w:val="24"/>
          <w:lang w:val="en-US"/>
        </w:rPr>
        <w:t>Intra-day</w:t>
      </w:r>
      <w:r w:rsidRPr="00A0168B">
        <w:rPr>
          <w:rFonts w:ascii="Times New Roman" w:hAnsi="Times New Roman"/>
          <w:sz w:val="24"/>
          <w:szCs w:val="24"/>
          <w:lang w:val="en-US"/>
        </w:rPr>
        <w:t xml:space="preserve"> and inter-day precision of HMF and F were calculated as 1.45% - 2.68%, and 0.35% - 3.9%, respectively (Table 1). The linear regression equations of HMF and F were determined as y = 127.26x+54.483 and y = 84.587x+10.263, respectively.</w:t>
      </w:r>
    </w:p>
    <w:p w:rsidR="00622F23" w:rsidRDefault="00622F23" w:rsidP="00622F23">
      <w:pPr>
        <w:autoSpaceDE w:val="0"/>
        <w:autoSpaceDN w:val="0"/>
        <w:adjustRightInd w:val="0"/>
        <w:spacing w:after="0" w:line="480" w:lineRule="auto"/>
        <w:jc w:val="both"/>
        <w:rPr>
          <w:rFonts w:ascii="Times New Roman" w:hAnsi="Times New Roman"/>
          <w:b/>
          <w:sz w:val="24"/>
          <w:szCs w:val="24"/>
          <w:lang w:val="en-US"/>
        </w:rPr>
        <w:sectPr w:rsidR="00622F23" w:rsidSect="00694778">
          <w:headerReference w:type="first" r:id="rId29"/>
          <w:footerReference w:type="first" r:id="rId30"/>
          <w:type w:val="continuous"/>
          <w:pgSz w:w="11906" w:h="16838"/>
          <w:pgMar w:top="1417" w:right="1417" w:bottom="1417" w:left="1417" w:header="708" w:footer="708" w:gutter="0"/>
          <w:cols w:num="2" w:space="708"/>
          <w:titlePg/>
          <w:docGrid w:linePitch="360"/>
        </w:sectPr>
      </w:pPr>
    </w:p>
    <w:p w:rsidR="00622F23" w:rsidRDefault="00622F23" w:rsidP="00622F23">
      <w:pPr>
        <w:autoSpaceDE w:val="0"/>
        <w:autoSpaceDN w:val="0"/>
        <w:adjustRightInd w:val="0"/>
        <w:spacing w:after="0" w:line="480" w:lineRule="auto"/>
        <w:jc w:val="both"/>
        <w:rPr>
          <w:rFonts w:ascii="Times New Roman" w:hAnsi="Times New Roman"/>
          <w:b/>
          <w:sz w:val="24"/>
          <w:szCs w:val="24"/>
          <w:lang w:val="en-US"/>
        </w:rPr>
      </w:pPr>
    </w:p>
    <w:p w:rsidR="00622F23" w:rsidRPr="00A0168B" w:rsidRDefault="00622F23" w:rsidP="00622F23">
      <w:pPr>
        <w:autoSpaceDE w:val="0"/>
        <w:autoSpaceDN w:val="0"/>
        <w:adjustRightInd w:val="0"/>
        <w:spacing w:after="0" w:line="480" w:lineRule="auto"/>
        <w:jc w:val="both"/>
        <w:rPr>
          <w:rFonts w:ascii="Times New Roman" w:hAnsi="Times New Roman"/>
          <w:sz w:val="24"/>
          <w:szCs w:val="24"/>
          <w:lang w:val="en-US"/>
        </w:rPr>
      </w:pPr>
      <w:r w:rsidRPr="00694778">
        <w:rPr>
          <w:rFonts w:ascii="Times New Roman" w:hAnsi="Times New Roman"/>
          <w:b/>
          <w:sz w:val="24"/>
          <w:szCs w:val="24"/>
          <w:lang w:val="en-US"/>
        </w:rPr>
        <w:t>Table 1.</w:t>
      </w:r>
      <w:r w:rsidRPr="00A0168B">
        <w:rPr>
          <w:rFonts w:ascii="Times New Roman" w:hAnsi="Times New Roman"/>
          <w:sz w:val="24"/>
          <w:szCs w:val="24"/>
          <w:lang w:val="en-US"/>
        </w:rPr>
        <w:t xml:space="preserve"> Method performance of HMF and F</w:t>
      </w:r>
    </w:p>
    <w:tbl>
      <w:tblPr>
        <w:tblW w:w="0" w:type="auto"/>
        <w:tblLook w:val="04A0" w:firstRow="1" w:lastRow="0" w:firstColumn="1" w:lastColumn="0" w:noHBand="0" w:noVBand="1"/>
      </w:tblPr>
      <w:tblGrid>
        <w:gridCol w:w="976"/>
        <w:gridCol w:w="1180"/>
        <w:gridCol w:w="1372"/>
        <w:gridCol w:w="1321"/>
        <w:gridCol w:w="1939"/>
        <w:gridCol w:w="1559"/>
      </w:tblGrid>
      <w:tr w:rsidR="00622F23" w:rsidRPr="00A0168B" w:rsidTr="00517147">
        <w:tc>
          <w:tcPr>
            <w:tcW w:w="913"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Analyte</w:t>
            </w:r>
          </w:p>
        </w:tc>
        <w:tc>
          <w:tcPr>
            <w:tcW w:w="1180"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Matrix</w:t>
            </w:r>
          </w:p>
        </w:tc>
        <w:tc>
          <w:tcPr>
            <w:tcW w:w="1372"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LOD mg/L</w:t>
            </w:r>
          </w:p>
        </w:tc>
        <w:tc>
          <w:tcPr>
            <w:tcW w:w="1321"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LOQ mg/L</w:t>
            </w:r>
          </w:p>
        </w:tc>
        <w:tc>
          <w:tcPr>
            <w:tcW w:w="1939"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Recovery Range %</w:t>
            </w:r>
          </w:p>
        </w:tc>
        <w:tc>
          <w:tcPr>
            <w:tcW w:w="1559" w:type="dxa"/>
            <w:tcBorders>
              <w:top w:val="single" w:sz="4" w:space="0" w:color="auto"/>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RSD, % (n=5)</w:t>
            </w:r>
          </w:p>
        </w:tc>
      </w:tr>
      <w:tr w:rsidR="00622F23" w:rsidRPr="00A0168B" w:rsidTr="00517147">
        <w:tc>
          <w:tcPr>
            <w:tcW w:w="913"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HMF</w:t>
            </w:r>
          </w:p>
        </w:tc>
        <w:tc>
          <w:tcPr>
            <w:tcW w:w="118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Fruit juice</w:t>
            </w:r>
          </w:p>
        </w:tc>
        <w:tc>
          <w:tcPr>
            <w:tcW w:w="1372"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0.0017</w:t>
            </w:r>
          </w:p>
        </w:tc>
        <w:tc>
          <w:tcPr>
            <w:tcW w:w="1321"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0.0055</w:t>
            </w:r>
          </w:p>
        </w:tc>
        <w:tc>
          <w:tcPr>
            <w:tcW w:w="1939"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101.8</w:t>
            </w:r>
          </w:p>
        </w:tc>
        <w:tc>
          <w:tcPr>
            <w:tcW w:w="1559"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3.90</w:t>
            </w:r>
          </w:p>
        </w:tc>
      </w:tr>
      <w:tr w:rsidR="00622F23" w:rsidRPr="00A0168B" w:rsidTr="00517147">
        <w:tc>
          <w:tcPr>
            <w:tcW w:w="913"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F</w:t>
            </w:r>
          </w:p>
        </w:tc>
        <w:tc>
          <w:tcPr>
            <w:tcW w:w="118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Fruit juice</w:t>
            </w:r>
          </w:p>
        </w:tc>
        <w:tc>
          <w:tcPr>
            <w:tcW w:w="1372"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0.0018</w:t>
            </w:r>
          </w:p>
        </w:tc>
        <w:tc>
          <w:tcPr>
            <w:tcW w:w="1321"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0.0059</w:t>
            </w:r>
          </w:p>
        </w:tc>
        <w:tc>
          <w:tcPr>
            <w:tcW w:w="1939"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99.1</w:t>
            </w:r>
          </w:p>
        </w:tc>
        <w:tc>
          <w:tcPr>
            <w:tcW w:w="1559"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hAnsi="Times New Roman"/>
                <w:sz w:val="24"/>
                <w:szCs w:val="24"/>
                <w:lang w:val="en-US"/>
              </w:rPr>
            </w:pPr>
            <w:r w:rsidRPr="00A0168B">
              <w:rPr>
                <w:rFonts w:ascii="Times New Roman" w:hAnsi="Times New Roman"/>
                <w:sz w:val="24"/>
                <w:szCs w:val="24"/>
                <w:lang w:val="en-US"/>
              </w:rPr>
              <w:t>0.35</w:t>
            </w:r>
          </w:p>
        </w:tc>
      </w:tr>
    </w:tbl>
    <w:p w:rsidR="00622F23" w:rsidRDefault="00622F23" w:rsidP="00622F23">
      <w:pPr>
        <w:autoSpaceDE w:val="0"/>
        <w:autoSpaceDN w:val="0"/>
        <w:adjustRightInd w:val="0"/>
        <w:spacing w:after="0" w:line="480" w:lineRule="auto"/>
        <w:ind w:firstLine="426"/>
        <w:jc w:val="both"/>
        <w:rPr>
          <w:rFonts w:ascii="Times New Roman" w:hAnsi="Times New Roman"/>
          <w:sz w:val="24"/>
          <w:szCs w:val="24"/>
          <w:lang w:val="en-US"/>
        </w:rPr>
      </w:pPr>
    </w:p>
    <w:p w:rsidR="00622F23" w:rsidRDefault="00622F23" w:rsidP="00622F23">
      <w:pPr>
        <w:autoSpaceDE w:val="0"/>
        <w:autoSpaceDN w:val="0"/>
        <w:adjustRightInd w:val="0"/>
        <w:spacing w:after="0" w:line="480" w:lineRule="auto"/>
        <w:jc w:val="both"/>
        <w:rPr>
          <w:rFonts w:ascii="Times New Roman" w:eastAsia="Times New Roman" w:hAnsi="Times New Roman"/>
          <w:sz w:val="24"/>
          <w:szCs w:val="24"/>
          <w:lang w:val="en-US" w:eastAsia="tr-TR"/>
        </w:rPr>
        <w:sectPr w:rsidR="00622F23" w:rsidSect="00694778">
          <w:type w:val="continuous"/>
          <w:pgSz w:w="11906" w:h="16838"/>
          <w:pgMar w:top="1417" w:right="1417" w:bottom="1417" w:left="1417" w:header="708" w:footer="708" w:gutter="0"/>
          <w:cols w:space="708"/>
          <w:titlePg/>
          <w:docGrid w:linePitch="360"/>
        </w:sect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eastAsia="Times New Roman" w:hAnsi="Times New Roman"/>
          <w:sz w:val="24"/>
          <w:szCs w:val="24"/>
          <w:lang w:val="en-US" w:eastAsia="tr-TR"/>
        </w:rPr>
        <w:lastRenderedPageBreak/>
        <w:t xml:space="preserve">A total of 100 samples of fruit juice were </w:t>
      </w:r>
      <w:r w:rsidRPr="00A0168B">
        <w:rPr>
          <w:rFonts w:ascii="Times New Roman" w:eastAsia="Times New Roman" w:hAnsi="Times New Roman"/>
          <w:noProof/>
          <w:sz w:val="24"/>
          <w:szCs w:val="24"/>
          <w:lang w:val="en-US" w:eastAsia="tr-TR"/>
        </w:rPr>
        <w:t>analyzed</w:t>
      </w:r>
      <w:r w:rsidRPr="00A0168B">
        <w:rPr>
          <w:rFonts w:ascii="Times New Roman" w:eastAsia="Times New Roman" w:hAnsi="Times New Roman"/>
          <w:sz w:val="24"/>
          <w:szCs w:val="24"/>
          <w:lang w:val="en-US" w:eastAsia="tr-TR"/>
        </w:rPr>
        <w:t xml:space="preserve"> and HMF and F were present in all of the </w:t>
      </w:r>
      <w:r w:rsidRPr="00A0168B">
        <w:rPr>
          <w:rFonts w:ascii="Times New Roman" w:eastAsia="Times New Roman" w:hAnsi="Times New Roman"/>
          <w:noProof/>
          <w:sz w:val="24"/>
          <w:szCs w:val="24"/>
          <w:lang w:val="en-US" w:eastAsia="tr-TR"/>
        </w:rPr>
        <w:t>examined</w:t>
      </w:r>
      <w:r w:rsidRPr="00A0168B">
        <w:rPr>
          <w:rFonts w:ascii="Times New Roman" w:eastAsia="Times New Roman" w:hAnsi="Times New Roman"/>
          <w:sz w:val="24"/>
          <w:szCs w:val="24"/>
          <w:lang w:val="en-US" w:eastAsia="tr-TR"/>
        </w:rPr>
        <w:t xml:space="preserve"> samples. </w:t>
      </w:r>
      <w:r w:rsidRPr="00A0168B">
        <w:rPr>
          <w:rFonts w:ascii="Times New Roman" w:hAnsi="Times New Roman"/>
          <w:sz w:val="24"/>
          <w:szCs w:val="24"/>
          <w:lang w:val="en-US" w:eastAsia="tr-TR"/>
        </w:rPr>
        <w:t>The levels of HMF and F in fruit juice samples were shown in Table 2 and Table 3, respectively. All of the analyses were performed in three times for each sample. The results of the HMF and F analyses were evaluated in accordance with the maximum limit value (10 mg/L) for</w:t>
      </w:r>
      <w:r w:rsidRPr="00A0168B">
        <w:rPr>
          <w:rFonts w:ascii="Times New Roman" w:hAnsi="Times New Roman"/>
          <w:sz w:val="24"/>
          <w:szCs w:val="24"/>
          <w:lang w:val="en-US"/>
        </w:rPr>
        <w:t xml:space="preserve"> apple juice, peach nectar, apricot and cherry nectar </w:t>
      </w:r>
      <w:r w:rsidRPr="00A0168B">
        <w:rPr>
          <w:rFonts w:ascii="Times New Roman" w:hAnsi="Times New Roman"/>
          <w:sz w:val="24"/>
          <w:szCs w:val="24"/>
          <w:lang w:val="en-US" w:eastAsia="tr-TR"/>
        </w:rPr>
        <w:t>established by TSI.</w:t>
      </w:r>
      <w:r w:rsidRPr="00A0168B">
        <w:rPr>
          <w:rFonts w:ascii="Times New Roman" w:hAnsi="Times New Roman"/>
          <w:sz w:val="24"/>
          <w:szCs w:val="24"/>
          <w:lang w:val="en-US"/>
        </w:rPr>
        <w:t xml:space="preserve"> The minimum and maximum HMF </w:t>
      </w:r>
      <w:r w:rsidRPr="00A0168B">
        <w:rPr>
          <w:rFonts w:ascii="Times New Roman" w:hAnsi="Times New Roman"/>
          <w:sz w:val="24"/>
          <w:szCs w:val="24"/>
          <w:lang w:val="en-US"/>
        </w:rPr>
        <w:lastRenderedPageBreak/>
        <w:t>levels of samples were determined as 63.89-162.27 mg/L. In addition, potential F concentrations of samples were ranged from 0.19 to 4.85 mg/L. The mean HMF values (±SE) of A, B, C, D and E brands were determined to be 85.82±3.51, 97.60±3.85, 101.08±4.50, 105.84±4.35 and 104.27±4.51 mg/L, respectively. Mean F values (±SE) of A, B, C, D and E brands were also determined to be 1.11±0.16, 1.34±0.12, 1.24±0.09, 1.15±0.11 and 1.46±0.24 mg/L, respectively.</w:t>
      </w:r>
    </w:p>
    <w:p w:rsidR="00622F23" w:rsidRDefault="00622F23" w:rsidP="00622F23">
      <w:pPr>
        <w:spacing w:after="0" w:line="480" w:lineRule="auto"/>
        <w:rPr>
          <w:rFonts w:ascii="Times New Roman" w:hAnsi="Times New Roman"/>
          <w:sz w:val="24"/>
          <w:szCs w:val="24"/>
          <w:lang w:val="en-US"/>
        </w:rPr>
        <w:sectPr w:rsidR="00622F23" w:rsidSect="00694778">
          <w:type w:val="continuous"/>
          <w:pgSz w:w="11906" w:h="16838"/>
          <w:pgMar w:top="1417" w:right="1417" w:bottom="1417" w:left="1417" w:header="708" w:footer="708" w:gutter="0"/>
          <w:cols w:num="2" w:space="708"/>
          <w:titlePg/>
          <w:docGrid w:linePitch="360"/>
        </w:sectPr>
      </w:pPr>
    </w:p>
    <w:p w:rsidR="00622F23" w:rsidRDefault="00622F23" w:rsidP="00622F23">
      <w:pPr>
        <w:spacing w:after="0" w:line="480" w:lineRule="auto"/>
        <w:rPr>
          <w:rFonts w:ascii="Times New Roman" w:hAnsi="Times New Roman"/>
          <w:b/>
          <w:sz w:val="24"/>
          <w:szCs w:val="24"/>
          <w:lang w:val="en-US"/>
        </w:rPr>
      </w:pPr>
    </w:p>
    <w:p w:rsidR="00622F23" w:rsidRPr="00A0168B" w:rsidRDefault="00622F23" w:rsidP="00622F23">
      <w:pPr>
        <w:spacing w:after="0" w:line="480" w:lineRule="auto"/>
        <w:rPr>
          <w:rFonts w:ascii="Times New Roman" w:hAnsi="Times New Roman"/>
          <w:sz w:val="24"/>
          <w:szCs w:val="24"/>
          <w:lang w:val="en-US"/>
        </w:rPr>
      </w:pPr>
      <w:r w:rsidRPr="00694778">
        <w:rPr>
          <w:rFonts w:ascii="Times New Roman" w:hAnsi="Times New Roman"/>
          <w:b/>
          <w:sz w:val="24"/>
          <w:szCs w:val="24"/>
          <w:lang w:val="en-US"/>
        </w:rPr>
        <w:t>Table 2.</w:t>
      </w:r>
      <w:r w:rsidRPr="00A0168B">
        <w:rPr>
          <w:rFonts w:ascii="Times New Roman" w:hAnsi="Times New Roman"/>
          <w:sz w:val="24"/>
          <w:szCs w:val="24"/>
          <w:lang w:val="en-US"/>
        </w:rPr>
        <w:t xml:space="preserve"> HMF values </w:t>
      </w:r>
      <w:r w:rsidRPr="00A0168B">
        <w:rPr>
          <w:rFonts w:ascii="Times New Roman" w:eastAsia="Times New Roman" w:hAnsi="Times New Roman"/>
          <w:sz w:val="24"/>
          <w:szCs w:val="24"/>
          <w:lang w:val="en-US" w:eastAsia="en-GB"/>
        </w:rPr>
        <w:t>(</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 xml:space="preserve">) </w:t>
      </w:r>
      <w:r w:rsidRPr="00A0168B">
        <w:rPr>
          <w:rFonts w:ascii="Times New Roman" w:hAnsi="Times New Roman"/>
          <w:sz w:val="24"/>
          <w:szCs w:val="24"/>
          <w:lang w:val="en-US"/>
        </w:rPr>
        <w:t>of fruit juice samples</w:t>
      </w:r>
    </w:p>
    <w:tbl>
      <w:tblPr>
        <w:tblW w:w="8222" w:type="dxa"/>
        <w:tblInd w:w="-34" w:type="dxa"/>
        <w:tblLook w:val="04A0" w:firstRow="1" w:lastRow="0" w:firstColumn="1" w:lastColumn="0" w:noHBand="0" w:noVBand="1"/>
      </w:tblPr>
      <w:tblGrid>
        <w:gridCol w:w="390"/>
        <w:gridCol w:w="950"/>
        <w:gridCol w:w="843"/>
        <w:gridCol w:w="2495"/>
        <w:gridCol w:w="1843"/>
        <w:gridCol w:w="1701"/>
      </w:tblGrid>
      <w:tr w:rsidR="00622F23" w:rsidRPr="00A0168B" w:rsidTr="00517147">
        <w:trPr>
          <w:trHeight w:val="191"/>
        </w:trPr>
        <w:tc>
          <w:tcPr>
            <w:tcW w:w="1340" w:type="dxa"/>
            <w:gridSpan w:val="2"/>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Brands</w:t>
            </w:r>
          </w:p>
        </w:tc>
        <w:tc>
          <w:tcPr>
            <w:tcW w:w="843"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N</w:t>
            </w:r>
          </w:p>
        </w:tc>
        <w:tc>
          <w:tcPr>
            <w:tcW w:w="2495"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Mean±SE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c>
          <w:tcPr>
            <w:tcW w:w="1843"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Min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c>
          <w:tcPr>
            <w:tcW w:w="1701"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Max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A</w:t>
            </w:r>
          </w:p>
        </w:tc>
        <w:tc>
          <w:tcPr>
            <w:tcW w:w="950" w:type="dxa"/>
            <w:tcBorders>
              <w:top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83.73±5.40</w:t>
            </w:r>
          </w:p>
        </w:tc>
        <w:tc>
          <w:tcPr>
            <w:tcW w:w="1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73.69</w:t>
            </w:r>
          </w:p>
        </w:tc>
        <w:tc>
          <w:tcPr>
            <w:tcW w:w="1701"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103.39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94.97±7.79</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70.54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111.92</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80.56±4.58</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70.46</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94.02</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84.02±9.70</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63.89</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119.36</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95"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85.82±3.51</w:t>
            </w:r>
            <w:r w:rsidRPr="00A0168B">
              <w:rPr>
                <w:rFonts w:ascii="Times New Roman" w:eastAsia="Times New Roman" w:hAnsi="Times New Roman"/>
                <w:sz w:val="24"/>
                <w:szCs w:val="24"/>
                <w:vertAlign w:val="superscript"/>
                <w:lang w:val="en-US" w:eastAsia="en-GB"/>
              </w:rPr>
              <w:t>a</w:t>
            </w:r>
          </w:p>
        </w:tc>
        <w:tc>
          <w:tcPr>
            <w:tcW w:w="1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63.89</w:t>
            </w:r>
          </w:p>
        </w:tc>
        <w:tc>
          <w:tcPr>
            <w:tcW w:w="1701"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119.36</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B</w:t>
            </w:r>
          </w:p>
        </w:tc>
        <w:tc>
          <w:tcPr>
            <w:tcW w:w="950" w:type="dxa"/>
            <w:tcBorders>
              <w:top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92.91±6.49</w:t>
            </w:r>
          </w:p>
        </w:tc>
        <w:tc>
          <w:tcPr>
            <w:tcW w:w="1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74.81</w:t>
            </w:r>
          </w:p>
        </w:tc>
        <w:tc>
          <w:tcPr>
            <w:tcW w:w="1701"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109.44</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106.36±10.74</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71.41</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133.42</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95.72±8.37</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74.03</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120.82</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95.39±5.20</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77.32</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107.39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95"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97.60±3.85</w:t>
            </w:r>
            <w:r w:rsidRPr="00A0168B">
              <w:rPr>
                <w:rFonts w:ascii="Times New Roman" w:eastAsia="Times New Roman" w:hAnsi="Times New Roman"/>
                <w:sz w:val="24"/>
                <w:szCs w:val="24"/>
                <w:vertAlign w:val="superscript"/>
                <w:lang w:val="en-US" w:eastAsia="en-GB"/>
              </w:rPr>
              <w:t>b</w:t>
            </w:r>
          </w:p>
        </w:tc>
        <w:tc>
          <w:tcPr>
            <w:tcW w:w="1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71.41</w:t>
            </w:r>
          </w:p>
        </w:tc>
        <w:tc>
          <w:tcPr>
            <w:tcW w:w="1701"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133.42</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C</w:t>
            </w:r>
          </w:p>
        </w:tc>
        <w:tc>
          <w:tcPr>
            <w:tcW w:w="950" w:type="dxa"/>
            <w:tcBorders>
              <w:top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89.70±7.19</w:t>
            </w:r>
          </w:p>
        </w:tc>
        <w:tc>
          <w:tcPr>
            <w:tcW w:w="1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65.63</w:t>
            </w:r>
          </w:p>
        </w:tc>
        <w:tc>
          <w:tcPr>
            <w:tcW w:w="1701"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107.83</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111.37±12.56</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70.33</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140.17</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103.89±5.28</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92.04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120.51</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99.33±9.24</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80.43</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132.66</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95"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101.08±4.50</w:t>
            </w:r>
            <w:r w:rsidRPr="00A0168B">
              <w:rPr>
                <w:rFonts w:ascii="Times New Roman" w:eastAsia="Times New Roman" w:hAnsi="Times New Roman"/>
                <w:sz w:val="24"/>
                <w:szCs w:val="24"/>
                <w:vertAlign w:val="superscript"/>
                <w:lang w:val="en-US" w:eastAsia="en-GB"/>
              </w:rPr>
              <w:t>b</w:t>
            </w:r>
          </w:p>
        </w:tc>
        <w:tc>
          <w:tcPr>
            <w:tcW w:w="1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65.63</w:t>
            </w:r>
          </w:p>
        </w:tc>
        <w:tc>
          <w:tcPr>
            <w:tcW w:w="1701"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140.17</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D</w:t>
            </w:r>
          </w:p>
        </w:tc>
        <w:tc>
          <w:tcPr>
            <w:tcW w:w="950" w:type="dxa"/>
            <w:tcBorders>
              <w:top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109.66±12.43</w:t>
            </w:r>
          </w:p>
        </w:tc>
        <w:tc>
          <w:tcPr>
            <w:tcW w:w="1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65.28</w:t>
            </w:r>
          </w:p>
        </w:tc>
        <w:tc>
          <w:tcPr>
            <w:tcW w:w="1701"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134.02</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99.97±11.49</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78.70</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141.07</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108.58±5.71</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93.24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127.49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105.15±5.14</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86.14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115.79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95"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105.84±4.35</w:t>
            </w:r>
            <w:r w:rsidRPr="00A0168B">
              <w:rPr>
                <w:rFonts w:ascii="Times New Roman" w:eastAsia="Times New Roman" w:hAnsi="Times New Roman"/>
                <w:sz w:val="24"/>
                <w:szCs w:val="24"/>
                <w:vertAlign w:val="superscript"/>
                <w:lang w:val="en-US" w:eastAsia="en-GB"/>
              </w:rPr>
              <w:t>b</w:t>
            </w:r>
          </w:p>
        </w:tc>
        <w:tc>
          <w:tcPr>
            <w:tcW w:w="1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65.28</w:t>
            </w:r>
          </w:p>
        </w:tc>
        <w:tc>
          <w:tcPr>
            <w:tcW w:w="1701"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141.07</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E</w:t>
            </w:r>
          </w:p>
        </w:tc>
        <w:tc>
          <w:tcPr>
            <w:tcW w:w="950" w:type="dxa"/>
            <w:tcBorders>
              <w:top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103.18±17.02</w:t>
            </w:r>
          </w:p>
        </w:tc>
        <w:tc>
          <w:tcPr>
            <w:tcW w:w="1843"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75.37</w:t>
            </w:r>
          </w:p>
        </w:tc>
        <w:tc>
          <w:tcPr>
            <w:tcW w:w="1701" w:type="dxa"/>
            <w:tcBorders>
              <w:top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162.27</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100.16±5.38</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85.69</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113.96</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108.58±5.71</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93.24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127.49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95"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105.15±5.14</w:t>
            </w:r>
          </w:p>
        </w:tc>
        <w:tc>
          <w:tcPr>
            <w:tcW w:w="1843"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86.14</w:t>
            </w:r>
          </w:p>
        </w:tc>
        <w:tc>
          <w:tcPr>
            <w:tcW w:w="1701" w:type="dxa"/>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115.79</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95"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104.27±4.51</w:t>
            </w:r>
            <w:r w:rsidRPr="00A0168B">
              <w:rPr>
                <w:rFonts w:ascii="Times New Roman" w:eastAsia="Times New Roman" w:hAnsi="Times New Roman"/>
                <w:sz w:val="24"/>
                <w:szCs w:val="24"/>
                <w:vertAlign w:val="superscript"/>
                <w:lang w:val="en-US" w:eastAsia="en-GB"/>
              </w:rPr>
              <w:t>b</w:t>
            </w:r>
          </w:p>
        </w:tc>
        <w:tc>
          <w:tcPr>
            <w:tcW w:w="1843"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75.37</w:t>
            </w:r>
          </w:p>
        </w:tc>
        <w:tc>
          <w:tcPr>
            <w:tcW w:w="1701" w:type="dxa"/>
            <w:tcBorders>
              <w:bottom w:val="single" w:sz="4" w:space="0" w:color="auto"/>
            </w:tcBorders>
            <w:shd w:val="clear" w:color="auto" w:fill="auto"/>
            <w:noWrap/>
            <w:vAlign w:val="center"/>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162.27</w:t>
            </w:r>
          </w:p>
        </w:tc>
      </w:tr>
    </w:tbl>
    <w:p w:rsidR="00622F23" w:rsidRPr="00694778" w:rsidRDefault="00622F23" w:rsidP="00622F23">
      <w:pPr>
        <w:spacing w:after="0" w:line="240" w:lineRule="auto"/>
        <w:rPr>
          <w:rFonts w:ascii="Times New Roman" w:hAnsi="Times New Roman"/>
          <w:i/>
          <w:sz w:val="16"/>
          <w:szCs w:val="16"/>
          <w:lang w:val="en-US"/>
        </w:rPr>
      </w:pPr>
      <w:r w:rsidRPr="00694778">
        <w:rPr>
          <w:rFonts w:ascii="Times New Roman" w:hAnsi="Times New Roman"/>
          <w:i/>
          <w:sz w:val="16"/>
          <w:szCs w:val="16"/>
          <w:vertAlign w:val="superscript"/>
          <w:lang w:val="en-US"/>
        </w:rPr>
        <w:t>a-b</w:t>
      </w:r>
      <w:r w:rsidRPr="00694778">
        <w:rPr>
          <w:rFonts w:ascii="Times New Roman" w:hAnsi="Times New Roman"/>
          <w:i/>
          <w:sz w:val="16"/>
          <w:szCs w:val="16"/>
          <w:lang w:val="en-US"/>
        </w:rPr>
        <w:t>: within a column, means with different letters are significantly different from each other at p&lt;0.01.</w:t>
      </w:r>
    </w:p>
    <w:p w:rsidR="00622F23" w:rsidRPr="00694778" w:rsidRDefault="00622F23" w:rsidP="00622F23">
      <w:pPr>
        <w:spacing w:line="240" w:lineRule="auto"/>
        <w:rPr>
          <w:rFonts w:ascii="Times New Roman" w:hAnsi="Times New Roman"/>
          <w:i/>
          <w:sz w:val="16"/>
          <w:szCs w:val="16"/>
          <w:lang w:val="en-US"/>
        </w:rPr>
      </w:pPr>
      <w:r w:rsidRPr="00694778">
        <w:rPr>
          <w:rFonts w:ascii="Times New Roman" w:hAnsi="Times New Roman"/>
          <w:i/>
          <w:noProof/>
          <w:sz w:val="16"/>
          <w:szCs w:val="16"/>
          <w:lang w:val="en-US"/>
        </w:rPr>
        <w:t>The difference</w:t>
      </w:r>
      <w:r w:rsidRPr="00694778">
        <w:rPr>
          <w:rFonts w:ascii="Times New Roman" w:hAnsi="Times New Roman"/>
          <w:i/>
          <w:sz w:val="16"/>
          <w:szCs w:val="16"/>
          <w:lang w:val="en-US"/>
        </w:rPr>
        <w:t xml:space="preserve"> between HMF values of juices types for each </w:t>
      </w:r>
      <w:r w:rsidRPr="00694778">
        <w:rPr>
          <w:rFonts w:ascii="Times New Roman" w:hAnsi="Times New Roman"/>
          <w:i/>
          <w:noProof/>
          <w:sz w:val="16"/>
          <w:szCs w:val="16"/>
          <w:lang w:val="en-US"/>
        </w:rPr>
        <w:t>brand</w:t>
      </w:r>
      <w:r w:rsidRPr="00694778">
        <w:rPr>
          <w:rFonts w:ascii="Times New Roman" w:hAnsi="Times New Roman"/>
          <w:i/>
          <w:sz w:val="16"/>
          <w:szCs w:val="16"/>
          <w:lang w:val="en-US"/>
        </w:rPr>
        <w:t xml:space="preserve"> </w:t>
      </w:r>
      <w:r w:rsidRPr="00694778">
        <w:rPr>
          <w:rFonts w:ascii="Times New Roman" w:hAnsi="Times New Roman"/>
          <w:i/>
          <w:noProof/>
          <w:sz w:val="16"/>
          <w:szCs w:val="16"/>
          <w:lang w:val="en-US"/>
        </w:rPr>
        <w:t>was</w:t>
      </w:r>
      <w:r w:rsidRPr="00694778">
        <w:rPr>
          <w:rFonts w:ascii="Times New Roman" w:hAnsi="Times New Roman"/>
          <w:i/>
          <w:sz w:val="16"/>
          <w:szCs w:val="16"/>
          <w:lang w:val="en-US"/>
        </w:rPr>
        <w:t xml:space="preserve"> not significant (p&gt;0.05).</w:t>
      </w:r>
    </w:p>
    <w:p w:rsidR="00622F23" w:rsidRDefault="00622F23" w:rsidP="00622F23">
      <w:pPr>
        <w:spacing w:after="0" w:line="240" w:lineRule="auto"/>
        <w:jc w:val="both"/>
        <w:rPr>
          <w:rFonts w:ascii="Times New Roman" w:hAnsi="Times New Roman"/>
          <w:sz w:val="24"/>
          <w:szCs w:val="24"/>
          <w:lang w:val="en-US"/>
        </w:rPr>
      </w:pPr>
    </w:p>
    <w:p w:rsidR="00622F23" w:rsidRDefault="00622F23" w:rsidP="00622F23">
      <w:pPr>
        <w:spacing w:after="0" w:line="240" w:lineRule="auto"/>
        <w:jc w:val="both"/>
        <w:rPr>
          <w:rFonts w:ascii="Times New Roman" w:hAnsi="Times New Roman"/>
          <w:sz w:val="24"/>
          <w:szCs w:val="24"/>
          <w:lang w:val="en-US"/>
        </w:rPr>
        <w:sectPr w:rsidR="00622F23" w:rsidSect="00694778">
          <w:type w:val="continuous"/>
          <w:pgSz w:w="11906" w:h="16838"/>
          <w:pgMar w:top="1417" w:right="1417" w:bottom="1417" w:left="1417" w:header="708" w:footer="708" w:gutter="0"/>
          <w:cols w:space="708"/>
          <w:titlePg/>
          <w:docGrid w:linePitch="360"/>
        </w:sectPr>
      </w:pPr>
    </w:p>
    <w:p w:rsidR="00622F23" w:rsidRPr="00FE66DC" w:rsidRDefault="00622F23" w:rsidP="00622F23">
      <w:pPr>
        <w:spacing w:after="0" w:line="240" w:lineRule="auto"/>
        <w:jc w:val="both"/>
        <w:rPr>
          <w:rFonts w:ascii="Times New Roman" w:hAnsi="Times New Roman"/>
          <w:lang w:val="en-US"/>
        </w:rPr>
      </w:pPr>
      <w:r w:rsidRPr="00A0168B">
        <w:rPr>
          <w:rFonts w:ascii="Times New Roman" w:hAnsi="Times New Roman"/>
          <w:sz w:val="24"/>
          <w:szCs w:val="24"/>
          <w:lang w:val="en-US"/>
        </w:rPr>
        <w:lastRenderedPageBreak/>
        <w:t xml:space="preserve">Our data revealed that </w:t>
      </w:r>
      <w:r w:rsidRPr="00A0168B">
        <w:rPr>
          <w:rFonts w:ascii="Times New Roman" w:hAnsi="Times New Roman"/>
          <w:sz w:val="24"/>
          <w:szCs w:val="24"/>
          <w:shd w:val="clear" w:color="auto" w:fill="FFFFFF"/>
          <w:lang w:val="en-US"/>
        </w:rPr>
        <w:t>HMF levels of all samples were determined as higher than F levels.</w:t>
      </w:r>
      <w:r w:rsidRPr="00A0168B">
        <w:rPr>
          <w:rFonts w:ascii="Times New Roman" w:hAnsi="Times New Roman"/>
          <w:sz w:val="24"/>
          <w:szCs w:val="24"/>
          <w:lang w:val="en-US"/>
        </w:rPr>
        <w:t xml:space="preserve"> For HMF, the difference between brands </w:t>
      </w:r>
      <w:r w:rsidRPr="00A0168B">
        <w:rPr>
          <w:rFonts w:ascii="Times New Roman" w:hAnsi="Times New Roman"/>
          <w:noProof/>
          <w:sz w:val="24"/>
          <w:szCs w:val="24"/>
          <w:lang w:val="en-US"/>
        </w:rPr>
        <w:t>was</w:t>
      </w:r>
      <w:r w:rsidRPr="00A0168B">
        <w:rPr>
          <w:rFonts w:ascii="Times New Roman" w:hAnsi="Times New Roman"/>
          <w:sz w:val="24"/>
          <w:szCs w:val="24"/>
          <w:lang w:val="en-US"/>
        </w:rPr>
        <w:t xml:space="preserve"> statistically significant in fruit juice samples (p&lt;0.01) while the </w:t>
      </w:r>
      <w:r w:rsidRPr="00A0168B">
        <w:rPr>
          <w:rFonts w:ascii="Times New Roman" w:hAnsi="Times New Roman"/>
          <w:noProof/>
          <w:sz w:val="24"/>
          <w:szCs w:val="24"/>
          <w:lang w:val="en-US"/>
        </w:rPr>
        <w:t>difference</w:t>
      </w:r>
      <w:r w:rsidRPr="00A0168B">
        <w:rPr>
          <w:rFonts w:ascii="Times New Roman" w:hAnsi="Times New Roman"/>
          <w:sz w:val="24"/>
          <w:szCs w:val="24"/>
          <w:lang w:val="en-US"/>
        </w:rPr>
        <w:t xml:space="preserve"> between HMF values of juices types for each </w:t>
      </w:r>
      <w:r w:rsidRPr="00A0168B">
        <w:rPr>
          <w:rFonts w:ascii="Times New Roman" w:hAnsi="Times New Roman"/>
          <w:noProof/>
          <w:sz w:val="24"/>
          <w:szCs w:val="24"/>
          <w:lang w:val="en-US"/>
        </w:rPr>
        <w:t>brand</w:t>
      </w:r>
      <w:r w:rsidRPr="00A0168B">
        <w:rPr>
          <w:rFonts w:ascii="Times New Roman" w:hAnsi="Times New Roman"/>
          <w:sz w:val="24"/>
          <w:szCs w:val="24"/>
          <w:lang w:val="en-US"/>
        </w:rPr>
        <w:t xml:space="preserve"> </w:t>
      </w:r>
      <w:r w:rsidRPr="00A0168B">
        <w:rPr>
          <w:rFonts w:ascii="Times New Roman" w:hAnsi="Times New Roman"/>
          <w:noProof/>
          <w:sz w:val="24"/>
          <w:szCs w:val="24"/>
          <w:lang w:val="en-US"/>
        </w:rPr>
        <w:t>was</w:t>
      </w:r>
      <w:r w:rsidRPr="00A0168B">
        <w:rPr>
          <w:rFonts w:ascii="Times New Roman" w:hAnsi="Times New Roman"/>
          <w:sz w:val="24"/>
          <w:szCs w:val="24"/>
          <w:lang w:val="en-US"/>
        </w:rPr>
        <w:t xml:space="preserve"> not significant (p&gt;0.05). </w:t>
      </w:r>
      <w:r w:rsidRPr="00A0168B">
        <w:rPr>
          <w:rFonts w:ascii="Times New Roman" w:hAnsi="Times New Roman"/>
          <w:noProof/>
          <w:sz w:val="24"/>
          <w:szCs w:val="24"/>
          <w:lang w:val="en-US"/>
        </w:rPr>
        <w:t>The difference</w:t>
      </w:r>
      <w:r w:rsidRPr="00A0168B">
        <w:rPr>
          <w:rFonts w:ascii="Times New Roman" w:hAnsi="Times New Roman"/>
          <w:sz w:val="24"/>
          <w:szCs w:val="24"/>
          <w:lang w:val="en-US"/>
        </w:rPr>
        <w:t xml:space="preserve"> between F values of brands </w:t>
      </w:r>
      <w:r w:rsidRPr="00A0168B">
        <w:rPr>
          <w:rFonts w:ascii="Times New Roman" w:hAnsi="Times New Roman"/>
          <w:noProof/>
          <w:sz w:val="24"/>
          <w:szCs w:val="24"/>
          <w:lang w:val="en-US"/>
        </w:rPr>
        <w:lastRenderedPageBreak/>
        <w:t>was</w:t>
      </w:r>
      <w:r w:rsidRPr="00A0168B">
        <w:rPr>
          <w:rFonts w:ascii="Times New Roman" w:hAnsi="Times New Roman"/>
          <w:sz w:val="24"/>
          <w:szCs w:val="24"/>
          <w:lang w:val="en-US"/>
        </w:rPr>
        <w:t xml:space="preserve"> not significant (p&gt;0.05). HMF values of cherry juice (p&lt;0.05) and F values of cherry juice (p&lt;0.001) and apricot nectar (p&lt;0.05) between brands were statistically different. Mean HMF value of A brand is lower than the other groups. HMF values of brands were higher than the TSI </w:t>
      </w:r>
      <w:r w:rsidRPr="00A0168B">
        <w:rPr>
          <w:rFonts w:ascii="Times New Roman" w:hAnsi="Times New Roman"/>
          <w:noProof/>
          <w:sz w:val="24"/>
          <w:szCs w:val="24"/>
          <w:lang w:val="en-US"/>
        </w:rPr>
        <w:t>limit</w:t>
      </w:r>
      <w:r w:rsidRPr="00A0168B">
        <w:rPr>
          <w:rFonts w:ascii="Times New Roman" w:hAnsi="Times New Roman"/>
          <w:sz w:val="24"/>
          <w:szCs w:val="24"/>
          <w:lang w:val="en-US"/>
        </w:rPr>
        <w:t xml:space="preserve"> value (10 mg/L).</w:t>
      </w:r>
    </w:p>
    <w:p w:rsidR="00622F23" w:rsidRDefault="00622F23" w:rsidP="00622F23">
      <w:pPr>
        <w:spacing w:after="0" w:line="480" w:lineRule="auto"/>
        <w:ind w:left="-142"/>
        <w:jc w:val="both"/>
        <w:rPr>
          <w:rFonts w:ascii="Times New Roman" w:hAnsi="Times New Roman"/>
          <w:sz w:val="24"/>
          <w:szCs w:val="24"/>
          <w:lang w:val="en-US"/>
        </w:rPr>
        <w:sectPr w:rsidR="00622F23" w:rsidSect="00694778">
          <w:type w:val="continuous"/>
          <w:pgSz w:w="11906" w:h="16838"/>
          <w:pgMar w:top="1417" w:right="1417" w:bottom="1417" w:left="1417" w:header="708" w:footer="708" w:gutter="0"/>
          <w:cols w:num="2" w:space="708"/>
          <w:titlePg/>
          <w:docGrid w:linePitch="360"/>
        </w:sectPr>
      </w:pPr>
    </w:p>
    <w:p w:rsidR="00622F23" w:rsidRDefault="00622F23" w:rsidP="00622F23">
      <w:pPr>
        <w:spacing w:after="0" w:line="480" w:lineRule="auto"/>
        <w:ind w:left="-142"/>
        <w:jc w:val="both"/>
        <w:rPr>
          <w:rFonts w:ascii="Times New Roman" w:hAnsi="Times New Roman"/>
          <w:sz w:val="24"/>
          <w:szCs w:val="24"/>
          <w:lang w:val="en-US"/>
        </w:rPr>
      </w:pPr>
    </w:p>
    <w:p w:rsidR="00622F23" w:rsidRPr="00A0168B" w:rsidRDefault="00622F23" w:rsidP="00622F23">
      <w:pPr>
        <w:spacing w:after="0" w:line="480" w:lineRule="auto"/>
        <w:rPr>
          <w:rFonts w:ascii="Times New Roman" w:hAnsi="Times New Roman"/>
          <w:sz w:val="24"/>
          <w:szCs w:val="24"/>
          <w:lang w:val="en-US"/>
        </w:rPr>
      </w:pPr>
      <w:r w:rsidRPr="00694778">
        <w:rPr>
          <w:rFonts w:ascii="Times New Roman" w:hAnsi="Times New Roman"/>
          <w:b/>
          <w:sz w:val="24"/>
          <w:szCs w:val="24"/>
          <w:lang w:val="en-US"/>
        </w:rPr>
        <w:t>Table 3.</w:t>
      </w:r>
      <w:r w:rsidRPr="00A0168B">
        <w:rPr>
          <w:rFonts w:ascii="Times New Roman" w:hAnsi="Times New Roman"/>
          <w:sz w:val="24"/>
          <w:szCs w:val="24"/>
          <w:lang w:val="en-US"/>
        </w:rPr>
        <w:t xml:space="preserve"> F values </w:t>
      </w:r>
      <w:r w:rsidRPr="00A0168B">
        <w:rPr>
          <w:rFonts w:ascii="Times New Roman" w:eastAsia="Times New Roman" w:hAnsi="Times New Roman"/>
          <w:sz w:val="24"/>
          <w:szCs w:val="24"/>
          <w:lang w:val="en-US" w:eastAsia="en-GB"/>
        </w:rPr>
        <w:t>(</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r w:rsidRPr="00A0168B">
        <w:rPr>
          <w:rFonts w:ascii="Times New Roman" w:hAnsi="Times New Roman"/>
          <w:sz w:val="24"/>
          <w:szCs w:val="24"/>
          <w:lang w:val="en-US"/>
        </w:rPr>
        <w:t xml:space="preserve"> of fruit juice samples</w:t>
      </w:r>
    </w:p>
    <w:tbl>
      <w:tblPr>
        <w:tblW w:w="8222" w:type="dxa"/>
        <w:tblInd w:w="-34" w:type="dxa"/>
        <w:tblLook w:val="04A0" w:firstRow="1" w:lastRow="0" w:firstColumn="1" w:lastColumn="0" w:noHBand="0" w:noVBand="1"/>
      </w:tblPr>
      <w:tblGrid>
        <w:gridCol w:w="390"/>
        <w:gridCol w:w="950"/>
        <w:gridCol w:w="851"/>
        <w:gridCol w:w="2487"/>
        <w:gridCol w:w="1843"/>
        <w:gridCol w:w="1701"/>
      </w:tblGrid>
      <w:tr w:rsidR="00622F23" w:rsidRPr="00A0168B" w:rsidTr="00517147">
        <w:trPr>
          <w:trHeight w:val="191"/>
        </w:trPr>
        <w:tc>
          <w:tcPr>
            <w:tcW w:w="1340" w:type="dxa"/>
            <w:gridSpan w:val="2"/>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 xml:space="preserve">Brands </w:t>
            </w:r>
          </w:p>
        </w:tc>
        <w:tc>
          <w:tcPr>
            <w:tcW w:w="851"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N</w:t>
            </w:r>
          </w:p>
        </w:tc>
        <w:tc>
          <w:tcPr>
            <w:tcW w:w="2487"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Mean±SE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c>
          <w:tcPr>
            <w:tcW w:w="1843"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Min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c>
          <w:tcPr>
            <w:tcW w:w="1701" w:type="dxa"/>
            <w:tcBorders>
              <w:top w:val="single" w:sz="4" w:space="0" w:color="auto"/>
              <w:bottom w:val="single" w:sz="4" w:space="0" w:color="auto"/>
            </w:tcBorders>
            <w:shd w:val="clear" w:color="auto" w:fill="auto"/>
            <w:vAlign w:val="bottom"/>
            <w:hideMark/>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Max (</w:t>
            </w:r>
            <w:r w:rsidRPr="00A0168B">
              <w:rPr>
                <w:rFonts w:ascii="Times New Roman" w:hAnsi="Times New Roman"/>
                <w:sz w:val="24"/>
                <w:szCs w:val="24"/>
                <w:lang w:val="en-US"/>
              </w:rPr>
              <w:t>mg/L</w:t>
            </w:r>
            <w:r w:rsidRPr="00A0168B">
              <w:rPr>
                <w:rFonts w:ascii="Times New Roman" w:eastAsia="Times New Roman" w:hAnsi="Times New Roman"/>
                <w:sz w:val="24"/>
                <w:szCs w:val="24"/>
                <w:lang w:val="en-US" w:eastAsia="en-GB"/>
              </w:rPr>
              <w:t>)</w:t>
            </w:r>
          </w:p>
        </w:tc>
      </w:tr>
      <w:tr w:rsidR="00622F23" w:rsidRPr="00A0168B" w:rsidTr="00517147">
        <w:trPr>
          <w:trHeight w:val="70"/>
        </w:trPr>
        <w:tc>
          <w:tcPr>
            <w:tcW w:w="390" w:type="dxa"/>
            <w:vMerge w:val="restart"/>
            <w:tcBorders>
              <w:top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A</w:t>
            </w:r>
          </w:p>
        </w:tc>
        <w:tc>
          <w:tcPr>
            <w:tcW w:w="95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5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1.01±0.17</w:t>
            </w:r>
          </w:p>
        </w:tc>
        <w:tc>
          <w:tcPr>
            <w:tcW w:w="1843"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0.48</w:t>
            </w:r>
          </w:p>
        </w:tc>
        <w:tc>
          <w:tcPr>
            <w:tcW w:w="170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1.40</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1.98±0.34</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1.16</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3.15</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0.40±0.05</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0.21</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0.51</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1.04±0.18</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0.64</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1.66</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5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87"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1.11±0.16</w:t>
            </w:r>
          </w:p>
        </w:tc>
        <w:tc>
          <w:tcPr>
            <w:tcW w:w="1843"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0.21</w:t>
            </w:r>
          </w:p>
        </w:tc>
        <w:tc>
          <w:tcPr>
            <w:tcW w:w="170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3.15</w:t>
            </w:r>
          </w:p>
        </w:tc>
      </w:tr>
      <w:tr w:rsidR="00622F23" w:rsidRPr="00A0168B" w:rsidTr="00517147">
        <w:trPr>
          <w:trHeight w:val="70"/>
        </w:trPr>
        <w:tc>
          <w:tcPr>
            <w:tcW w:w="390" w:type="dxa"/>
            <w:vMerge w:val="restart"/>
            <w:tcBorders>
              <w:top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B</w:t>
            </w:r>
          </w:p>
        </w:tc>
        <w:tc>
          <w:tcPr>
            <w:tcW w:w="95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5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1.54±0.18</w:t>
            </w:r>
          </w:p>
        </w:tc>
        <w:tc>
          <w:tcPr>
            <w:tcW w:w="1843"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1.11</w:t>
            </w:r>
          </w:p>
        </w:tc>
        <w:tc>
          <w:tcPr>
            <w:tcW w:w="170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2.09</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1.76±0.17</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1.35</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2.35</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0.62±0.11</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0.19</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0.76</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1.42±0.18</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0.81</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1.89</w:t>
            </w:r>
          </w:p>
        </w:tc>
      </w:tr>
      <w:tr w:rsidR="00622F23" w:rsidRPr="00A0168B" w:rsidTr="00517147">
        <w:trPr>
          <w:trHeight w:val="15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5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87"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1.34±0.12</w:t>
            </w:r>
          </w:p>
        </w:tc>
        <w:tc>
          <w:tcPr>
            <w:tcW w:w="1843"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0.19</w:t>
            </w:r>
          </w:p>
        </w:tc>
        <w:tc>
          <w:tcPr>
            <w:tcW w:w="170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2.35</w:t>
            </w:r>
          </w:p>
        </w:tc>
      </w:tr>
      <w:tr w:rsidR="00622F23" w:rsidRPr="00A0168B" w:rsidTr="00517147">
        <w:trPr>
          <w:trHeight w:val="70"/>
        </w:trPr>
        <w:tc>
          <w:tcPr>
            <w:tcW w:w="390" w:type="dxa"/>
            <w:vMerge w:val="restart"/>
            <w:tcBorders>
              <w:top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C</w:t>
            </w:r>
          </w:p>
        </w:tc>
        <w:tc>
          <w:tcPr>
            <w:tcW w:w="95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5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0.99±0.08</w:t>
            </w:r>
          </w:p>
        </w:tc>
        <w:tc>
          <w:tcPr>
            <w:tcW w:w="1843"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0.75</w:t>
            </w:r>
          </w:p>
        </w:tc>
        <w:tc>
          <w:tcPr>
            <w:tcW w:w="170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1.19</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1.64±0.18</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1.04</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1.98</w:t>
            </w:r>
          </w:p>
        </w:tc>
      </w:tr>
      <w:tr w:rsidR="00622F23" w:rsidRPr="00A0168B" w:rsidTr="00517147">
        <w:trPr>
          <w:trHeight w:val="74"/>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1.25±0.16</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0.72</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1.68</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1.09±0.14</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0.66</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1.43</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5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87"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1.24±0.09</w:t>
            </w:r>
          </w:p>
        </w:tc>
        <w:tc>
          <w:tcPr>
            <w:tcW w:w="1843"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0.66</w:t>
            </w:r>
          </w:p>
        </w:tc>
        <w:tc>
          <w:tcPr>
            <w:tcW w:w="170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1.98</w:t>
            </w:r>
          </w:p>
        </w:tc>
      </w:tr>
      <w:tr w:rsidR="00622F23" w:rsidRPr="00A0168B" w:rsidTr="00517147">
        <w:trPr>
          <w:trHeight w:val="112"/>
        </w:trPr>
        <w:tc>
          <w:tcPr>
            <w:tcW w:w="390" w:type="dxa"/>
            <w:vMerge w:val="restart"/>
            <w:tcBorders>
              <w:top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D</w:t>
            </w:r>
          </w:p>
        </w:tc>
        <w:tc>
          <w:tcPr>
            <w:tcW w:w="95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5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1.51±0.24</w:t>
            </w:r>
          </w:p>
        </w:tc>
        <w:tc>
          <w:tcPr>
            <w:tcW w:w="1843"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0.92</w:t>
            </w:r>
          </w:p>
        </w:tc>
        <w:tc>
          <w:tcPr>
            <w:tcW w:w="170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2.31</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1.12±0.14</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0.71</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1.49</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0.57±0.09</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0.30</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0.83</w:t>
            </w:r>
          </w:p>
        </w:tc>
      </w:tr>
      <w:tr w:rsidR="00622F23" w:rsidRPr="00A0168B" w:rsidTr="00517147">
        <w:trPr>
          <w:trHeight w:val="70"/>
        </w:trPr>
        <w:tc>
          <w:tcPr>
            <w:tcW w:w="390" w:type="dxa"/>
            <w:vMerge/>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1.39±0.15</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1.08</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1.94</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5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87"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1.15±0.11</w:t>
            </w:r>
          </w:p>
        </w:tc>
        <w:tc>
          <w:tcPr>
            <w:tcW w:w="1843"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0.30</w:t>
            </w:r>
          </w:p>
        </w:tc>
        <w:tc>
          <w:tcPr>
            <w:tcW w:w="170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2.31</w:t>
            </w:r>
          </w:p>
        </w:tc>
      </w:tr>
      <w:tr w:rsidR="00622F23" w:rsidRPr="00A0168B" w:rsidTr="00517147">
        <w:trPr>
          <w:trHeight w:val="70"/>
        </w:trPr>
        <w:tc>
          <w:tcPr>
            <w:tcW w:w="390" w:type="dxa"/>
            <w:vMerge w:val="restart"/>
            <w:tcBorders>
              <w:top w:val="single" w:sz="4" w:space="0" w:color="auto"/>
              <w:bottom w:val="single" w:sz="4" w:space="0" w:color="auto"/>
            </w:tcBorders>
            <w:shd w:val="clear" w:color="auto" w:fill="auto"/>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p>
          <w:p w:rsidR="00622F23" w:rsidRPr="00A0168B" w:rsidRDefault="00622F23" w:rsidP="00517147">
            <w:pPr>
              <w:spacing w:after="0" w:line="240" w:lineRule="auto"/>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E</w:t>
            </w:r>
          </w:p>
        </w:tc>
        <w:tc>
          <w:tcPr>
            <w:tcW w:w="950" w:type="dxa"/>
            <w:tcBorders>
              <w:top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Apricot</w:t>
            </w:r>
          </w:p>
        </w:tc>
        <w:tc>
          <w:tcPr>
            <w:tcW w:w="85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2.59±0.72</w:t>
            </w:r>
          </w:p>
        </w:tc>
        <w:tc>
          <w:tcPr>
            <w:tcW w:w="1843"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0.93</w:t>
            </w:r>
          </w:p>
        </w:tc>
        <w:tc>
          <w:tcPr>
            <w:tcW w:w="1701" w:type="dxa"/>
            <w:tcBorders>
              <w:top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4.85</w:t>
            </w:r>
          </w:p>
        </w:tc>
      </w:tr>
      <w:tr w:rsidR="00622F23" w:rsidRPr="00A0168B" w:rsidTr="00517147">
        <w:trPr>
          <w:trHeight w:val="88"/>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Apple</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1.31±0.23</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0.68</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1.75</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Cherry</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0.57±0.09</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0.30</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0.83</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hAnsi="Times New Roman"/>
                <w:sz w:val="24"/>
                <w:szCs w:val="24"/>
                <w:lang w:val="en-US"/>
              </w:rPr>
              <w:t>Peach</w:t>
            </w:r>
          </w:p>
        </w:tc>
        <w:tc>
          <w:tcPr>
            <w:tcW w:w="85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5</w:t>
            </w:r>
          </w:p>
        </w:tc>
        <w:tc>
          <w:tcPr>
            <w:tcW w:w="2487"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1.39±0.15</w:t>
            </w:r>
          </w:p>
        </w:tc>
        <w:tc>
          <w:tcPr>
            <w:tcW w:w="1843"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1.08</w:t>
            </w:r>
          </w:p>
        </w:tc>
        <w:tc>
          <w:tcPr>
            <w:tcW w:w="1701" w:type="dxa"/>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1.94</w:t>
            </w:r>
          </w:p>
        </w:tc>
      </w:tr>
      <w:tr w:rsidR="00622F23" w:rsidRPr="00A0168B" w:rsidTr="00517147">
        <w:trPr>
          <w:trHeight w:val="70"/>
        </w:trPr>
        <w:tc>
          <w:tcPr>
            <w:tcW w:w="390" w:type="dxa"/>
            <w:vMerge/>
            <w:tcBorders>
              <w:bottom w:val="single" w:sz="4" w:space="0" w:color="auto"/>
            </w:tcBorders>
            <w:vAlign w:val="center"/>
            <w:hideMark/>
          </w:tcPr>
          <w:p w:rsidR="00622F23" w:rsidRPr="00A0168B" w:rsidRDefault="00622F23" w:rsidP="00517147">
            <w:pPr>
              <w:spacing w:after="0" w:line="240" w:lineRule="auto"/>
              <w:rPr>
                <w:rFonts w:ascii="Times New Roman" w:eastAsia="Times New Roman" w:hAnsi="Times New Roman"/>
                <w:sz w:val="24"/>
                <w:szCs w:val="24"/>
                <w:lang w:val="en-US" w:eastAsia="en-GB"/>
              </w:rPr>
            </w:pPr>
          </w:p>
        </w:tc>
        <w:tc>
          <w:tcPr>
            <w:tcW w:w="950" w:type="dxa"/>
            <w:tcBorders>
              <w:bottom w:val="single" w:sz="4" w:space="0" w:color="auto"/>
            </w:tcBorders>
            <w:shd w:val="clear" w:color="auto" w:fill="auto"/>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Total</w:t>
            </w:r>
          </w:p>
        </w:tc>
        <w:tc>
          <w:tcPr>
            <w:tcW w:w="85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20</w:t>
            </w:r>
          </w:p>
        </w:tc>
        <w:tc>
          <w:tcPr>
            <w:tcW w:w="2487"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1.46±0.24</w:t>
            </w:r>
          </w:p>
        </w:tc>
        <w:tc>
          <w:tcPr>
            <w:tcW w:w="1843"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0.30</w:t>
            </w:r>
          </w:p>
        </w:tc>
        <w:tc>
          <w:tcPr>
            <w:tcW w:w="1701" w:type="dxa"/>
            <w:tcBorders>
              <w:bottom w:val="single" w:sz="4" w:space="0" w:color="auto"/>
            </w:tcBorders>
            <w:shd w:val="clear" w:color="auto" w:fill="auto"/>
            <w:noWrap/>
            <w:vAlign w:val="center"/>
          </w:tcPr>
          <w:p w:rsidR="00622F23" w:rsidRPr="00A0168B" w:rsidRDefault="00622F23" w:rsidP="00517147">
            <w:pPr>
              <w:spacing w:after="0" w:line="240" w:lineRule="auto"/>
              <w:jc w:val="center"/>
              <w:rPr>
                <w:rFonts w:ascii="Times New Roman" w:eastAsia="Times New Roman" w:hAnsi="Times New Roman"/>
                <w:sz w:val="24"/>
                <w:szCs w:val="24"/>
                <w:lang w:val="en-US" w:eastAsia="en-GB"/>
              </w:rPr>
            </w:pPr>
            <w:r w:rsidRPr="00A0168B">
              <w:rPr>
                <w:rFonts w:ascii="Times New Roman" w:eastAsia="Times New Roman" w:hAnsi="Times New Roman"/>
                <w:sz w:val="24"/>
                <w:szCs w:val="24"/>
                <w:lang w:val="en-US" w:eastAsia="en-GB"/>
              </w:rPr>
              <w:t>4.85</w:t>
            </w:r>
          </w:p>
        </w:tc>
      </w:tr>
    </w:tbl>
    <w:p w:rsidR="00622F23" w:rsidRPr="00A0168B" w:rsidRDefault="00622F23" w:rsidP="00622F23">
      <w:pPr>
        <w:autoSpaceDE w:val="0"/>
        <w:autoSpaceDN w:val="0"/>
        <w:adjustRightInd w:val="0"/>
        <w:spacing w:after="0" w:line="480" w:lineRule="auto"/>
        <w:ind w:firstLine="426"/>
        <w:jc w:val="both"/>
        <w:rPr>
          <w:rFonts w:ascii="Times New Roman" w:hAnsi="Times New Roman"/>
          <w:sz w:val="24"/>
          <w:szCs w:val="24"/>
          <w:lang w:val="en-US"/>
        </w:rPr>
      </w:pPr>
    </w:p>
    <w:p w:rsidR="00622F23" w:rsidRDefault="00622F23" w:rsidP="00622F23">
      <w:pPr>
        <w:autoSpaceDE w:val="0"/>
        <w:autoSpaceDN w:val="0"/>
        <w:adjustRightInd w:val="0"/>
        <w:spacing w:after="0" w:line="480" w:lineRule="auto"/>
        <w:jc w:val="both"/>
        <w:rPr>
          <w:rFonts w:ascii="Times New Roman" w:hAnsi="Times New Roman"/>
          <w:b/>
          <w:caps/>
          <w:sz w:val="24"/>
          <w:szCs w:val="24"/>
          <w:lang w:val="en-US" w:eastAsia="tr-TR"/>
        </w:rPr>
        <w:sectPr w:rsidR="00622F23" w:rsidSect="00694778">
          <w:type w:val="continuous"/>
          <w:pgSz w:w="11906" w:h="16838"/>
          <w:pgMar w:top="1417" w:right="1417" w:bottom="1417" w:left="1417" w:header="708" w:footer="708" w:gutter="0"/>
          <w:cols w:space="708"/>
          <w:titlePg/>
          <w:docGrid w:linePitch="360"/>
        </w:sect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hAnsi="Times New Roman"/>
          <w:b/>
          <w:caps/>
          <w:sz w:val="24"/>
          <w:szCs w:val="24"/>
          <w:lang w:val="en-US" w:eastAsia="tr-TR"/>
        </w:rPr>
        <w:lastRenderedPageBreak/>
        <w:t>discussion</w:t>
      </w:r>
      <w:r>
        <w:rPr>
          <w:rFonts w:ascii="Times New Roman" w:hAnsi="Times New Roman"/>
          <w:sz w:val="24"/>
          <w:szCs w:val="24"/>
          <w:lang w:val="en-US"/>
        </w:rPr>
        <w:t xml:space="preserve"> </w:t>
      </w: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hAnsi="Times New Roman"/>
          <w:sz w:val="24"/>
          <w:szCs w:val="24"/>
          <w:lang w:val="en-US" w:eastAsia="tr-TR"/>
        </w:rPr>
        <w:t>HMF levels in different food samples were determined by several studies in Turkey. But, the</w:t>
      </w:r>
      <w:r w:rsidRPr="00A0168B">
        <w:rPr>
          <w:rFonts w:ascii="Times New Roman" w:eastAsia="WarnockPro-Regular" w:hAnsi="Times New Roman"/>
          <w:sz w:val="24"/>
          <w:szCs w:val="24"/>
          <w:lang w:val="en-US" w:eastAsia="tr-TR"/>
        </w:rPr>
        <w:t xml:space="preserve"> quantifying studies about HMF in commercial fruit juices are limited</w:t>
      </w:r>
      <w:r w:rsidRPr="00A0168B">
        <w:rPr>
          <w:rFonts w:ascii="Times New Roman" w:hAnsi="Times New Roman"/>
          <w:sz w:val="24"/>
          <w:szCs w:val="24"/>
          <w:lang w:val="en-US" w:eastAsia="tr-TR"/>
        </w:rPr>
        <w:t>. Altunöz Erdoğan et al. (19)</w:t>
      </w:r>
      <w:r w:rsidRPr="00A0168B">
        <w:rPr>
          <w:rFonts w:ascii="Times New Roman" w:eastAsia="ArialMT" w:hAnsi="Times New Roman"/>
          <w:sz w:val="24"/>
          <w:szCs w:val="24"/>
          <w:lang w:val="en-US" w:eastAsia="tr-TR"/>
        </w:rPr>
        <w:t xml:space="preserve"> </w:t>
      </w:r>
      <w:r w:rsidRPr="00A0168B">
        <w:rPr>
          <w:rFonts w:ascii="Times New Roman" w:eastAsia="ArialMT" w:hAnsi="Times New Roman"/>
          <w:noProof/>
          <w:sz w:val="24"/>
          <w:szCs w:val="24"/>
          <w:lang w:val="en-US" w:eastAsia="tr-TR"/>
        </w:rPr>
        <w:t>analyzed</w:t>
      </w:r>
      <w:r w:rsidRPr="00A0168B">
        <w:rPr>
          <w:rFonts w:ascii="Times New Roman" w:eastAsia="ArialMT" w:hAnsi="Times New Roman"/>
          <w:sz w:val="24"/>
          <w:szCs w:val="24"/>
          <w:lang w:val="en-US" w:eastAsia="tr-TR"/>
        </w:rPr>
        <w:t xml:space="preserve"> different </w:t>
      </w:r>
      <w:r w:rsidRPr="00A0168B">
        <w:rPr>
          <w:rFonts w:ascii="Times New Roman" w:hAnsi="Times New Roman"/>
          <w:sz w:val="24"/>
          <w:szCs w:val="24"/>
          <w:lang w:val="en-US"/>
        </w:rPr>
        <w:t xml:space="preserve">fruit </w:t>
      </w:r>
      <w:r w:rsidRPr="00A0168B">
        <w:rPr>
          <w:rFonts w:ascii="Times New Roman" w:hAnsi="Times New Roman"/>
          <w:sz w:val="24"/>
          <w:szCs w:val="24"/>
          <w:lang w:val="en-US"/>
        </w:rPr>
        <w:lastRenderedPageBreak/>
        <w:t xml:space="preserve">juices (orange nectar, grape juice, apricot and cherry nectar) </w:t>
      </w:r>
      <w:r w:rsidRPr="00A0168B">
        <w:rPr>
          <w:rFonts w:ascii="Times New Roman" w:eastAsia="ArialMT" w:hAnsi="Times New Roman"/>
          <w:sz w:val="24"/>
          <w:szCs w:val="24"/>
          <w:lang w:val="en-US" w:eastAsia="tr-TR"/>
        </w:rPr>
        <w:t xml:space="preserve">and found that lower </w:t>
      </w:r>
      <w:r w:rsidRPr="00A0168B">
        <w:rPr>
          <w:rFonts w:ascii="Times New Roman" w:eastAsia="WarnockPro-Regular" w:hAnsi="Times New Roman"/>
          <w:sz w:val="24"/>
          <w:szCs w:val="24"/>
          <w:lang w:val="en-US" w:eastAsia="tr-TR"/>
        </w:rPr>
        <w:t xml:space="preserve">HMF </w:t>
      </w:r>
      <w:r w:rsidRPr="00A0168B">
        <w:rPr>
          <w:rFonts w:ascii="Times New Roman" w:eastAsia="ArialMT" w:hAnsi="Times New Roman"/>
          <w:sz w:val="24"/>
          <w:szCs w:val="24"/>
          <w:lang w:val="en-US" w:eastAsia="tr-TR"/>
        </w:rPr>
        <w:t xml:space="preserve">levels in </w:t>
      </w:r>
      <w:r w:rsidRPr="00A0168B">
        <w:rPr>
          <w:rFonts w:ascii="Times New Roman" w:hAnsi="Times New Roman"/>
          <w:sz w:val="24"/>
          <w:szCs w:val="24"/>
          <w:lang w:val="en-US"/>
        </w:rPr>
        <w:t>orange nectar and grape juice,</w:t>
      </w:r>
      <w:r w:rsidRPr="00A0168B">
        <w:rPr>
          <w:rFonts w:ascii="Times New Roman" w:eastAsia="ArialMT" w:hAnsi="Times New Roman"/>
          <w:sz w:val="24"/>
          <w:szCs w:val="24"/>
          <w:lang w:val="en-US" w:eastAsia="tr-TR"/>
        </w:rPr>
        <w:t xml:space="preserve"> while these researchers found higher </w:t>
      </w:r>
      <w:r w:rsidRPr="00A0168B">
        <w:rPr>
          <w:rFonts w:ascii="Times New Roman" w:eastAsia="WarnockPro-Regular" w:hAnsi="Times New Roman"/>
          <w:sz w:val="24"/>
          <w:szCs w:val="24"/>
          <w:lang w:val="en-US" w:eastAsia="tr-TR"/>
        </w:rPr>
        <w:t xml:space="preserve">HMF </w:t>
      </w:r>
      <w:r w:rsidRPr="00A0168B">
        <w:rPr>
          <w:rFonts w:ascii="Times New Roman" w:eastAsia="ArialMT" w:hAnsi="Times New Roman"/>
          <w:sz w:val="24"/>
          <w:szCs w:val="24"/>
          <w:lang w:val="en-US" w:eastAsia="tr-TR"/>
        </w:rPr>
        <w:t xml:space="preserve">levels in </w:t>
      </w:r>
      <w:r w:rsidRPr="00A0168B">
        <w:rPr>
          <w:rFonts w:ascii="Times New Roman" w:hAnsi="Times New Roman"/>
          <w:sz w:val="24"/>
          <w:szCs w:val="24"/>
          <w:lang w:val="en-US"/>
        </w:rPr>
        <w:t xml:space="preserve">apricot and cherry nectar compared to TSI value. Tüfekçi and Fenercioğlu </w:t>
      </w:r>
      <w:r w:rsidRPr="00A0168B">
        <w:rPr>
          <w:rStyle w:val="apple-converted-space"/>
          <w:rFonts w:ascii="Times New Roman" w:hAnsi="Times New Roman"/>
          <w:sz w:val="24"/>
          <w:szCs w:val="24"/>
          <w:shd w:val="clear" w:color="auto" w:fill="FFFFFF"/>
          <w:lang w:val="en-US"/>
        </w:rPr>
        <w:t>(20)</w:t>
      </w:r>
      <w:r w:rsidRPr="00A0168B">
        <w:rPr>
          <w:rFonts w:ascii="Times New Roman" w:hAnsi="Times New Roman"/>
          <w:sz w:val="24"/>
          <w:szCs w:val="24"/>
          <w:lang w:val="en-US"/>
        </w:rPr>
        <w:t xml:space="preserve"> estimated that the HMF </w:t>
      </w:r>
      <w:r w:rsidRPr="00A0168B">
        <w:rPr>
          <w:rFonts w:ascii="Times New Roman" w:hAnsi="Times New Roman"/>
          <w:sz w:val="24"/>
          <w:szCs w:val="24"/>
          <w:lang w:val="en-US"/>
        </w:rPr>
        <w:lastRenderedPageBreak/>
        <w:t xml:space="preserve">levels of some commercial fruit juices (apple, </w:t>
      </w:r>
      <w:r w:rsidRPr="00A0168B">
        <w:rPr>
          <w:rFonts w:ascii="Times New Roman" w:hAnsi="Times New Roman"/>
          <w:noProof/>
          <w:sz w:val="24"/>
          <w:szCs w:val="24"/>
          <w:lang w:val="en-US"/>
        </w:rPr>
        <w:t>pomegranate</w:t>
      </w:r>
      <w:r w:rsidRPr="00A0168B">
        <w:rPr>
          <w:rFonts w:ascii="Times New Roman" w:hAnsi="Times New Roman"/>
          <w:sz w:val="24"/>
          <w:szCs w:val="24"/>
          <w:lang w:val="en-US"/>
        </w:rPr>
        <w:t xml:space="preserve">, orange and grape juice) were ranged from 0.4 to 27.4 mg/L and they stated that HMF levels of fruit juices were below according to the maximum levels established by TSI, except two samples in the pomegranate and grape juices as 27.4 and 24.4 mg/L, respectively. Effect of </w:t>
      </w:r>
      <w:r w:rsidRPr="00A0168B">
        <w:rPr>
          <w:rFonts w:ascii="Times New Roman" w:hAnsi="Times New Roman"/>
          <w:noProof/>
          <w:sz w:val="24"/>
          <w:szCs w:val="24"/>
          <w:lang w:val="en-US"/>
        </w:rPr>
        <w:t>high-temperature</w:t>
      </w:r>
      <w:r w:rsidRPr="00A0168B">
        <w:rPr>
          <w:rFonts w:ascii="Times New Roman" w:hAnsi="Times New Roman"/>
          <w:sz w:val="24"/>
          <w:szCs w:val="24"/>
          <w:lang w:val="en-US"/>
        </w:rPr>
        <w:t xml:space="preserve"> heat process or inappropriate storage temperature on the formation of high HMF levels was expressed by Tüfekçi and Fenercioğlu </w:t>
      </w:r>
      <w:r w:rsidRPr="00A0168B">
        <w:rPr>
          <w:rStyle w:val="apple-converted-space"/>
          <w:rFonts w:ascii="Times New Roman" w:hAnsi="Times New Roman"/>
          <w:sz w:val="24"/>
          <w:szCs w:val="24"/>
          <w:shd w:val="clear" w:color="auto" w:fill="FFFFFF"/>
          <w:lang w:val="en-US"/>
        </w:rPr>
        <w:t>(20).</w:t>
      </w:r>
    </w:p>
    <w:p w:rsidR="00622F23" w:rsidRDefault="00622F23" w:rsidP="00622F23">
      <w:pPr>
        <w:autoSpaceDE w:val="0"/>
        <w:autoSpaceDN w:val="0"/>
        <w:adjustRightInd w:val="0"/>
        <w:spacing w:after="0" w:line="240" w:lineRule="auto"/>
        <w:jc w:val="both"/>
        <w:rPr>
          <w:rFonts w:ascii="Times New Roman" w:eastAsia="WarnockPro-Regular" w:hAnsi="Times New Roman"/>
          <w:sz w:val="24"/>
          <w:szCs w:val="24"/>
          <w:lang w:val="en-US" w:eastAsia="tr-TR"/>
        </w:r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eastAsia="WarnockPro-Regular" w:hAnsi="Times New Roman"/>
          <w:sz w:val="24"/>
          <w:szCs w:val="24"/>
          <w:lang w:val="en-US" w:eastAsia="tr-TR"/>
        </w:rPr>
        <w:t xml:space="preserve">In the current study, the HMF levels were found to be in the range of </w:t>
      </w:r>
      <w:r w:rsidRPr="00A0168B">
        <w:rPr>
          <w:rFonts w:ascii="Times New Roman" w:hAnsi="Times New Roman"/>
          <w:sz w:val="24"/>
          <w:szCs w:val="24"/>
          <w:lang w:val="en-US"/>
        </w:rPr>
        <w:t xml:space="preserve">63.89 to 162.27 mg/L </w:t>
      </w:r>
      <w:r w:rsidRPr="00A0168B">
        <w:rPr>
          <w:rFonts w:ascii="Times New Roman" w:eastAsia="WarnockPro-Regular" w:hAnsi="Times New Roman"/>
          <w:sz w:val="24"/>
          <w:szCs w:val="24"/>
          <w:lang w:val="en-US" w:eastAsia="tr-TR"/>
        </w:rPr>
        <w:t xml:space="preserve">in the tested commercial </w:t>
      </w:r>
      <w:r w:rsidRPr="00A0168B">
        <w:rPr>
          <w:rFonts w:ascii="Times New Roman" w:hAnsi="Times New Roman"/>
          <w:sz w:val="24"/>
          <w:szCs w:val="24"/>
          <w:lang w:val="en-US"/>
        </w:rPr>
        <w:t xml:space="preserve">fruit juice </w:t>
      </w:r>
      <w:r w:rsidRPr="00A0168B">
        <w:rPr>
          <w:rFonts w:ascii="Times New Roman" w:eastAsia="WarnockPro-Regular" w:hAnsi="Times New Roman"/>
          <w:sz w:val="24"/>
          <w:szCs w:val="24"/>
          <w:lang w:val="en-US" w:eastAsia="tr-TR"/>
        </w:rPr>
        <w:t xml:space="preserve">samples. These HMF levels in commercial fruit juice samples were higher compared with the </w:t>
      </w:r>
      <w:r w:rsidRPr="00A0168B">
        <w:rPr>
          <w:rFonts w:ascii="Times New Roman" w:hAnsi="Times New Roman"/>
          <w:sz w:val="24"/>
          <w:szCs w:val="24"/>
          <w:lang w:val="en-US"/>
        </w:rPr>
        <w:t xml:space="preserve">Tüfekçi and Fenercioğlu </w:t>
      </w:r>
      <w:r w:rsidRPr="00A0168B">
        <w:rPr>
          <w:rStyle w:val="apple-converted-space"/>
          <w:rFonts w:ascii="Times New Roman" w:hAnsi="Times New Roman"/>
          <w:sz w:val="24"/>
          <w:szCs w:val="24"/>
          <w:shd w:val="clear" w:color="auto" w:fill="FFFFFF"/>
          <w:lang w:val="en-US"/>
        </w:rPr>
        <w:t>(20)</w:t>
      </w:r>
      <w:r w:rsidRPr="00A0168B">
        <w:rPr>
          <w:rFonts w:ascii="Times New Roman" w:eastAsia="WarnockPro-Regular" w:hAnsi="Times New Roman"/>
          <w:sz w:val="24"/>
          <w:szCs w:val="24"/>
          <w:lang w:val="en-US" w:eastAsia="tr-TR"/>
        </w:rPr>
        <w:t>.</w:t>
      </w:r>
    </w:p>
    <w:p w:rsidR="00622F23" w:rsidRDefault="00622F23" w:rsidP="00622F23">
      <w:pPr>
        <w:autoSpaceDE w:val="0"/>
        <w:autoSpaceDN w:val="0"/>
        <w:adjustRightInd w:val="0"/>
        <w:spacing w:after="0" w:line="240" w:lineRule="auto"/>
        <w:jc w:val="both"/>
        <w:rPr>
          <w:rStyle w:val="fontstyle01"/>
          <w:rFonts w:ascii="Times New Roman" w:hAnsi="Times New Roman" w:hint="default"/>
          <w:sz w:val="24"/>
          <w:szCs w:val="24"/>
        </w:r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Style w:val="fontstyle01"/>
          <w:rFonts w:ascii="Times New Roman" w:hAnsi="Times New Roman" w:hint="default"/>
          <w:sz w:val="24"/>
          <w:szCs w:val="24"/>
        </w:rPr>
        <w:t xml:space="preserve">Akkaya and Karataş (21) found that HMF values of apple juices as 1.77-7.73 mg/L. Kuş et al. (22) determined HMF concentrations of seven fruit concentrates and boiled juices in all samples as in the </w:t>
      </w:r>
      <w:r w:rsidRPr="00A0168B">
        <w:rPr>
          <w:rStyle w:val="fontstyle01"/>
          <w:rFonts w:ascii="Times New Roman" w:hAnsi="Times New Roman" w:hint="default"/>
          <w:noProof/>
          <w:sz w:val="24"/>
          <w:szCs w:val="24"/>
        </w:rPr>
        <w:t>range</w:t>
      </w:r>
      <w:r w:rsidRPr="00A0168B">
        <w:rPr>
          <w:rStyle w:val="fontstyle01"/>
          <w:rFonts w:ascii="Times New Roman" w:hAnsi="Times New Roman" w:hint="default"/>
          <w:sz w:val="24"/>
          <w:szCs w:val="24"/>
        </w:rPr>
        <w:t xml:space="preserve"> of 0.4-4.5 ppm and 12.8-3500 ppm, respectively. The formation of HMF in fruit juices is affected several processes such as concentrations of fruit juices, dehydration of fruits or storage at a </w:t>
      </w:r>
      <w:r w:rsidRPr="00A0168B">
        <w:rPr>
          <w:rStyle w:val="fontstyle01"/>
          <w:rFonts w:ascii="Times New Roman" w:hAnsi="Times New Roman" w:hint="default"/>
          <w:noProof/>
          <w:sz w:val="24"/>
          <w:szCs w:val="24"/>
        </w:rPr>
        <w:t>higher</w:t>
      </w:r>
      <w:r w:rsidRPr="00A0168B">
        <w:rPr>
          <w:rStyle w:val="fontstyle01"/>
          <w:rFonts w:ascii="Times New Roman" w:hAnsi="Times New Roman" w:hint="default"/>
          <w:sz w:val="24"/>
          <w:szCs w:val="24"/>
        </w:rPr>
        <w:t xml:space="preserve"> temperature (22). </w:t>
      </w:r>
      <w:r w:rsidRPr="00A0168B">
        <w:rPr>
          <w:rFonts w:ascii="Times New Roman" w:hAnsi="Times New Roman"/>
          <w:sz w:val="24"/>
          <w:szCs w:val="24"/>
        </w:rPr>
        <w:t>Oral et al. (23) determined HMF contents of fruit juices concentrates, honey and molasses (</w:t>
      </w:r>
      <w:r w:rsidRPr="00A0168B">
        <w:rPr>
          <w:rFonts w:ascii="Times New Roman" w:hAnsi="Times New Roman"/>
          <w:noProof/>
          <w:sz w:val="24"/>
          <w:szCs w:val="24"/>
        </w:rPr>
        <w:t>pekmez</w:t>
      </w:r>
      <w:r w:rsidRPr="00A0168B">
        <w:rPr>
          <w:rFonts w:ascii="Times New Roman" w:hAnsi="Times New Roman"/>
          <w:sz w:val="24"/>
          <w:szCs w:val="24"/>
        </w:rPr>
        <w:t>) and they noted that HMF contents were higher than TS</w:t>
      </w:r>
      <w:r>
        <w:rPr>
          <w:rFonts w:ascii="Times New Roman" w:hAnsi="Times New Roman"/>
          <w:sz w:val="24"/>
          <w:szCs w:val="24"/>
        </w:rPr>
        <w:t>I</w:t>
      </w:r>
      <w:r w:rsidRPr="00A0168B">
        <w:rPr>
          <w:rFonts w:ascii="Times New Roman" w:hAnsi="Times New Roman"/>
          <w:sz w:val="24"/>
          <w:szCs w:val="24"/>
        </w:rPr>
        <w:t xml:space="preserve"> limits (10 mg/L).</w:t>
      </w:r>
    </w:p>
    <w:p w:rsidR="00622F23" w:rsidRDefault="00622F23" w:rsidP="00622F23">
      <w:pPr>
        <w:autoSpaceDE w:val="0"/>
        <w:autoSpaceDN w:val="0"/>
        <w:adjustRightInd w:val="0"/>
        <w:spacing w:after="0" w:line="240" w:lineRule="auto"/>
        <w:jc w:val="both"/>
        <w:rPr>
          <w:rFonts w:ascii="Times New Roman" w:eastAsia="WarnockPro-Regular" w:hAnsi="Times New Roman"/>
          <w:sz w:val="24"/>
          <w:szCs w:val="24"/>
        </w:rPr>
      </w:pPr>
    </w:p>
    <w:p w:rsidR="00622F23" w:rsidRDefault="00622F23" w:rsidP="00622F23">
      <w:pPr>
        <w:autoSpaceDE w:val="0"/>
        <w:autoSpaceDN w:val="0"/>
        <w:adjustRightInd w:val="0"/>
        <w:spacing w:after="0" w:line="240" w:lineRule="auto"/>
        <w:jc w:val="both"/>
        <w:rPr>
          <w:rStyle w:val="fontstyle01"/>
          <w:rFonts w:ascii="Times New Roman" w:hAnsi="Times New Roman" w:hint="default"/>
          <w:sz w:val="24"/>
          <w:szCs w:val="24"/>
        </w:rPr>
      </w:pPr>
      <w:r w:rsidRPr="00A0168B">
        <w:rPr>
          <w:rFonts w:ascii="Times New Roman" w:eastAsia="WarnockPro-Regular" w:hAnsi="Times New Roman"/>
          <w:sz w:val="24"/>
          <w:szCs w:val="24"/>
        </w:rPr>
        <w:t>In several countries, several studies were previously reported concerning HMF contents in fruit juices.</w:t>
      </w:r>
      <w:r w:rsidRPr="00A0168B">
        <w:rPr>
          <w:rFonts w:ascii="WarnockPro-Regular" w:eastAsia="WarnockPro-Regular"/>
        </w:rPr>
        <w:t xml:space="preserve"> </w:t>
      </w:r>
      <w:r w:rsidRPr="00A0168B">
        <w:rPr>
          <w:rFonts w:ascii="Times New Roman" w:hAnsi="Times New Roman"/>
          <w:sz w:val="24"/>
          <w:szCs w:val="24"/>
          <w:lang w:val="en-US"/>
        </w:rPr>
        <w:t xml:space="preserve">Santini et al. (24) established that </w:t>
      </w:r>
      <w:r w:rsidRPr="00A0168B">
        <w:rPr>
          <w:rFonts w:ascii="Times New Roman" w:eastAsia="WarnockPro-Regular" w:hAnsi="Times New Roman"/>
          <w:sz w:val="24"/>
          <w:szCs w:val="24"/>
          <w:lang w:val="en-US" w:eastAsia="tr-TR"/>
        </w:rPr>
        <w:t>HMF levels</w:t>
      </w:r>
      <w:r w:rsidRPr="00A0168B">
        <w:rPr>
          <w:rFonts w:ascii="Times New Roman" w:hAnsi="Times New Roman"/>
          <w:sz w:val="24"/>
          <w:szCs w:val="24"/>
          <w:lang w:val="en-US"/>
        </w:rPr>
        <w:t xml:space="preserve"> ranging from 0.24 to 28.61 mg/L in apple-based nectars and 0.06 to 18.12 mg/L in apple juice, and this levels could be attributed to strong thermal treatment on the fresh apple during processing steps. </w:t>
      </w:r>
      <w:r w:rsidRPr="00A0168B">
        <w:rPr>
          <w:rFonts w:ascii="Times New Roman" w:eastAsia="WarnockPro-Regular" w:hAnsi="Times New Roman"/>
          <w:sz w:val="24"/>
          <w:szCs w:val="24"/>
          <w:lang w:val="en-US" w:eastAsia="tr-TR"/>
        </w:rPr>
        <w:t xml:space="preserve"> </w:t>
      </w:r>
      <w:r w:rsidRPr="00A0168B">
        <w:rPr>
          <w:rFonts w:ascii="Times New Roman" w:hAnsi="Times New Roman"/>
          <w:bCs/>
          <w:sz w:val="24"/>
          <w:szCs w:val="24"/>
          <w:lang w:val="en-US"/>
        </w:rPr>
        <w:t>Vorlová</w:t>
      </w:r>
      <w:r w:rsidRPr="00A0168B">
        <w:rPr>
          <w:rFonts w:ascii="Times New Roman" w:eastAsia="WarnockPro-Regular" w:hAnsi="Times New Roman"/>
          <w:sz w:val="24"/>
          <w:szCs w:val="24"/>
          <w:lang w:val="en-US" w:eastAsia="tr-TR"/>
        </w:rPr>
        <w:t xml:space="preserve"> </w:t>
      </w:r>
      <w:r w:rsidRPr="00A0168B">
        <w:rPr>
          <w:rFonts w:ascii="Times New Roman" w:eastAsia="WarnockPro-Regular" w:hAnsi="Times New Roman"/>
          <w:iCs/>
          <w:sz w:val="24"/>
          <w:szCs w:val="24"/>
          <w:lang w:val="en-US" w:eastAsia="tr-TR"/>
        </w:rPr>
        <w:t xml:space="preserve">et al. (7) </w:t>
      </w:r>
      <w:r w:rsidRPr="00A0168B">
        <w:rPr>
          <w:rFonts w:ascii="Times New Roman" w:eastAsia="WarnockPro-Regular" w:hAnsi="Times New Roman"/>
          <w:sz w:val="24"/>
          <w:szCs w:val="24"/>
          <w:lang w:val="en-US" w:eastAsia="tr-TR"/>
        </w:rPr>
        <w:t xml:space="preserve">reported mean levels of HMF as </w:t>
      </w:r>
      <w:r w:rsidRPr="00A0168B">
        <w:rPr>
          <w:rFonts w:ascii="Times New Roman" w:eastAsia="Times New Roman" w:hAnsi="Times New Roman"/>
          <w:sz w:val="24"/>
          <w:szCs w:val="24"/>
          <w:lang w:val="en-US" w:eastAsia="tr-TR"/>
        </w:rPr>
        <w:t xml:space="preserve">0-2.8 </w:t>
      </w:r>
      <w:r w:rsidRPr="00A0168B">
        <w:rPr>
          <w:rFonts w:ascii="Times New Roman" w:hAnsi="Times New Roman"/>
          <w:sz w:val="24"/>
          <w:szCs w:val="24"/>
          <w:lang w:val="en-US"/>
        </w:rPr>
        <w:t>mg/kg</w:t>
      </w:r>
      <w:r w:rsidRPr="00A0168B">
        <w:rPr>
          <w:rFonts w:ascii="Times New Roman" w:eastAsia="WarnockPro-Regular" w:hAnsi="Times New Roman"/>
          <w:sz w:val="24"/>
          <w:szCs w:val="24"/>
          <w:lang w:val="en-US" w:eastAsia="tr-TR"/>
        </w:rPr>
        <w:t xml:space="preserve"> in a total of 12 </w:t>
      </w:r>
      <w:r w:rsidRPr="00A0168B">
        <w:rPr>
          <w:rFonts w:ascii="Times New Roman" w:hAnsi="Times New Roman"/>
          <w:sz w:val="24"/>
          <w:szCs w:val="24"/>
          <w:lang w:val="en-US"/>
        </w:rPr>
        <w:t>orange juice</w:t>
      </w:r>
      <w:r w:rsidRPr="00A0168B">
        <w:rPr>
          <w:rFonts w:ascii="Times New Roman" w:eastAsia="WarnockPro-Regular" w:hAnsi="Times New Roman"/>
          <w:sz w:val="24"/>
          <w:szCs w:val="24"/>
          <w:lang w:val="en-US" w:eastAsia="tr-TR"/>
        </w:rPr>
        <w:t xml:space="preserve"> samples examined in the </w:t>
      </w:r>
      <w:r w:rsidRPr="00A0168B">
        <w:rPr>
          <w:rFonts w:ascii="Times New Roman" w:hAnsi="Times New Roman"/>
          <w:noProof/>
          <w:sz w:val="24"/>
          <w:szCs w:val="24"/>
          <w:lang w:val="en-US"/>
        </w:rPr>
        <w:t>Czech Republic</w:t>
      </w:r>
      <w:r w:rsidRPr="00A0168B">
        <w:rPr>
          <w:rFonts w:ascii="Times New Roman" w:eastAsia="WarnockPro-Regular" w:hAnsi="Times New Roman"/>
          <w:sz w:val="24"/>
          <w:szCs w:val="24"/>
          <w:lang w:val="en-US" w:eastAsia="tr-TR"/>
        </w:rPr>
        <w:t>.</w:t>
      </w:r>
      <w:r w:rsidRPr="00A0168B">
        <w:rPr>
          <w:rFonts w:ascii="Times New Roman" w:eastAsia="Times New Roman" w:hAnsi="Times New Roman"/>
          <w:sz w:val="24"/>
          <w:szCs w:val="24"/>
          <w:lang w:val="en-US" w:eastAsia="tr-TR"/>
        </w:rPr>
        <w:t xml:space="preserve"> </w:t>
      </w:r>
      <w:r w:rsidRPr="00A0168B">
        <w:rPr>
          <w:rFonts w:ascii="Times New Roman" w:hAnsi="Times New Roman"/>
          <w:sz w:val="24"/>
          <w:szCs w:val="24"/>
          <w:lang w:val="en-US"/>
        </w:rPr>
        <w:t>Matić</w:t>
      </w:r>
      <w:r w:rsidRPr="00A0168B">
        <w:rPr>
          <w:rFonts w:ascii="Times New Roman" w:eastAsia="WarnockPro-Regular" w:hAnsi="Times New Roman"/>
          <w:sz w:val="24"/>
          <w:szCs w:val="24"/>
          <w:lang w:val="en-US" w:eastAsia="tr-TR"/>
        </w:rPr>
        <w:t xml:space="preserve"> </w:t>
      </w:r>
      <w:r w:rsidRPr="00A0168B">
        <w:rPr>
          <w:rFonts w:ascii="Times New Roman" w:eastAsia="WarnockPro-Regular" w:hAnsi="Times New Roman"/>
          <w:iCs/>
          <w:sz w:val="24"/>
          <w:szCs w:val="24"/>
          <w:lang w:val="en-US" w:eastAsia="tr-TR"/>
        </w:rPr>
        <w:t>et al</w:t>
      </w:r>
      <w:r w:rsidRPr="00A0168B">
        <w:rPr>
          <w:rFonts w:ascii="Times New Roman" w:eastAsia="WarnockPro-Regular" w:hAnsi="Times New Roman"/>
          <w:sz w:val="24"/>
          <w:szCs w:val="24"/>
          <w:lang w:val="en-US" w:eastAsia="tr-TR"/>
        </w:rPr>
        <w:t xml:space="preserve">. (25) </w:t>
      </w:r>
      <w:r w:rsidRPr="00A0168B">
        <w:rPr>
          <w:rFonts w:ascii="Times New Roman" w:hAnsi="Times New Roman"/>
          <w:sz w:val="24"/>
          <w:szCs w:val="24"/>
          <w:lang w:val="en-US"/>
        </w:rPr>
        <w:t>indicated that</w:t>
      </w:r>
      <w:r w:rsidRPr="00A0168B">
        <w:rPr>
          <w:rFonts w:ascii="Times New Roman" w:eastAsia="WarnockPro-Regular" w:hAnsi="Times New Roman"/>
          <w:sz w:val="24"/>
          <w:szCs w:val="24"/>
          <w:lang w:val="en-US" w:eastAsia="tr-TR"/>
        </w:rPr>
        <w:t xml:space="preserve"> </w:t>
      </w:r>
      <w:r w:rsidRPr="00A0168B">
        <w:rPr>
          <w:rFonts w:ascii="Times New Roman" w:hAnsi="Times New Roman"/>
          <w:sz w:val="24"/>
          <w:szCs w:val="24"/>
          <w:lang w:val="en-US"/>
        </w:rPr>
        <w:t xml:space="preserve">mean </w:t>
      </w:r>
      <w:r w:rsidRPr="00A0168B">
        <w:rPr>
          <w:rFonts w:ascii="Times New Roman" w:eastAsia="WarnockPro-Regular" w:hAnsi="Times New Roman"/>
          <w:sz w:val="24"/>
          <w:szCs w:val="24"/>
          <w:lang w:val="en-US" w:eastAsia="tr-TR"/>
        </w:rPr>
        <w:t xml:space="preserve">HMF level </w:t>
      </w:r>
      <w:r w:rsidRPr="00A0168B">
        <w:rPr>
          <w:rFonts w:ascii="Times New Roman" w:hAnsi="Times New Roman"/>
          <w:sz w:val="24"/>
          <w:szCs w:val="24"/>
          <w:lang w:val="en-US"/>
        </w:rPr>
        <w:t xml:space="preserve">as </w:t>
      </w:r>
      <w:r w:rsidRPr="00A0168B">
        <w:rPr>
          <w:rFonts w:ascii="Times New Roman" w:eastAsia="Times New Roman" w:hAnsi="Times New Roman"/>
          <w:sz w:val="24"/>
          <w:szCs w:val="24"/>
          <w:lang w:val="en-US" w:eastAsia="tr-TR"/>
        </w:rPr>
        <w:t>9.89</w:t>
      </w:r>
      <w:r w:rsidRPr="00A0168B">
        <w:rPr>
          <w:rFonts w:ascii="Times New Roman" w:hAnsi="Times New Roman"/>
          <w:sz w:val="24"/>
          <w:szCs w:val="24"/>
          <w:lang w:val="en-US"/>
        </w:rPr>
        <w:t xml:space="preserve">±12.1 mg/kg in 20 apple juice in Serbia </w:t>
      </w:r>
      <w:r w:rsidRPr="00A0168B">
        <w:rPr>
          <w:rFonts w:ascii="Times New Roman" w:hAnsi="Times New Roman"/>
          <w:sz w:val="24"/>
          <w:szCs w:val="24"/>
          <w:lang w:val="en-US"/>
        </w:rPr>
        <w:lastRenderedPageBreak/>
        <w:t xml:space="preserve">and HMF levels of three apple juice sample were higher than the </w:t>
      </w:r>
      <w:r w:rsidRPr="00A0168B">
        <w:rPr>
          <w:rFonts w:ascii="Times New Roman" w:hAnsi="Times New Roman"/>
          <w:noProof/>
          <w:sz w:val="24"/>
          <w:szCs w:val="24"/>
          <w:lang w:val="en-US"/>
        </w:rPr>
        <w:t>maximum</w:t>
      </w:r>
      <w:r w:rsidRPr="00A0168B">
        <w:rPr>
          <w:rFonts w:ascii="Times New Roman" w:hAnsi="Times New Roman"/>
          <w:sz w:val="24"/>
          <w:szCs w:val="24"/>
          <w:lang w:val="en-US"/>
        </w:rPr>
        <w:t xml:space="preserve"> allowed HMF levels (20 mg/kg) established by Serbian legislation. </w:t>
      </w:r>
      <w:r w:rsidRPr="00A0168B">
        <w:rPr>
          <w:rStyle w:val="fontstyle01"/>
          <w:rFonts w:ascii="Times New Roman" w:hAnsi="Times New Roman" w:hint="default"/>
          <w:sz w:val="24"/>
          <w:szCs w:val="24"/>
        </w:rPr>
        <w:t>Jafarnia et al. (26) analyzed 40 traditionally and 12 industrially date syrup and they found that HMF values of fresh traditional and industrial date syrups ranged from 1000 to 2675 mg/kg and 12 to 456 mg/kg, respectively. Lee et al. (27) used HPLC method for the determination of 5-hydroxymethylfurfural in fruit juices in Malaysia and they found 5-HMF in all samples ranging from 0.08 to 91.5 mg/L. They noted that the HMF values of tropical juices were higher. Jalili and Ansari (28) mentioned that HMF contents ranged from 11.42 mg/kg to 39.24 mg/kg in 8 fruit juices samples. Teixido et al. (29) analyzed HMF content of apple and orange juices and they noted that the maximum HMF content of apple and orange juices were 3.5 mg/kg and 10.6 mg/kg, respectively. Zhang et al. (30) determined HMF contents in foods consumed in China. They found that HMF values ranged from n.d. to 8.6 mg/kg, and found mean values as 1.7 mg/kg in</w:t>
      </w:r>
      <w:r>
        <w:rPr>
          <w:rStyle w:val="fontstyle01"/>
          <w:rFonts w:ascii="Times New Roman" w:hAnsi="Times New Roman" w:hint="default"/>
          <w:sz w:val="24"/>
          <w:szCs w:val="24"/>
        </w:rPr>
        <w:t xml:space="preserve"> </w:t>
      </w:r>
      <w:r w:rsidRPr="00A0168B">
        <w:rPr>
          <w:rStyle w:val="fontstyle01"/>
          <w:rFonts w:ascii="Times New Roman" w:hAnsi="Times New Roman" w:hint="default"/>
          <w:sz w:val="24"/>
          <w:szCs w:val="24"/>
        </w:rPr>
        <w:t>fruit juices.</w:t>
      </w:r>
      <w:r>
        <w:rPr>
          <w:rStyle w:val="fontstyle01"/>
          <w:rFonts w:ascii="Times New Roman" w:hAnsi="Times New Roman" w:hint="default"/>
          <w:sz w:val="24"/>
          <w:szCs w:val="24"/>
        </w:rPr>
        <w:t xml:space="preserve"> </w:t>
      </w:r>
    </w:p>
    <w:p w:rsidR="00622F23" w:rsidRDefault="00622F23" w:rsidP="00622F23">
      <w:pPr>
        <w:autoSpaceDE w:val="0"/>
        <w:autoSpaceDN w:val="0"/>
        <w:adjustRightInd w:val="0"/>
        <w:spacing w:after="0" w:line="240" w:lineRule="auto"/>
        <w:jc w:val="both"/>
        <w:rPr>
          <w:rFonts w:ascii="Times New Roman" w:eastAsia="WarnockPro-Regular" w:hAnsi="Times New Roman"/>
          <w:sz w:val="24"/>
          <w:szCs w:val="24"/>
          <w:lang w:val="en-US" w:eastAsia="tr-TR"/>
        </w:r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eastAsia="WarnockPro-Regular" w:hAnsi="Times New Roman"/>
          <w:sz w:val="24"/>
          <w:szCs w:val="24"/>
          <w:lang w:val="en-US" w:eastAsia="tr-TR"/>
        </w:rPr>
        <w:t>These HMF levels in fruit juice samples determined by several researchers were lower when compared with the value reported in this study. Research results may be varying because of technological differences, used materials, regional difference and different storage conditions.</w:t>
      </w:r>
      <w:r w:rsidRPr="00A0168B">
        <w:rPr>
          <w:rStyle w:val="st"/>
          <w:rFonts w:ascii="Times New Roman" w:hAnsi="Times New Roman"/>
          <w:sz w:val="24"/>
          <w:szCs w:val="24"/>
          <w:lang w:val="en-US"/>
        </w:rPr>
        <w:t xml:space="preserve"> </w:t>
      </w:r>
      <w:r w:rsidRPr="00A0168B">
        <w:rPr>
          <w:rStyle w:val="st1"/>
          <w:rFonts w:ascii="Times New Roman" w:hAnsi="Times New Roman"/>
          <w:sz w:val="24"/>
          <w:szCs w:val="24"/>
          <w:lang w:val="en-US"/>
        </w:rPr>
        <w:t xml:space="preserve">Heat treatment is one of the most important factors </w:t>
      </w:r>
      <w:r w:rsidRPr="00A0168B">
        <w:rPr>
          <w:rStyle w:val="Vurgu"/>
          <w:rFonts w:ascii="Times New Roman" w:hAnsi="Times New Roman"/>
          <w:sz w:val="24"/>
          <w:szCs w:val="24"/>
          <w:lang w:val="en-US"/>
        </w:rPr>
        <w:t>affecting</w:t>
      </w:r>
      <w:r w:rsidRPr="00A0168B">
        <w:rPr>
          <w:rStyle w:val="st1"/>
          <w:rFonts w:ascii="Times New Roman" w:hAnsi="Times New Roman"/>
          <w:b/>
          <w:sz w:val="24"/>
          <w:szCs w:val="24"/>
          <w:lang w:val="en-US"/>
        </w:rPr>
        <w:t xml:space="preserve"> </w:t>
      </w:r>
      <w:r w:rsidRPr="00A0168B">
        <w:rPr>
          <w:rStyle w:val="st1"/>
          <w:rFonts w:ascii="Times New Roman" w:hAnsi="Times New Roman"/>
          <w:sz w:val="24"/>
          <w:szCs w:val="24"/>
          <w:lang w:val="en-US"/>
        </w:rPr>
        <w:t>the quality of fruit juices. In food processing,</w:t>
      </w:r>
      <w:r w:rsidRPr="00A0168B">
        <w:rPr>
          <w:rFonts w:ascii="Times New Roman" w:hAnsi="Times New Roman"/>
          <w:sz w:val="24"/>
          <w:szCs w:val="24"/>
          <w:lang w:val="en-US"/>
        </w:rPr>
        <w:t xml:space="preserve"> furfural compounds are occurred due to the </w:t>
      </w:r>
      <w:r w:rsidRPr="00A0168B">
        <w:rPr>
          <w:rFonts w:ascii="Times New Roman" w:hAnsi="Times New Roman"/>
          <w:noProof/>
          <w:sz w:val="24"/>
          <w:szCs w:val="24"/>
          <w:lang w:val="en-US"/>
        </w:rPr>
        <w:t>high-temperature</w:t>
      </w:r>
      <w:r w:rsidRPr="00A0168B">
        <w:rPr>
          <w:rFonts w:ascii="Times New Roman" w:hAnsi="Times New Roman"/>
          <w:sz w:val="24"/>
          <w:szCs w:val="24"/>
          <w:lang w:val="en-US"/>
        </w:rPr>
        <w:t xml:space="preserve"> applications. In addition, the formation of furfural is affected by unsuitable storage temperature of fruit juices.</w:t>
      </w:r>
      <w:r>
        <w:rPr>
          <w:rFonts w:ascii="Times New Roman" w:hAnsi="Times New Roman"/>
          <w:sz w:val="24"/>
          <w:szCs w:val="24"/>
          <w:lang w:val="en-US"/>
        </w:rPr>
        <w:t xml:space="preserve"> </w:t>
      </w:r>
    </w:p>
    <w:p w:rsidR="00622F23" w:rsidRDefault="00622F23" w:rsidP="00622F23">
      <w:pPr>
        <w:autoSpaceDE w:val="0"/>
        <w:autoSpaceDN w:val="0"/>
        <w:adjustRightInd w:val="0"/>
        <w:spacing w:after="0" w:line="240" w:lineRule="auto"/>
        <w:jc w:val="both"/>
        <w:rPr>
          <w:rFonts w:ascii="Times New Roman" w:eastAsia="WarnockPro-Regular" w:hAnsi="Times New Roman"/>
          <w:sz w:val="24"/>
          <w:szCs w:val="24"/>
          <w:lang w:val="en-US" w:eastAsia="tr-TR"/>
        </w:rPr>
      </w:pP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eastAsia="WarnockPro-Regular" w:hAnsi="Times New Roman"/>
          <w:sz w:val="24"/>
          <w:szCs w:val="24"/>
          <w:lang w:val="en-US" w:eastAsia="tr-TR"/>
        </w:rPr>
        <w:t xml:space="preserve">Generally, quantifying </w:t>
      </w:r>
      <w:r w:rsidRPr="00A0168B">
        <w:rPr>
          <w:rFonts w:ascii="Times New Roman" w:eastAsia="WarnockPro-Regular" w:hAnsi="Times New Roman"/>
          <w:noProof/>
          <w:sz w:val="24"/>
          <w:szCs w:val="24"/>
          <w:lang w:val="en-US" w:eastAsia="tr-TR"/>
        </w:rPr>
        <w:t>studies</w:t>
      </w:r>
      <w:r w:rsidRPr="00A0168B">
        <w:rPr>
          <w:rFonts w:ascii="Times New Roman" w:eastAsia="WarnockPro-Regular" w:hAnsi="Times New Roman"/>
          <w:sz w:val="24"/>
          <w:szCs w:val="24"/>
          <w:lang w:val="en-US" w:eastAsia="tr-TR"/>
        </w:rPr>
        <w:t xml:space="preserve"> about furfural compounds in fruit juices are limited.</w:t>
      </w:r>
      <w:r w:rsidRPr="00A0168B">
        <w:rPr>
          <w:rFonts w:ascii="Times New Roman" w:hAnsi="Times New Roman"/>
          <w:sz w:val="24"/>
          <w:szCs w:val="24"/>
          <w:lang w:val="en-US"/>
        </w:rPr>
        <w:t xml:space="preserve"> HMF and F are a </w:t>
      </w:r>
      <w:r w:rsidRPr="00A0168B">
        <w:rPr>
          <w:rFonts w:ascii="Times New Roman" w:hAnsi="Times New Roman"/>
          <w:noProof/>
          <w:sz w:val="24"/>
          <w:szCs w:val="24"/>
          <w:lang w:val="en-US"/>
        </w:rPr>
        <w:t>very</w:t>
      </w:r>
      <w:r w:rsidRPr="00A0168B">
        <w:rPr>
          <w:rFonts w:ascii="Times New Roman" w:hAnsi="Times New Roman"/>
          <w:sz w:val="24"/>
          <w:szCs w:val="24"/>
          <w:lang w:val="en-US"/>
        </w:rPr>
        <w:t xml:space="preserve"> important quality indicator in beverage processing. There is not enough information related to negative </w:t>
      </w:r>
      <w:r w:rsidRPr="00A0168B">
        <w:rPr>
          <w:rFonts w:ascii="Times New Roman" w:hAnsi="Times New Roman"/>
          <w:noProof/>
          <w:sz w:val="24"/>
          <w:szCs w:val="24"/>
          <w:lang w:val="en-US"/>
        </w:rPr>
        <w:t>direct</w:t>
      </w:r>
      <w:r w:rsidRPr="00A0168B">
        <w:rPr>
          <w:rFonts w:ascii="Times New Roman" w:hAnsi="Times New Roman"/>
          <w:sz w:val="24"/>
          <w:szCs w:val="24"/>
          <w:lang w:val="en-US"/>
        </w:rPr>
        <w:t xml:space="preserve"> effects of HMF on health. </w:t>
      </w:r>
      <w:r w:rsidRPr="00A0168B">
        <w:rPr>
          <w:rFonts w:ascii="Times New Roman" w:hAnsi="Times New Roman"/>
          <w:sz w:val="24"/>
          <w:szCs w:val="24"/>
          <w:lang w:val="en-US"/>
        </w:rPr>
        <w:lastRenderedPageBreak/>
        <w:t xml:space="preserve">Some studies are reported that metabolic product of HMF had adverse health effects. </w:t>
      </w:r>
    </w:p>
    <w:p w:rsidR="00622F23" w:rsidRDefault="00622F23" w:rsidP="00622F23">
      <w:pPr>
        <w:autoSpaceDE w:val="0"/>
        <w:autoSpaceDN w:val="0"/>
        <w:adjustRightInd w:val="0"/>
        <w:spacing w:after="0" w:line="240" w:lineRule="auto"/>
        <w:jc w:val="both"/>
        <w:rPr>
          <w:rFonts w:ascii="Times New Roman" w:hAnsi="Times New Roman"/>
          <w:sz w:val="24"/>
          <w:szCs w:val="24"/>
          <w:lang w:val="en-US"/>
        </w:rPr>
      </w:pPr>
    </w:p>
    <w:p w:rsidR="00622F23" w:rsidRPr="00A0168B" w:rsidRDefault="00622F23" w:rsidP="00622F23">
      <w:pPr>
        <w:autoSpaceDE w:val="0"/>
        <w:autoSpaceDN w:val="0"/>
        <w:adjustRightInd w:val="0"/>
        <w:spacing w:after="0" w:line="240" w:lineRule="auto"/>
        <w:jc w:val="both"/>
        <w:rPr>
          <w:rFonts w:ascii="Times New Roman" w:hAnsi="Times New Roman"/>
          <w:sz w:val="24"/>
          <w:szCs w:val="24"/>
          <w:lang w:val="en-US"/>
        </w:rPr>
      </w:pPr>
      <w:r w:rsidRPr="00A0168B">
        <w:rPr>
          <w:rFonts w:ascii="Times New Roman" w:hAnsi="Times New Roman"/>
          <w:sz w:val="24"/>
          <w:szCs w:val="24"/>
          <w:lang w:val="en-US"/>
        </w:rPr>
        <w:t xml:space="preserve">Finally, </w:t>
      </w:r>
      <w:r w:rsidRPr="00A0168B">
        <w:rPr>
          <w:rFonts w:ascii="Times New Roman" w:eastAsia="Times New Roman" w:hAnsi="Times New Roman"/>
          <w:sz w:val="24"/>
          <w:szCs w:val="24"/>
          <w:lang w:val="en-US" w:eastAsia="tr-TR"/>
        </w:rPr>
        <w:t>t</w:t>
      </w:r>
      <w:r w:rsidRPr="00A0168B">
        <w:rPr>
          <w:rFonts w:ascii="Times New Roman" w:eastAsia="WarnockPro-Regular" w:hAnsi="Times New Roman"/>
          <w:sz w:val="24"/>
          <w:szCs w:val="24"/>
          <w:lang w:val="en-US" w:eastAsia="tr-TR"/>
        </w:rPr>
        <w:t xml:space="preserve">he </w:t>
      </w:r>
      <w:r w:rsidRPr="00A0168B">
        <w:rPr>
          <w:rFonts w:ascii="Times New Roman" w:hAnsi="Times New Roman"/>
          <w:sz w:val="24"/>
          <w:szCs w:val="24"/>
          <w:lang w:val="en-US"/>
        </w:rPr>
        <w:t xml:space="preserve">findings of the </w:t>
      </w:r>
      <w:r w:rsidRPr="00A0168B">
        <w:rPr>
          <w:rFonts w:ascii="Times New Roman" w:hAnsi="Times New Roman"/>
          <w:noProof/>
          <w:sz w:val="24"/>
          <w:szCs w:val="24"/>
          <w:lang w:val="en-US"/>
        </w:rPr>
        <w:t>present</w:t>
      </w:r>
      <w:r w:rsidRPr="00A0168B">
        <w:rPr>
          <w:rFonts w:ascii="Times New Roman" w:hAnsi="Times New Roman"/>
          <w:sz w:val="24"/>
          <w:szCs w:val="24"/>
          <w:lang w:val="en-US"/>
        </w:rPr>
        <w:t xml:space="preserve"> study indicate that the monitoring of HMF in fruit juices is important due to the quality of products.</w:t>
      </w:r>
    </w:p>
    <w:p w:rsidR="00622F23" w:rsidRDefault="00622F23" w:rsidP="00622F23">
      <w:pPr>
        <w:spacing w:after="0" w:line="240" w:lineRule="auto"/>
        <w:jc w:val="both"/>
        <w:rPr>
          <w:rFonts w:ascii="Times New Roman" w:hAnsi="Times New Roman"/>
          <w:b/>
          <w:caps/>
          <w:sz w:val="24"/>
          <w:szCs w:val="24"/>
          <w:lang w:val="en-US" w:eastAsia="tr-TR"/>
        </w:rPr>
      </w:pPr>
    </w:p>
    <w:p w:rsidR="00622F23" w:rsidRPr="00A0168B" w:rsidRDefault="00622F23" w:rsidP="00622F23">
      <w:pPr>
        <w:spacing w:after="0" w:line="240" w:lineRule="auto"/>
        <w:jc w:val="both"/>
        <w:rPr>
          <w:rFonts w:ascii="Times New Roman" w:hAnsi="Times New Roman"/>
          <w:b/>
          <w:caps/>
          <w:sz w:val="24"/>
          <w:szCs w:val="24"/>
          <w:lang w:val="en-US" w:eastAsia="tr-TR"/>
        </w:rPr>
      </w:pPr>
      <w:r w:rsidRPr="00A0168B">
        <w:rPr>
          <w:rFonts w:ascii="Times New Roman" w:hAnsi="Times New Roman"/>
          <w:b/>
          <w:caps/>
          <w:sz w:val="24"/>
          <w:szCs w:val="24"/>
          <w:lang w:val="en-US" w:eastAsia="tr-TR"/>
        </w:rPr>
        <w:t>Conclusions</w:t>
      </w:r>
    </w:p>
    <w:p w:rsidR="00622F23" w:rsidRDefault="00622F23" w:rsidP="00622F23">
      <w:pPr>
        <w:spacing w:after="0" w:line="240" w:lineRule="auto"/>
        <w:jc w:val="both"/>
        <w:rPr>
          <w:rFonts w:ascii="Times New Roman" w:hAnsi="Times New Roman"/>
          <w:sz w:val="24"/>
          <w:szCs w:val="24"/>
          <w:lang w:val="en-US" w:eastAsia="tr-TR"/>
        </w:rPr>
      </w:pPr>
    </w:p>
    <w:p w:rsidR="00622F23" w:rsidRPr="00A0168B" w:rsidRDefault="00622F23" w:rsidP="00622F23">
      <w:pPr>
        <w:spacing w:after="0" w:line="240" w:lineRule="auto"/>
        <w:jc w:val="both"/>
        <w:rPr>
          <w:rFonts w:ascii="Times New Roman" w:hAnsi="Times New Roman"/>
          <w:sz w:val="24"/>
          <w:szCs w:val="24"/>
          <w:lang w:val="en-US" w:eastAsia="tr-TR"/>
        </w:rPr>
      </w:pPr>
      <w:r w:rsidRPr="00A0168B">
        <w:rPr>
          <w:rFonts w:ascii="Times New Roman" w:hAnsi="Times New Roman"/>
          <w:sz w:val="24"/>
          <w:szCs w:val="24"/>
          <w:lang w:val="en-US" w:eastAsia="tr-TR"/>
        </w:rPr>
        <w:t xml:space="preserve">An important problem caused by the </w:t>
      </w:r>
      <w:r w:rsidRPr="00A0168B">
        <w:rPr>
          <w:rFonts w:ascii="Times New Roman" w:hAnsi="Times New Roman"/>
          <w:noProof/>
          <w:sz w:val="24"/>
          <w:szCs w:val="24"/>
          <w:lang w:val="en-US" w:eastAsia="tr-TR"/>
        </w:rPr>
        <w:t>heating</w:t>
      </w:r>
      <w:r w:rsidRPr="00A0168B">
        <w:rPr>
          <w:rFonts w:ascii="Times New Roman" w:hAnsi="Times New Roman"/>
          <w:sz w:val="24"/>
          <w:szCs w:val="24"/>
          <w:lang w:val="en-US" w:eastAsia="tr-TR"/>
        </w:rPr>
        <w:t xml:space="preserve"> process is the </w:t>
      </w:r>
      <w:r w:rsidRPr="00A0168B">
        <w:rPr>
          <w:rFonts w:ascii="Times New Roman" w:hAnsi="Times New Roman"/>
          <w:noProof/>
          <w:sz w:val="24"/>
          <w:szCs w:val="24"/>
          <w:lang w:val="en-US" w:eastAsia="tr-TR"/>
        </w:rPr>
        <w:t>occurrence</w:t>
      </w:r>
      <w:r w:rsidRPr="00A0168B">
        <w:rPr>
          <w:rFonts w:ascii="Times New Roman" w:hAnsi="Times New Roman"/>
          <w:sz w:val="24"/>
          <w:szCs w:val="24"/>
          <w:lang w:val="en-US" w:eastAsia="tr-TR"/>
        </w:rPr>
        <w:t xml:space="preserve"> of some compounds that </w:t>
      </w:r>
      <w:r w:rsidRPr="00A0168B">
        <w:rPr>
          <w:rFonts w:ascii="Times New Roman" w:hAnsi="Times New Roman"/>
          <w:noProof/>
          <w:sz w:val="24"/>
          <w:szCs w:val="24"/>
          <w:lang w:val="en-US" w:eastAsia="tr-TR"/>
        </w:rPr>
        <w:t>do not naturally exist</w:t>
      </w:r>
      <w:r w:rsidRPr="00A0168B">
        <w:rPr>
          <w:rFonts w:ascii="Times New Roman" w:hAnsi="Times New Roman"/>
          <w:sz w:val="24"/>
          <w:szCs w:val="24"/>
          <w:lang w:val="en-US" w:eastAsia="tr-TR"/>
        </w:rPr>
        <w:t xml:space="preserve"> in the foods. Furfural compounds </w:t>
      </w:r>
      <w:r w:rsidRPr="00A0168B">
        <w:rPr>
          <w:rFonts w:ascii="Times New Roman" w:hAnsi="Times New Roman"/>
          <w:noProof/>
          <w:sz w:val="24"/>
          <w:szCs w:val="24"/>
          <w:lang w:val="en-US" w:eastAsia="tr-TR"/>
        </w:rPr>
        <w:t>occur</w:t>
      </w:r>
      <w:r w:rsidRPr="00A0168B">
        <w:rPr>
          <w:rFonts w:ascii="Times New Roman" w:hAnsi="Times New Roman"/>
          <w:sz w:val="24"/>
          <w:szCs w:val="24"/>
          <w:lang w:val="en-US" w:eastAsia="tr-TR"/>
        </w:rPr>
        <w:t xml:space="preserve"> during the non-enzymatic browning reactions and they are most known </w:t>
      </w:r>
      <w:r w:rsidRPr="00A0168B">
        <w:rPr>
          <w:rFonts w:ascii="Times New Roman" w:hAnsi="Times New Roman"/>
          <w:noProof/>
          <w:sz w:val="24"/>
          <w:szCs w:val="24"/>
          <w:lang w:val="en-US" w:eastAsia="tr-TR"/>
        </w:rPr>
        <w:t>Maillard</w:t>
      </w:r>
      <w:r w:rsidRPr="00A0168B">
        <w:rPr>
          <w:rFonts w:ascii="Times New Roman" w:hAnsi="Times New Roman"/>
          <w:sz w:val="24"/>
          <w:szCs w:val="24"/>
          <w:lang w:val="en-US" w:eastAsia="tr-TR"/>
        </w:rPr>
        <w:t xml:space="preserve"> reaction products that used as an indicator to examine the effects of heat processing on food. The presence of HMF and F, called furfural compounds, is accepted as a freshness and quality parameter in the foodstuffs. For this purpose, these compounds are analytically controlled in order to evaluate the quality of food </w:t>
      </w:r>
      <w:r w:rsidRPr="00A0168B">
        <w:rPr>
          <w:rFonts w:ascii="Times New Roman" w:hAnsi="Times New Roman"/>
          <w:noProof/>
          <w:sz w:val="24"/>
          <w:szCs w:val="24"/>
          <w:lang w:val="en-US" w:eastAsia="tr-TR"/>
        </w:rPr>
        <w:t>processing</w:t>
      </w:r>
      <w:r w:rsidRPr="00A0168B">
        <w:rPr>
          <w:rFonts w:ascii="Times New Roman" w:hAnsi="Times New Roman"/>
          <w:sz w:val="24"/>
          <w:szCs w:val="24"/>
          <w:lang w:val="en-US" w:eastAsia="tr-TR"/>
        </w:rPr>
        <w:t xml:space="preserve"> and organoleptic properties of the final products.</w:t>
      </w:r>
      <w:r w:rsidRPr="00A0168B">
        <w:t xml:space="preserve"> </w:t>
      </w:r>
      <w:r w:rsidRPr="00A0168B">
        <w:rPr>
          <w:rFonts w:ascii="Times New Roman" w:hAnsi="Times New Roman"/>
          <w:sz w:val="24"/>
          <w:szCs w:val="24"/>
          <w:lang w:val="en-US" w:eastAsia="tr-TR"/>
        </w:rPr>
        <w:t xml:space="preserve">The application of the cooling process after the temperature cycle in the production will also be beneficial due to the ensure quality of the final product. </w:t>
      </w:r>
      <w:r w:rsidRPr="00A0168B">
        <w:rPr>
          <w:rFonts w:ascii="Times New Roman" w:hAnsi="Times New Roman"/>
          <w:noProof/>
          <w:sz w:val="24"/>
          <w:szCs w:val="24"/>
          <w:lang w:val="en-US" w:eastAsia="tr-TR"/>
        </w:rPr>
        <w:t>Non-enzymatic</w:t>
      </w:r>
      <w:r w:rsidRPr="00A0168B">
        <w:rPr>
          <w:rFonts w:ascii="Times New Roman" w:hAnsi="Times New Roman"/>
          <w:sz w:val="24"/>
          <w:szCs w:val="24"/>
          <w:lang w:val="en-US" w:eastAsia="tr-TR"/>
        </w:rPr>
        <w:t xml:space="preserve"> browning reactions could not just cause quality loss such as product appearance but also affect food safety due to the formation of HMF. </w:t>
      </w:r>
      <w:r w:rsidRPr="00A0168B">
        <w:rPr>
          <w:rFonts w:ascii="Times New Roman" w:hAnsi="Times New Roman"/>
          <w:sz w:val="24"/>
          <w:szCs w:val="24"/>
        </w:rPr>
        <w:t xml:space="preserve">It was demonstrated that high concentration of HMF has </w:t>
      </w:r>
      <w:r w:rsidRPr="00A0168B">
        <w:rPr>
          <w:rFonts w:ascii="Times New Roman" w:hAnsi="Times New Roman"/>
          <w:noProof/>
          <w:sz w:val="24"/>
          <w:szCs w:val="24"/>
          <w:lang w:val="en-US"/>
        </w:rPr>
        <w:t>possible negative</w:t>
      </w:r>
      <w:r w:rsidRPr="00A0168B">
        <w:rPr>
          <w:rStyle w:val="apple-converted-space"/>
          <w:rFonts w:ascii="Times New Roman" w:hAnsi="Times New Roman"/>
          <w:noProof/>
          <w:sz w:val="24"/>
          <w:szCs w:val="24"/>
          <w:shd w:val="clear" w:color="auto" w:fill="FFFFFF"/>
          <w:lang w:val="en-US"/>
        </w:rPr>
        <w:t xml:space="preserve"> effects</w:t>
      </w:r>
      <w:r w:rsidRPr="00A0168B">
        <w:rPr>
          <w:rFonts w:ascii="Times New Roman" w:hAnsi="Times New Roman"/>
          <w:sz w:val="24"/>
          <w:szCs w:val="24"/>
          <w:shd w:val="clear" w:color="auto" w:fill="FFFFFF"/>
          <w:lang w:val="en-US"/>
        </w:rPr>
        <w:t>.</w:t>
      </w:r>
      <w:r w:rsidRPr="00A0168B">
        <w:rPr>
          <w:rFonts w:ascii="Times New Roman" w:hAnsi="Times New Roman"/>
          <w:sz w:val="24"/>
          <w:szCs w:val="24"/>
        </w:rPr>
        <w:t xml:space="preserve"> </w:t>
      </w:r>
      <w:r w:rsidRPr="00A0168B">
        <w:rPr>
          <w:rFonts w:ascii="Times New Roman" w:hAnsi="Times New Roman"/>
          <w:sz w:val="24"/>
          <w:szCs w:val="24"/>
          <w:lang w:val="en-US" w:eastAsia="tr-TR"/>
        </w:rPr>
        <w:t>From production to consumption precautions must be taken and usual controls must be carried out for food safety and consumer health. Production technologies and storage conditions could be suggested to improve in commercial fruit juices.</w:t>
      </w:r>
    </w:p>
    <w:p w:rsidR="00622F23" w:rsidRDefault="00622F23" w:rsidP="00622F23">
      <w:pPr>
        <w:autoSpaceDE w:val="0"/>
        <w:autoSpaceDN w:val="0"/>
        <w:adjustRightInd w:val="0"/>
        <w:spacing w:after="0" w:line="480" w:lineRule="auto"/>
        <w:jc w:val="both"/>
        <w:rPr>
          <w:rFonts w:ascii="Times New Roman" w:hAnsi="Times New Roman"/>
          <w:b/>
          <w:caps/>
          <w:sz w:val="24"/>
          <w:szCs w:val="24"/>
          <w:lang w:val="en-US" w:eastAsia="tr-TR"/>
        </w:rPr>
      </w:pPr>
    </w:p>
    <w:p w:rsidR="00622F23" w:rsidRPr="00A0168B" w:rsidRDefault="00622F23" w:rsidP="00622F23">
      <w:pPr>
        <w:autoSpaceDE w:val="0"/>
        <w:autoSpaceDN w:val="0"/>
        <w:adjustRightInd w:val="0"/>
        <w:spacing w:after="0" w:line="480" w:lineRule="auto"/>
        <w:jc w:val="both"/>
        <w:rPr>
          <w:rFonts w:ascii="Times New Roman" w:hAnsi="Times New Roman"/>
          <w:b/>
          <w:caps/>
          <w:sz w:val="24"/>
          <w:szCs w:val="24"/>
          <w:lang w:val="en-US" w:eastAsia="tr-TR"/>
        </w:rPr>
      </w:pPr>
      <w:r w:rsidRPr="00A0168B">
        <w:rPr>
          <w:rFonts w:ascii="Times New Roman" w:hAnsi="Times New Roman"/>
          <w:b/>
          <w:caps/>
          <w:sz w:val="24"/>
          <w:szCs w:val="24"/>
          <w:lang w:val="en-US" w:eastAsia="tr-TR"/>
        </w:rPr>
        <w:t>References</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bCs/>
          <w:iCs/>
          <w:sz w:val="20"/>
          <w:szCs w:val="20"/>
          <w:lang w:val="en-US"/>
        </w:rPr>
      </w:pPr>
      <w:r w:rsidRPr="00694778">
        <w:rPr>
          <w:rFonts w:ascii="Times New Roman" w:hAnsi="Times New Roman"/>
          <w:sz w:val="20"/>
          <w:szCs w:val="20"/>
          <w:lang w:val="en-US"/>
        </w:rPr>
        <w:t xml:space="preserve">Omran MN, Pirouzifard MK, </w:t>
      </w:r>
      <w:r w:rsidRPr="00694778">
        <w:rPr>
          <w:rFonts w:ascii="Times New Roman" w:hAnsi="Times New Roman"/>
          <w:noProof/>
          <w:sz w:val="20"/>
          <w:szCs w:val="20"/>
          <w:lang w:val="en-US"/>
        </w:rPr>
        <w:t>Aryaey</w:t>
      </w:r>
      <w:r w:rsidRPr="00694778">
        <w:rPr>
          <w:rFonts w:ascii="Times New Roman" w:hAnsi="Times New Roman"/>
          <w:sz w:val="20"/>
          <w:szCs w:val="20"/>
          <w:lang w:val="en-US"/>
        </w:rPr>
        <w:t xml:space="preserve"> P, Hasan Nejad M. </w:t>
      </w:r>
      <w:r w:rsidRPr="00694778">
        <w:rPr>
          <w:rFonts w:ascii="Times New Roman" w:hAnsi="Times New Roman"/>
          <w:bCs/>
          <w:sz w:val="20"/>
          <w:szCs w:val="20"/>
          <w:lang w:val="en-US"/>
        </w:rPr>
        <w:t>Cryoconcentration of sour cherry and orange juices with novel clarification method; comparison of thermal concentration with freeze concentration in liquid foods.</w:t>
      </w:r>
      <w:r w:rsidRPr="00694778">
        <w:rPr>
          <w:rFonts w:ascii="Times New Roman" w:hAnsi="Times New Roman"/>
          <w:bCs/>
          <w:iCs/>
          <w:sz w:val="20"/>
          <w:szCs w:val="20"/>
          <w:lang w:val="en-US"/>
        </w:rPr>
        <w:t xml:space="preserve"> J Agr Sci Tech. </w:t>
      </w:r>
      <w:r w:rsidRPr="00694778">
        <w:rPr>
          <w:rFonts w:ascii="Times New Roman" w:hAnsi="Times New Roman"/>
          <w:sz w:val="20"/>
          <w:szCs w:val="20"/>
          <w:lang w:val="en-US"/>
        </w:rPr>
        <w:t xml:space="preserve">2013; </w:t>
      </w:r>
      <w:r w:rsidRPr="00694778">
        <w:rPr>
          <w:rFonts w:ascii="Times New Roman" w:hAnsi="Times New Roman"/>
          <w:bCs/>
          <w:iCs/>
          <w:sz w:val="20"/>
          <w:szCs w:val="20"/>
          <w:lang w:val="en-US"/>
        </w:rPr>
        <w:t>15:941-950.</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lastRenderedPageBreak/>
        <w:t xml:space="preserve">Gomis DB, Alvarez MDG, </w:t>
      </w:r>
      <w:r w:rsidRPr="00694778">
        <w:rPr>
          <w:rFonts w:ascii="Times New Roman" w:hAnsi="Times New Roman"/>
          <w:noProof/>
          <w:sz w:val="20"/>
          <w:szCs w:val="20"/>
          <w:lang w:val="en-US"/>
        </w:rPr>
        <w:t>Naredo</w:t>
      </w:r>
      <w:r w:rsidRPr="00694778">
        <w:rPr>
          <w:rFonts w:ascii="Times New Roman" w:hAnsi="Times New Roman"/>
          <w:sz w:val="20"/>
          <w:szCs w:val="20"/>
          <w:lang w:val="en-US"/>
        </w:rPr>
        <w:t xml:space="preserve"> LS, Alonso MJJ. High-performance liquid </w:t>
      </w:r>
      <w:r w:rsidRPr="00694778">
        <w:rPr>
          <w:rFonts w:ascii="Times New Roman" w:hAnsi="Times New Roman"/>
          <w:noProof/>
          <w:sz w:val="20"/>
          <w:szCs w:val="20"/>
          <w:lang w:val="en-US"/>
        </w:rPr>
        <w:t>chromatographie</w:t>
      </w:r>
      <w:r w:rsidRPr="00694778">
        <w:rPr>
          <w:rFonts w:ascii="Times New Roman" w:hAnsi="Times New Roman"/>
          <w:sz w:val="20"/>
          <w:szCs w:val="20"/>
          <w:lang w:val="en-US"/>
        </w:rPr>
        <w:t xml:space="preserve"> determination of furfural and hydroxymethylfurfural in apple juices and concentrates. Chromatographia. 1991; 32:45-48.</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 xml:space="preserve">Çoklar H, Akbulut M. </w:t>
      </w:r>
      <w:r w:rsidRPr="00694778">
        <w:rPr>
          <w:rFonts w:ascii="Times New Roman" w:hAnsi="Times New Roman"/>
          <w:bCs/>
          <w:sz w:val="20"/>
          <w:szCs w:val="20"/>
          <w:lang w:val="en-US"/>
        </w:rPr>
        <w:t xml:space="preserve">Effect on phenolics, HMF and some </w:t>
      </w:r>
      <w:r w:rsidRPr="00694778">
        <w:rPr>
          <w:rFonts w:ascii="Times New Roman" w:hAnsi="Times New Roman"/>
          <w:bCs/>
          <w:noProof/>
          <w:sz w:val="20"/>
          <w:szCs w:val="20"/>
          <w:lang w:val="en-US"/>
        </w:rPr>
        <w:t>physico-chemical</w:t>
      </w:r>
      <w:r w:rsidRPr="00694778">
        <w:rPr>
          <w:rFonts w:ascii="Times New Roman" w:hAnsi="Times New Roman"/>
          <w:bCs/>
          <w:sz w:val="20"/>
          <w:szCs w:val="20"/>
          <w:lang w:val="en-US"/>
        </w:rPr>
        <w:t xml:space="preserve"> properties of apple juice concentrate of activated carbon applied at the different temperatures.</w:t>
      </w:r>
      <w:r w:rsidRPr="00694778">
        <w:rPr>
          <w:rFonts w:ascii="Times New Roman" w:hAnsi="Times New Roman"/>
          <w:sz w:val="20"/>
          <w:szCs w:val="20"/>
          <w:lang w:val="en-US"/>
        </w:rPr>
        <w:t xml:space="preserve"> J Food Process Eng. 2010;</w:t>
      </w:r>
      <w:r w:rsidRPr="00694778">
        <w:rPr>
          <w:rFonts w:ascii="Times New Roman" w:hAnsi="Times New Roman"/>
          <w:bCs/>
          <w:sz w:val="20"/>
          <w:szCs w:val="20"/>
          <w:lang w:val="en-US"/>
        </w:rPr>
        <w:t xml:space="preserve"> 33:</w:t>
      </w:r>
      <w:r w:rsidRPr="00694778">
        <w:rPr>
          <w:rFonts w:ascii="Times New Roman" w:hAnsi="Times New Roman"/>
          <w:sz w:val="20"/>
          <w:szCs w:val="20"/>
          <w:lang w:val="en-US"/>
        </w:rPr>
        <w:t>370–383.</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bCs/>
          <w:sz w:val="20"/>
          <w:szCs w:val="20"/>
          <w:lang w:val="en-US"/>
        </w:rPr>
        <w:t xml:space="preserve">Rahimzadeh N, Alizadeh M, Hezaveh SJG. Estimated bioaccessibility to 5- hydroxymethylfurfural from frequently consumed dried fruits in Iran. </w:t>
      </w:r>
      <w:r w:rsidRPr="00694778">
        <w:rPr>
          <w:rFonts w:ascii="Times New Roman" w:hAnsi="Times New Roman"/>
          <w:sz w:val="20"/>
          <w:szCs w:val="20"/>
          <w:lang w:val="en-US"/>
        </w:rPr>
        <w:t xml:space="preserve">JCHR. </w:t>
      </w:r>
      <w:r w:rsidRPr="00694778">
        <w:rPr>
          <w:rFonts w:ascii="Times New Roman" w:hAnsi="Times New Roman"/>
          <w:bCs/>
          <w:sz w:val="20"/>
          <w:szCs w:val="20"/>
          <w:lang w:val="en-US"/>
        </w:rPr>
        <w:t xml:space="preserve">2014; </w:t>
      </w:r>
      <w:r w:rsidRPr="00694778">
        <w:rPr>
          <w:rFonts w:ascii="Times New Roman" w:hAnsi="Times New Roman"/>
          <w:sz w:val="20"/>
          <w:szCs w:val="20"/>
          <w:lang w:val="en-US"/>
        </w:rPr>
        <w:t>4(3):15-23.</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Capuano E, Fogliano V. Acrylamide and 5-hydroxymethylfurfural (HMF): A review on metabolism, toxicity, occurrence in food and mitigation strategies. LWT-Food Sci Technol. 2011; 44:793-810.</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iCs/>
          <w:sz w:val="20"/>
          <w:szCs w:val="20"/>
          <w:lang w:val="en-US"/>
        </w:rPr>
      </w:pPr>
      <w:r w:rsidRPr="00694778">
        <w:rPr>
          <w:rFonts w:ascii="Times New Roman" w:hAnsi="Times New Roman"/>
          <w:iCs/>
          <w:sz w:val="20"/>
          <w:szCs w:val="20"/>
          <w:lang w:val="en-US"/>
        </w:rPr>
        <w:t xml:space="preserve">Kowalski S, Lukasiewicz M, Juszczak L, </w:t>
      </w:r>
      <w:r w:rsidRPr="00694778">
        <w:rPr>
          <w:rFonts w:ascii="Times New Roman" w:hAnsi="Times New Roman"/>
          <w:iCs/>
          <w:noProof/>
          <w:sz w:val="20"/>
          <w:szCs w:val="20"/>
          <w:lang w:val="en-US"/>
        </w:rPr>
        <w:t>Kutyla</w:t>
      </w:r>
      <w:r w:rsidRPr="00694778">
        <w:rPr>
          <w:rFonts w:ascii="Times New Roman" w:hAnsi="Times New Roman"/>
          <w:iCs/>
          <w:sz w:val="20"/>
          <w:szCs w:val="20"/>
          <w:lang w:val="en-US"/>
        </w:rPr>
        <w:t xml:space="preserve">-Kupidura EM. </w:t>
      </w:r>
      <w:r w:rsidRPr="00694778">
        <w:rPr>
          <w:rFonts w:ascii="Times New Roman" w:hAnsi="Times New Roman"/>
          <w:bCs/>
          <w:sz w:val="20"/>
          <w:szCs w:val="20"/>
          <w:lang w:val="en-US"/>
        </w:rPr>
        <w:t>Dynamics of 5-hydroxymethylfurfural formation in shortbreads during thermal processing.</w:t>
      </w:r>
      <w:r w:rsidRPr="00694778">
        <w:rPr>
          <w:rFonts w:ascii="Times New Roman" w:hAnsi="Times New Roman"/>
          <w:sz w:val="20"/>
          <w:szCs w:val="20"/>
          <w:lang w:val="en-US"/>
        </w:rPr>
        <w:t xml:space="preserve"> </w:t>
      </w:r>
      <w:r w:rsidRPr="00694778">
        <w:rPr>
          <w:rFonts w:ascii="Times New Roman" w:hAnsi="Times New Roman"/>
          <w:iCs/>
          <w:sz w:val="20"/>
          <w:szCs w:val="20"/>
          <w:lang w:val="en-US"/>
        </w:rPr>
        <w:t>Czech J Food Sci. 2013; 31(1):33-42.</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bCs/>
          <w:sz w:val="20"/>
          <w:szCs w:val="20"/>
          <w:lang w:val="en-US"/>
        </w:rPr>
        <w:t>Vorlová L, Borkovcová I, Kalábová K, Večerek V.</w:t>
      </w:r>
      <w:r w:rsidRPr="00694778">
        <w:rPr>
          <w:rFonts w:ascii="Times New Roman" w:hAnsi="Times New Roman"/>
          <w:b/>
          <w:bCs/>
          <w:sz w:val="20"/>
          <w:szCs w:val="20"/>
          <w:lang w:val="en-US"/>
        </w:rPr>
        <w:t xml:space="preserve"> </w:t>
      </w:r>
      <w:r w:rsidRPr="00694778">
        <w:rPr>
          <w:rFonts w:ascii="Times New Roman" w:hAnsi="Times New Roman"/>
          <w:sz w:val="20"/>
          <w:szCs w:val="20"/>
          <w:lang w:val="en-US"/>
        </w:rPr>
        <w:t xml:space="preserve">Hydroxymethylfurfural contents in foodstuffs determined by HPLC method. J Food Nutr Res. </w:t>
      </w:r>
      <w:r w:rsidRPr="00694778">
        <w:rPr>
          <w:rFonts w:ascii="Times New Roman" w:hAnsi="Times New Roman"/>
          <w:bCs/>
          <w:sz w:val="20"/>
          <w:szCs w:val="20"/>
          <w:lang w:val="en-US"/>
        </w:rPr>
        <w:t>2006;</w:t>
      </w:r>
      <w:r w:rsidRPr="00694778">
        <w:rPr>
          <w:rFonts w:ascii="Times New Roman" w:hAnsi="Times New Roman"/>
          <w:b/>
          <w:bCs/>
          <w:sz w:val="20"/>
          <w:szCs w:val="20"/>
          <w:lang w:val="en-US"/>
        </w:rPr>
        <w:t xml:space="preserve"> </w:t>
      </w:r>
      <w:r w:rsidRPr="00694778">
        <w:rPr>
          <w:rFonts w:ascii="Times New Roman" w:hAnsi="Times New Roman"/>
          <w:iCs/>
          <w:sz w:val="20"/>
          <w:szCs w:val="20"/>
          <w:lang w:val="en-US"/>
        </w:rPr>
        <w:t>45</w:t>
      </w:r>
      <w:r w:rsidRPr="00694778">
        <w:rPr>
          <w:rFonts w:ascii="Times New Roman" w:hAnsi="Times New Roman"/>
          <w:sz w:val="20"/>
          <w:szCs w:val="20"/>
          <w:lang w:val="en-US"/>
        </w:rPr>
        <w:t>(1):34-38.</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bCs/>
          <w:sz w:val="20"/>
          <w:szCs w:val="20"/>
          <w:lang w:val="en-US"/>
        </w:rPr>
      </w:pPr>
      <w:r w:rsidRPr="00694778">
        <w:rPr>
          <w:rFonts w:ascii="Times New Roman" w:hAnsi="Times New Roman"/>
          <w:iCs/>
          <w:sz w:val="20"/>
          <w:szCs w:val="20"/>
          <w:lang w:val="en-US"/>
        </w:rPr>
        <w:t xml:space="preserve">Abraham K, </w:t>
      </w:r>
      <w:r w:rsidRPr="00694778">
        <w:rPr>
          <w:rFonts w:ascii="Times New Roman" w:hAnsi="Times New Roman"/>
          <w:iCs/>
          <w:noProof/>
          <w:sz w:val="20"/>
          <w:szCs w:val="20"/>
          <w:lang w:val="en-US"/>
        </w:rPr>
        <w:t>Gurtler</w:t>
      </w:r>
      <w:r w:rsidRPr="00694778">
        <w:rPr>
          <w:rFonts w:ascii="Times New Roman" w:hAnsi="Times New Roman"/>
          <w:iCs/>
          <w:sz w:val="20"/>
          <w:szCs w:val="20"/>
          <w:lang w:val="en-US"/>
        </w:rPr>
        <w:t xml:space="preserve"> R, Berg K, Heinemeyer G, Lampen A, Appel KE. </w:t>
      </w:r>
      <w:r w:rsidRPr="00694778">
        <w:rPr>
          <w:rFonts w:ascii="Times New Roman" w:hAnsi="Times New Roman"/>
          <w:bCs/>
          <w:sz w:val="20"/>
          <w:szCs w:val="20"/>
          <w:lang w:val="en-US"/>
        </w:rPr>
        <w:t xml:space="preserve">Toxicology and risk assessment of 5 hydroxymethylfurfural in food. Mol Nutr Food Res. </w:t>
      </w:r>
      <w:r w:rsidRPr="00694778">
        <w:rPr>
          <w:rFonts w:ascii="Times New Roman" w:hAnsi="Times New Roman"/>
          <w:iCs/>
          <w:sz w:val="20"/>
          <w:szCs w:val="20"/>
          <w:lang w:val="en-US"/>
        </w:rPr>
        <w:t xml:space="preserve">2011; </w:t>
      </w:r>
      <w:r w:rsidRPr="00694778">
        <w:rPr>
          <w:rFonts w:ascii="Times New Roman" w:hAnsi="Times New Roman"/>
          <w:bCs/>
          <w:sz w:val="20"/>
          <w:szCs w:val="20"/>
          <w:lang w:val="en-US"/>
        </w:rPr>
        <w:t>55:667-678.</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 xml:space="preserve">Er Demirhan B, Demirhan B, Sönmez C, </w:t>
      </w:r>
      <w:r w:rsidRPr="00694778">
        <w:rPr>
          <w:rFonts w:ascii="Times New Roman" w:hAnsi="Times New Roman"/>
          <w:noProof/>
          <w:sz w:val="20"/>
          <w:szCs w:val="20"/>
          <w:lang w:val="en-US"/>
        </w:rPr>
        <w:t>Torul</w:t>
      </w:r>
      <w:r w:rsidRPr="00694778">
        <w:rPr>
          <w:rFonts w:ascii="Times New Roman" w:hAnsi="Times New Roman"/>
          <w:sz w:val="20"/>
          <w:szCs w:val="20"/>
          <w:lang w:val="en-US"/>
        </w:rPr>
        <w:t xml:space="preserve"> H, Tamer U, Yentür G. Determination of potential 5-hydroxymethyl-2-furaldehyde and 2-furaldehyde compounds in follow-on </w:t>
      </w:r>
      <w:r w:rsidRPr="00694778">
        <w:rPr>
          <w:rFonts w:ascii="Times New Roman" w:hAnsi="Times New Roman"/>
          <w:noProof/>
          <w:sz w:val="20"/>
          <w:szCs w:val="20"/>
          <w:lang w:val="en-US"/>
        </w:rPr>
        <w:t>milks</w:t>
      </w:r>
      <w:r w:rsidRPr="00694778">
        <w:rPr>
          <w:rFonts w:ascii="Times New Roman" w:hAnsi="Times New Roman"/>
          <w:sz w:val="20"/>
          <w:szCs w:val="20"/>
          <w:lang w:val="en-US"/>
        </w:rPr>
        <w:t xml:space="preserve"> and infant formulas using high-performance liquid chromatography method. J Dairy Sci. 2015; 98(2):818-822.</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shd w:val="clear" w:color="auto" w:fill="FFFFFF"/>
          <w:lang w:val="en-US"/>
        </w:rPr>
      </w:pPr>
      <w:r w:rsidRPr="00694778">
        <w:rPr>
          <w:rFonts w:ascii="Times New Roman" w:hAnsi="Times New Roman"/>
          <w:sz w:val="20"/>
          <w:szCs w:val="20"/>
          <w:shd w:val="clear" w:color="auto" w:fill="FFFFFF"/>
          <w:lang w:val="en-US"/>
        </w:rPr>
        <w:t>Severin I, Dumont C, Jondeau-</w:t>
      </w:r>
      <w:r w:rsidRPr="00694778">
        <w:rPr>
          <w:rFonts w:ascii="Times New Roman" w:hAnsi="Times New Roman"/>
          <w:noProof/>
          <w:sz w:val="20"/>
          <w:szCs w:val="20"/>
          <w:shd w:val="clear" w:color="auto" w:fill="FFFFFF"/>
          <w:lang w:val="en-US"/>
        </w:rPr>
        <w:t>Cabaton</w:t>
      </w:r>
      <w:r w:rsidRPr="00694778">
        <w:rPr>
          <w:rFonts w:ascii="Times New Roman" w:hAnsi="Times New Roman"/>
          <w:sz w:val="20"/>
          <w:szCs w:val="20"/>
          <w:shd w:val="clear" w:color="auto" w:fill="FFFFFF"/>
          <w:lang w:val="en-US"/>
        </w:rPr>
        <w:t xml:space="preserve"> A, Graillot V, Chagnon MC. Genotoxic activities of the food contaminant 5-hydroxymethylfurfural using different in vitro bioassays. Toxicol Lett. 2010; 192:189-194.</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 xml:space="preserve">Bakhiya N, </w:t>
      </w:r>
      <w:r w:rsidRPr="00694778">
        <w:rPr>
          <w:rFonts w:ascii="Times New Roman" w:hAnsi="Times New Roman"/>
          <w:noProof/>
          <w:sz w:val="20"/>
          <w:szCs w:val="20"/>
          <w:lang w:val="en-US"/>
        </w:rPr>
        <w:t>Monien</w:t>
      </w:r>
      <w:r w:rsidRPr="00694778">
        <w:rPr>
          <w:rFonts w:ascii="Times New Roman" w:hAnsi="Times New Roman"/>
          <w:sz w:val="20"/>
          <w:szCs w:val="20"/>
          <w:lang w:val="en-US"/>
        </w:rPr>
        <w:t xml:space="preserve"> B, Frank H, Seidel A, Glatt H. Renal organic anion transporters OAT1 and OAT3 mediate the cellular accumulation of 5 </w:t>
      </w:r>
      <w:r w:rsidRPr="00694778">
        <w:rPr>
          <w:rFonts w:ascii="Times New Roman" w:hAnsi="Times New Roman"/>
          <w:noProof/>
          <w:sz w:val="20"/>
          <w:szCs w:val="20"/>
          <w:lang w:val="en-US"/>
        </w:rPr>
        <w:t>sulfooxymethylfurfural</w:t>
      </w:r>
      <w:r w:rsidRPr="00694778">
        <w:rPr>
          <w:rFonts w:ascii="Times New Roman" w:hAnsi="Times New Roman"/>
          <w:sz w:val="20"/>
          <w:szCs w:val="20"/>
          <w:lang w:val="en-US"/>
        </w:rPr>
        <w:t>, a reactive, nephrotoxic metabolite of the Maillard product 5-hydroxymethylfurfural. Biochem Pharmacol. 2009; 78:414-419.</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iCs/>
          <w:sz w:val="20"/>
          <w:szCs w:val="20"/>
          <w:lang w:val="en-US"/>
        </w:rPr>
      </w:pPr>
      <w:r w:rsidRPr="00694778">
        <w:rPr>
          <w:rFonts w:ascii="Times New Roman" w:hAnsi="Times New Roman"/>
          <w:sz w:val="20"/>
          <w:szCs w:val="20"/>
          <w:lang w:val="en-US" w:eastAsia="tr-TR"/>
        </w:rPr>
        <w:t xml:space="preserve">TFC. </w:t>
      </w:r>
      <w:r w:rsidRPr="00694778">
        <w:rPr>
          <w:rFonts w:ascii="Times New Roman" w:hAnsi="Times New Roman"/>
          <w:sz w:val="20"/>
          <w:szCs w:val="20"/>
          <w:lang w:val="en-US"/>
        </w:rPr>
        <w:t>Turkish Food Codex, Meyve Suyu ve Benzeri</w:t>
      </w:r>
      <w:r w:rsidRPr="00694778">
        <w:rPr>
          <w:rStyle w:val="apple-converted-space"/>
          <w:rFonts w:ascii="Times New Roman" w:hAnsi="Times New Roman"/>
          <w:sz w:val="20"/>
          <w:szCs w:val="20"/>
          <w:lang w:val="en-US"/>
        </w:rPr>
        <w:t xml:space="preserve"> </w:t>
      </w:r>
      <w:r w:rsidRPr="00694778">
        <w:rPr>
          <w:rFonts w:ascii="Times New Roman" w:hAnsi="Times New Roman"/>
          <w:sz w:val="20"/>
          <w:szCs w:val="20"/>
          <w:lang w:val="en-US"/>
        </w:rPr>
        <w:t>Ürünler Tebliği, Tebliğ</w:t>
      </w:r>
      <w:r w:rsidRPr="00694778">
        <w:rPr>
          <w:rStyle w:val="apple-converted-space"/>
          <w:rFonts w:ascii="Times New Roman" w:hAnsi="Times New Roman"/>
          <w:sz w:val="20"/>
          <w:szCs w:val="20"/>
          <w:lang w:val="en-US"/>
        </w:rPr>
        <w:t xml:space="preserve"> </w:t>
      </w:r>
      <w:r w:rsidRPr="00694778">
        <w:rPr>
          <w:rFonts w:ascii="Times New Roman" w:hAnsi="Times New Roman"/>
          <w:sz w:val="20"/>
          <w:szCs w:val="20"/>
          <w:lang w:val="en-US"/>
        </w:rPr>
        <w:t>No: 2014/34, available: http://www.resmigazete.gov.tr/eskiler/2014/08/20140806-17.htm.</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shd w:val="clear" w:color="auto" w:fill="FFFFFF"/>
          <w:lang w:val="en-US"/>
        </w:rPr>
      </w:pPr>
      <w:r w:rsidRPr="00694778">
        <w:rPr>
          <w:rFonts w:ascii="Times New Roman" w:hAnsi="Times New Roman"/>
          <w:sz w:val="20"/>
          <w:szCs w:val="20"/>
          <w:lang w:val="en-US" w:eastAsia="tr-TR"/>
        </w:rPr>
        <w:t xml:space="preserve">TSI. Turkish Standard Institute, </w:t>
      </w:r>
      <w:r w:rsidRPr="00694778">
        <w:rPr>
          <w:rFonts w:ascii="Times New Roman" w:hAnsi="Times New Roman"/>
          <w:bCs/>
          <w:sz w:val="20"/>
          <w:szCs w:val="20"/>
          <w:lang w:val="en-US"/>
        </w:rPr>
        <w:t xml:space="preserve">Apple Juice, TS 3633, </w:t>
      </w:r>
      <w:r w:rsidRPr="00694778">
        <w:rPr>
          <w:rFonts w:ascii="Times New Roman" w:hAnsi="Times New Roman"/>
          <w:bCs/>
          <w:noProof/>
          <w:sz w:val="20"/>
          <w:szCs w:val="20"/>
          <w:lang w:val="en-US"/>
        </w:rPr>
        <w:t>April,</w:t>
      </w:r>
      <w:r w:rsidRPr="00694778">
        <w:rPr>
          <w:rFonts w:ascii="Times New Roman" w:hAnsi="Times New Roman"/>
          <w:bCs/>
          <w:sz w:val="20"/>
          <w:szCs w:val="20"/>
          <w:lang w:val="en-US"/>
        </w:rPr>
        <w:t xml:space="preserve"> 1996.</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shd w:val="clear" w:color="auto" w:fill="FFFFFF"/>
          <w:lang w:val="en-US"/>
        </w:rPr>
      </w:pPr>
      <w:r w:rsidRPr="00694778">
        <w:rPr>
          <w:rFonts w:ascii="Times New Roman" w:hAnsi="Times New Roman"/>
          <w:sz w:val="20"/>
          <w:szCs w:val="20"/>
          <w:lang w:val="en-US" w:eastAsia="tr-TR"/>
        </w:rPr>
        <w:lastRenderedPageBreak/>
        <w:t xml:space="preserve">TSI. Turkish Standard Institute, </w:t>
      </w:r>
      <w:r w:rsidRPr="00694778">
        <w:rPr>
          <w:rFonts w:ascii="Times New Roman" w:hAnsi="Times New Roman"/>
          <w:bCs/>
          <w:sz w:val="20"/>
          <w:szCs w:val="20"/>
          <w:lang w:val="en-US"/>
        </w:rPr>
        <w:t>Peach Nectar, TS 1596, March, 2008a.</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bCs/>
          <w:sz w:val="20"/>
          <w:szCs w:val="20"/>
          <w:lang w:val="en-US"/>
        </w:rPr>
      </w:pPr>
      <w:r w:rsidRPr="00694778">
        <w:rPr>
          <w:rFonts w:ascii="Times New Roman" w:hAnsi="Times New Roman"/>
          <w:sz w:val="20"/>
          <w:szCs w:val="20"/>
          <w:lang w:val="en-US" w:eastAsia="tr-TR"/>
        </w:rPr>
        <w:t xml:space="preserve">TSI. Turkish Standard Institute, </w:t>
      </w:r>
      <w:r w:rsidRPr="00694778">
        <w:rPr>
          <w:rFonts w:ascii="Times New Roman" w:hAnsi="Times New Roman"/>
          <w:bCs/>
          <w:sz w:val="20"/>
          <w:szCs w:val="20"/>
          <w:lang w:val="en-US"/>
        </w:rPr>
        <w:t>Apricot Nectar, TS 1597, March, 2008b.</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eastAsia="tr-TR"/>
        </w:rPr>
      </w:pPr>
      <w:r w:rsidRPr="00694778">
        <w:rPr>
          <w:rFonts w:ascii="Times New Roman" w:hAnsi="Times New Roman"/>
          <w:sz w:val="20"/>
          <w:szCs w:val="20"/>
          <w:lang w:val="en-US" w:eastAsia="tr-TR"/>
        </w:rPr>
        <w:t xml:space="preserve">TSI. Turkish Standard Institute, </w:t>
      </w:r>
      <w:r w:rsidRPr="00694778">
        <w:rPr>
          <w:rFonts w:ascii="Times New Roman" w:hAnsi="Times New Roman"/>
          <w:bCs/>
          <w:noProof/>
          <w:sz w:val="20"/>
          <w:szCs w:val="20"/>
          <w:lang w:val="en-US"/>
        </w:rPr>
        <w:t>Sourcherry</w:t>
      </w:r>
      <w:r w:rsidRPr="00694778">
        <w:rPr>
          <w:rFonts w:ascii="Times New Roman" w:hAnsi="Times New Roman"/>
          <w:bCs/>
          <w:sz w:val="20"/>
          <w:szCs w:val="20"/>
          <w:lang w:val="en-US"/>
        </w:rPr>
        <w:t xml:space="preserve"> Juice, TS 3631, </w:t>
      </w:r>
      <w:r w:rsidRPr="00694778">
        <w:rPr>
          <w:rFonts w:ascii="Times New Roman" w:hAnsi="Times New Roman"/>
          <w:bCs/>
          <w:noProof/>
          <w:sz w:val="20"/>
          <w:szCs w:val="20"/>
          <w:lang w:val="en-US"/>
        </w:rPr>
        <w:t>December,</w:t>
      </w:r>
      <w:r w:rsidRPr="00694778">
        <w:rPr>
          <w:rFonts w:ascii="Times New Roman" w:hAnsi="Times New Roman"/>
          <w:bCs/>
          <w:sz w:val="20"/>
          <w:szCs w:val="20"/>
          <w:lang w:val="en-US"/>
        </w:rPr>
        <w:t xml:space="preserve"> 2012.</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 xml:space="preserve">Guerra-Hernandez E, Gomez CL, Garcia-Villanova B, Sanchez NC, Gomez JMR. </w:t>
      </w:r>
      <w:r w:rsidRPr="00694778">
        <w:rPr>
          <w:rFonts w:ascii="Times New Roman" w:hAnsi="Times New Roman"/>
          <w:bCs/>
          <w:sz w:val="20"/>
          <w:szCs w:val="20"/>
          <w:lang w:val="en-US"/>
        </w:rPr>
        <w:t xml:space="preserve">Effect of storage on non-enzymatic browning of liquid infant milk formulae. J Sci Food Agric. </w:t>
      </w:r>
      <w:r w:rsidRPr="00694778">
        <w:rPr>
          <w:rFonts w:ascii="Times New Roman" w:hAnsi="Times New Roman"/>
          <w:sz w:val="20"/>
          <w:szCs w:val="20"/>
          <w:lang w:val="en-US"/>
        </w:rPr>
        <w:t>2002;</w:t>
      </w:r>
      <w:r w:rsidRPr="00694778">
        <w:rPr>
          <w:rFonts w:ascii="Times New Roman" w:hAnsi="Times New Roman"/>
          <w:bCs/>
          <w:sz w:val="20"/>
          <w:szCs w:val="20"/>
          <w:lang w:val="en-US"/>
        </w:rPr>
        <w:t xml:space="preserve"> 82:582-597.</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eastAsia="tr-TR"/>
        </w:rPr>
        <w:t xml:space="preserve">Daniel NW. </w:t>
      </w:r>
      <w:r w:rsidRPr="00694778">
        <w:rPr>
          <w:rFonts w:ascii="Times New Roman" w:hAnsi="Times New Roman"/>
          <w:noProof/>
          <w:sz w:val="20"/>
          <w:szCs w:val="20"/>
          <w:lang w:val="en-US" w:eastAsia="tr-TR"/>
        </w:rPr>
        <w:t>Bioistatistic</w:t>
      </w:r>
      <w:r w:rsidRPr="00694778">
        <w:rPr>
          <w:rFonts w:ascii="Times New Roman" w:hAnsi="Times New Roman"/>
          <w:sz w:val="20"/>
          <w:szCs w:val="20"/>
          <w:lang w:val="en-US" w:eastAsia="tr-TR"/>
        </w:rPr>
        <w:t>: a foundation for analysis in the health sciences, published by Wiley, New York 1991.</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bCs/>
          <w:sz w:val="20"/>
          <w:szCs w:val="20"/>
          <w:lang w:val="en-US"/>
        </w:rPr>
      </w:pPr>
      <w:r w:rsidRPr="00694778">
        <w:rPr>
          <w:rFonts w:ascii="Times New Roman" w:hAnsi="Times New Roman"/>
          <w:sz w:val="20"/>
          <w:szCs w:val="20"/>
          <w:lang w:val="en-US"/>
        </w:rPr>
        <w:t xml:space="preserve">Altunöz Erdoğan D, Kılıç E, Ekşi A. </w:t>
      </w:r>
      <w:r w:rsidRPr="00694778">
        <w:rPr>
          <w:rFonts w:ascii="Times New Roman" w:hAnsi="Times New Roman"/>
          <w:bCs/>
          <w:sz w:val="20"/>
          <w:szCs w:val="20"/>
          <w:lang w:val="en-US"/>
        </w:rPr>
        <w:t>Determination of toxic 5-hydroxymethylfurfural in fruit juice samples</w:t>
      </w:r>
      <w:r w:rsidRPr="00694778">
        <w:rPr>
          <w:rFonts w:ascii="Times New Roman" w:hAnsi="Times New Roman"/>
          <w:sz w:val="20"/>
          <w:szCs w:val="20"/>
          <w:lang w:val="en-US"/>
        </w:rPr>
        <w:t xml:space="preserve">. </w:t>
      </w:r>
      <w:r w:rsidRPr="00694778">
        <w:rPr>
          <w:rFonts w:ascii="Times New Roman" w:hAnsi="Times New Roman"/>
          <w:bCs/>
          <w:sz w:val="20"/>
          <w:szCs w:val="20"/>
          <w:lang w:val="en-US"/>
        </w:rPr>
        <w:t xml:space="preserve">Adli Bilimler Dergisi, </w:t>
      </w:r>
      <w:r w:rsidRPr="00694778">
        <w:rPr>
          <w:rFonts w:ascii="Times New Roman" w:hAnsi="Times New Roman"/>
          <w:sz w:val="20"/>
          <w:szCs w:val="20"/>
          <w:lang w:val="en-US"/>
        </w:rPr>
        <w:t xml:space="preserve">2014; </w:t>
      </w:r>
      <w:r w:rsidRPr="00694778">
        <w:rPr>
          <w:rFonts w:ascii="Times New Roman" w:hAnsi="Times New Roman"/>
          <w:bCs/>
          <w:sz w:val="20"/>
          <w:szCs w:val="20"/>
          <w:lang w:val="en-US"/>
        </w:rPr>
        <w:t>13:2.</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shd w:val="clear" w:color="auto" w:fill="FFFFFF"/>
          <w:lang w:val="en-US"/>
        </w:rPr>
        <w:t xml:space="preserve">Tüfekçi HB, Fenercioğlu H. </w:t>
      </w:r>
      <w:r w:rsidRPr="00694778">
        <w:rPr>
          <w:rFonts w:ascii="Times New Roman" w:hAnsi="Times New Roman"/>
          <w:bCs/>
          <w:sz w:val="20"/>
          <w:szCs w:val="20"/>
          <w:lang w:val="en-US"/>
        </w:rPr>
        <w:t>Türkiye’de üretilen bazı ticari meyve sularının kimyasal özellikler açısından gıda mevzuatına uygunlu</w:t>
      </w:r>
      <w:r w:rsidRPr="00694778">
        <w:rPr>
          <w:rFonts w:ascii="Times New Roman" w:eastAsia="Arial,Bold" w:hAnsi="Times New Roman"/>
          <w:bCs/>
          <w:sz w:val="20"/>
          <w:szCs w:val="20"/>
          <w:lang w:val="en-US"/>
        </w:rPr>
        <w:t>ğ</w:t>
      </w:r>
      <w:r w:rsidRPr="00694778">
        <w:rPr>
          <w:rFonts w:ascii="Times New Roman" w:hAnsi="Times New Roman"/>
          <w:bCs/>
          <w:sz w:val="20"/>
          <w:szCs w:val="20"/>
          <w:lang w:val="en-US"/>
        </w:rPr>
        <w:t>u.</w:t>
      </w:r>
      <w:r w:rsidRPr="00694778">
        <w:rPr>
          <w:rFonts w:ascii="Times New Roman" w:hAnsi="Times New Roman"/>
          <w:sz w:val="20"/>
          <w:szCs w:val="20"/>
          <w:lang w:val="en-US"/>
        </w:rPr>
        <w:t xml:space="preserve"> Akademik Gıda. </w:t>
      </w:r>
      <w:r w:rsidRPr="00694778">
        <w:rPr>
          <w:rFonts w:ascii="Times New Roman" w:hAnsi="Times New Roman"/>
          <w:sz w:val="20"/>
          <w:szCs w:val="20"/>
          <w:shd w:val="clear" w:color="auto" w:fill="FFFFFF"/>
          <w:lang w:val="en-US"/>
        </w:rPr>
        <w:t>2010;</w:t>
      </w:r>
      <w:r w:rsidRPr="00694778">
        <w:rPr>
          <w:rFonts w:ascii="Times New Roman" w:hAnsi="Times New Roman"/>
          <w:b/>
          <w:bCs/>
          <w:sz w:val="20"/>
          <w:szCs w:val="20"/>
          <w:lang w:val="en-US"/>
        </w:rPr>
        <w:t xml:space="preserve"> </w:t>
      </w:r>
      <w:r w:rsidRPr="00694778">
        <w:rPr>
          <w:rFonts w:ascii="Times New Roman" w:hAnsi="Times New Roman"/>
          <w:sz w:val="20"/>
          <w:szCs w:val="20"/>
          <w:lang w:val="en-US"/>
        </w:rPr>
        <w:t>8(2):11-17.</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bCs/>
          <w:iCs/>
          <w:sz w:val="20"/>
          <w:szCs w:val="20"/>
        </w:rPr>
        <w:t xml:space="preserve">Akkaya DE, Karataş Ş. Determination of hydroxymethylfurfural contents of some apple juices on the market by HPLC method. </w:t>
      </w:r>
      <w:r w:rsidRPr="00694778">
        <w:rPr>
          <w:rFonts w:ascii="Times New Roman" w:hAnsi="Times New Roman"/>
          <w:noProof/>
          <w:sz w:val="20"/>
          <w:szCs w:val="20"/>
        </w:rPr>
        <w:t>IJFER</w:t>
      </w:r>
      <w:r w:rsidRPr="00694778">
        <w:rPr>
          <w:rFonts w:ascii="Times New Roman" w:hAnsi="Times New Roman"/>
          <w:sz w:val="20"/>
          <w:szCs w:val="20"/>
        </w:rPr>
        <w:t xml:space="preserve">. 2016; </w:t>
      </w:r>
      <w:r w:rsidRPr="00694778">
        <w:rPr>
          <w:rFonts w:ascii="Times New Roman" w:hAnsi="Times New Roman"/>
          <w:bCs/>
          <w:sz w:val="20"/>
          <w:szCs w:val="20"/>
        </w:rPr>
        <w:t>2(2):19-27.</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rPr>
        <w:t xml:space="preserve">Kus S, Gogus F, Eren S. </w:t>
      </w:r>
      <w:r w:rsidRPr="00694778">
        <w:rPr>
          <w:rFonts w:ascii="Times New Roman" w:hAnsi="Times New Roman"/>
          <w:noProof/>
          <w:sz w:val="20"/>
          <w:szCs w:val="20"/>
        </w:rPr>
        <w:t>Hydroxymethyl furfural</w:t>
      </w:r>
      <w:r w:rsidRPr="00694778">
        <w:rPr>
          <w:rFonts w:ascii="Times New Roman" w:hAnsi="Times New Roman"/>
          <w:sz w:val="20"/>
          <w:szCs w:val="20"/>
        </w:rPr>
        <w:t xml:space="preserve"> content of concentrated food products. Int J Food Prop. 2005; 8(2):367-375.</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rPr>
        <w:t>Oral RA, Doğan M, Sarıoğlu K. Organik asit-fruktoz model sisteminde</w:t>
      </w:r>
      <w:r w:rsidRPr="00694778">
        <w:rPr>
          <w:sz w:val="20"/>
          <w:szCs w:val="20"/>
        </w:rPr>
        <w:t xml:space="preserve"> </w:t>
      </w:r>
      <w:r w:rsidRPr="00694778">
        <w:rPr>
          <w:rFonts w:ascii="Times New Roman" w:hAnsi="Times New Roman"/>
          <w:sz w:val="20"/>
          <w:szCs w:val="20"/>
        </w:rPr>
        <w:t xml:space="preserve">bazı fenolik bileşiklerin HMF oluşumu üzerine etkileri. </w:t>
      </w:r>
      <w:r w:rsidRPr="00694778">
        <w:rPr>
          <w:rFonts w:ascii="Times New Roman" w:hAnsi="Times New Roman"/>
          <w:iCs/>
          <w:sz w:val="20"/>
          <w:szCs w:val="20"/>
        </w:rPr>
        <w:t>GTED</w:t>
      </w:r>
      <w:r w:rsidRPr="00694778">
        <w:rPr>
          <w:rFonts w:ascii="Times New Roman" w:hAnsi="Times New Roman"/>
          <w:sz w:val="20"/>
          <w:szCs w:val="20"/>
        </w:rPr>
        <w:t>. 2013; 8(2):12-17.</w:t>
      </w:r>
      <w:r w:rsidRPr="00694778">
        <w:rPr>
          <w:sz w:val="20"/>
          <w:szCs w:val="20"/>
        </w:rPr>
        <w:t xml:space="preserve"> </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lastRenderedPageBreak/>
        <w:t xml:space="preserve">Santini A, Romano F, Meca G, Raiola A, Ritieni A. Antioxidant activity and quality of apple juices and puree after </w:t>
      </w:r>
      <w:r w:rsidRPr="00694778">
        <w:rPr>
          <w:rFonts w:ascii="Times New Roman" w:hAnsi="Times New Roman"/>
          <w:i/>
          <w:iCs/>
          <w:sz w:val="20"/>
          <w:szCs w:val="20"/>
          <w:lang w:val="en-US"/>
        </w:rPr>
        <w:t xml:space="preserve">in vitro </w:t>
      </w:r>
      <w:r w:rsidRPr="00694778">
        <w:rPr>
          <w:rFonts w:ascii="Times New Roman" w:hAnsi="Times New Roman"/>
          <w:sz w:val="20"/>
          <w:szCs w:val="20"/>
          <w:lang w:val="en-US"/>
        </w:rPr>
        <w:t>digestion. J Food Res. 2014; 3(4):41-50.</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lang w:val="en-US"/>
        </w:rPr>
        <w:t>Matić JJ, Šarić BM, Mandić AI, Milovanović IL, Jovanov PT, Mastilović JS. Determination of 5-hydroxymethylfurfural in apple juice. Food Feed Res. 2009; 36(1-2):35-39.</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NewRomanPS-ItalicMT" w:hAnsi="TimesNewRomanPS-ItalicMT"/>
          <w:iCs/>
          <w:sz w:val="20"/>
          <w:szCs w:val="20"/>
        </w:rPr>
        <w:t xml:space="preserve">Jafarnia A, </w:t>
      </w:r>
      <w:r w:rsidRPr="00694778">
        <w:rPr>
          <w:rFonts w:ascii="TimesNewRomanPS-ItalicMT" w:hAnsi="TimesNewRomanPS-ItalicMT"/>
          <w:iCs/>
          <w:noProof/>
          <w:sz w:val="20"/>
          <w:szCs w:val="20"/>
        </w:rPr>
        <w:t>Soodi</w:t>
      </w:r>
      <w:r w:rsidRPr="00694778">
        <w:rPr>
          <w:rFonts w:ascii="TimesNewRomanPS-ItalicMT" w:hAnsi="TimesNewRomanPS-ItalicMT"/>
          <w:iCs/>
          <w:sz w:val="20"/>
          <w:szCs w:val="20"/>
        </w:rPr>
        <w:t xml:space="preserve"> M, Shekarchi M</w:t>
      </w:r>
      <w:r w:rsidRPr="00694778">
        <w:rPr>
          <w:rFonts w:ascii="Times New Roman" w:hAnsi="Times New Roman"/>
          <w:iCs/>
          <w:sz w:val="20"/>
          <w:szCs w:val="20"/>
        </w:rPr>
        <w:t xml:space="preserve">. </w:t>
      </w:r>
      <w:r w:rsidRPr="00694778">
        <w:rPr>
          <w:rFonts w:ascii="Times New Roman" w:hAnsi="Times New Roman"/>
          <w:bCs/>
          <w:sz w:val="20"/>
          <w:szCs w:val="20"/>
        </w:rPr>
        <w:t xml:space="preserve">Determination and Comparision of Hydroxymethylfurfural in Industrial and Traditional Date Syrup Products. </w:t>
      </w:r>
      <w:r w:rsidRPr="00694778">
        <w:rPr>
          <w:rFonts w:ascii="TimesNewRomanPSMT" w:hAnsi="TimesNewRomanPSMT"/>
          <w:sz w:val="20"/>
          <w:szCs w:val="20"/>
        </w:rPr>
        <w:t>Iranian J Toxicol. 2016; 10</w:t>
      </w:r>
      <w:r w:rsidRPr="00694778">
        <w:rPr>
          <w:rFonts w:ascii="TimesNewRomanPS-BoldMT" w:hAnsi="TimesNewRomanPS-BoldMT"/>
          <w:bCs/>
          <w:sz w:val="20"/>
          <w:szCs w:val="20"/>
        </w:rPr>
        <w:t>(5): 11-16.</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rPr>
        <w:t xml:space="preserve">Lee TP, Sakai R, Manaf NA, </w:t>
      </w:r>
      <w:r w:rsidRPr="00694778">
        <w:rPr>
          <w:rFonts w:ascii="Times New Roman" w:hAnsi="Times New Roman"/>
          <w:noProof/>
          <w:sz w:val="20"/>
          <w:szCs w:val="20"/>
        </w:rPr>
        <w:t>Rodhi</w:t>
      </w:r>
      <w:r w:rsidRPr="00694778">
        <w:rPr>
          <w:rFonts w:ascii="Times New Roman" w:hAnsi="Times New Roman"/>
          <w:sz w:val="20"/>
          <w:szCs w:val="20"/>
        </w:rPr>
        <w:t xml:space="preserve"> AM, Saad B. </w:t>
      </w:r>
      <w:r w:rsidRPr="00694778">
        <w:rPr>
          <w:rFonts w:ascii="Times New Roman" w:hAnsi="Times New Roman"/>
          <w:noProof/>
          <w:sz w:val="20"/>
          <w:szCs w:val="20"/>
        </w:rPr>
        <w:t>High</w:t>
      </w:r>
      <w:r w:rsidRPr="00694778">
        <w:rPr>
          <w:rFonts w:ascii="Times New Roman" w:hAnsi="Times New Roman"/>
          <w:sz w:val="20"/>
          <w:szCs w:val="20"/>
        </w:rPr>
        <w:t xml:space="preserve"> performance liquid chromatography method for the determination of patulin and 5-hydroxymethylfurfural in fruit juices marketed in Malaysia. Food Control. 2014; 38:142-149.</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Style w:val="fontstyle01"/>
          <w:rFonts w:ascii="Times New Roman" w:hAnsi="Times New Roman" w:hint="default"/>
          <w:sz w:val="20"/>
          <w:szCs w:val="20"/>
        </w:rPr>
        <w:t xml:space="preserve">Jalili M, Ansari F. </w:t>
      </w:r>
      <w:r w:rsidRPr="00694778">
        <w:rPr>
          <w:rFonts w:ascii="Times New Roman" w:hAnsi="Times New Roman"/>
          <w:bCs/>
          <w:noProof/>
          <w:sz w:val="20"/>
          <w:szCs w:val="20"/>
        </w:rPr>
        <w:t>Identification</w:t>
      </w:r>
      <w:r w:rsidRPr="00694778">
        <w:rPr>
          <w:rFonts w:ascii="Times New Roman" w:hAnsi="Times New Roman"/>
          <w:bCs/>
          <w:sz w:val="20"/>
          <w:szCs w:val="20"/>
        </w:rPr>
        <w:t xml:space="preserve"> and Quantification of 5-Hydroxymethylfurfural in Food Products.</w:t>
      </w:r>
      <w:r w:rsidRPr="00694778">
        <w:rPr>
          <w:rFonts w:ascii="Times New Roman" w:hAnsi="Times New Roman"/>
          <w:b/>
          <w:bCs/>
          <w:sz w:val="20"/>
          <w:szCs w:val="20"/>
        </w:rPr>
        <w:t xml:space="preserve"> </w:t>
      </w:r>
      <w:r w:rsidRPr="00694778">
        <w:rPr>
          <w:rFonts w:ascii="Times New Roman" w:hAnsi="Times New Roman"/>
          <w:sz w:val="20"/>
          <w:szCs w:val="20"/>
        </w:rPr>
        <w:t>NFSR. 2015; 2(1):47-53.</w:t>
      </w:r>
    </w:p>
    <w:p w:rsidR="00622F23" w:rsidRPr="00694778" w:rsidRDefault="00622F23" w:rsidP="00622F23">
      <w:pPr>
        <w:numPr>
          <w:ilvl w:val="0"/>
          <w:numId w:val="3"/>
        </w:numPr>
        <w:autoSpaceDE w:val="0"/>
        <w:autoSpaceDN w:val="0"/>
        <w:adjustRightInd w:val="0"/>
        <w:spacing w:after="0" w:line="240" w:lineRule="auto"/>
        <w:ind w:left="426" w:hanging="426"/>
        <w:jc w:val="both"/>
        <w:rPr>
          <w:rFonts w:ascii="Times New Roman" w:hAnsi="Times New Roman"/>
          <w:sz w:val="20"/>
          <w:szCs w:val="20"/>
          <w:lang w:val="en-US"/>
        </w:rPr>
      </w:pPr>
      <w:r w:rsidRPr="00694778">
        <w:rPr>
          <w:rFonts w:ascii="Times New Roman" w:hAnsi="Times New Roman"/>
          <w:sz w:val="20"/>
          <w:szCs w:val="20"/>
        </w:rPr>
        <w:t xml:space="preserve">Teixido E, Nunez O, Santos FJ, Galceran MT. 5-Hydroxymethylfurfural content in foodstuffs determined by micellar electrokinetic chromatography. </w:t>
      </w:r>
      <w:r w:rsidRPr="00694778">
        <w:rPr>
          <w:rFonts w:ascii="Times New Roman" w:hAnsi="Times New Roman"/>
          <w:iCs/>
          <w:sz w:val="20"/>
          <w:szCs w:val="20"/>
        </w:rPr>
        <w:t>Food</w:t>
      </w:r>
      <w:r w:rsidRPr="00694778">
        <w:rPr>
          <w:iCs/>
          <w:sz w:val="20"/>
          <w:szCs w:val="20"/>
        </w:rPr>
        <w:t xml:space="preserve"> </w:t>
      </w:r>
      <w:r w:rsidRPr="00694778">
        <w:rPr>
          <w:rFonts w:ascii="Times New Roman" w:hAnsi="Times New Roman"/>
          <w:iCs/>
          <w:sz w:val="20"/>
          <w:szCs w:val="20"/>
        </w:rPr>
        <w:t xml:space="preserve">Chem. 2011; </w:t>
      </w:r>
      <w:r w:rsidRPr="00694778">
        <w:rPr>
          <w:rFonts w:ascii="Times New Roman" w:hAnsi="Times New Roman"/>
          <w:sz w:val="20"/>
          <w:szCs w:val="20"/>
        </w:rPr>
        <w:t>126(4):1902-1908.</w:t>
      </w:r>
    </w:p>
    <w:p w:rsidR="00622F23" w:rsidRPr="00694778" w:rsidRDefault="00622F23" w:rsidP="00622F23">
      <w:pPr>
        <w:numPr>
          <w:ilvl w:val="0"/>
          <w:numId w:val="3"/>
        </w:numPr>
        <w:autoSpaceDE w:val="0"/>
        <w:autoSpaceDN w:val="0"/>
        <w:adjustRightInd w:val="0"/>
        <w:spacing w:after="0" w:line="240" w:lineRule="auto"/>
        <w:ind w:left="426" w:hanging="426"/>
        <w:jc w:val="both"/>
        <w:rPr>
          <w:sz w:val="20"/>
          <w:szCs w:val="20"/>
        </w:rPr>
      </w:pPr>
      <w:r w:rsidRPr="00694778">
        <w:rPr>
          <w:rFonts w:ascii="Times New Roman" w:hAnsi="Times New Roman"/>
          <w:sz w:val="20"/>
          <w:szCs w:val="20"/>
        </w:rPr>
        <w:t>Zhang H, Wei L, Liu J, Lin S, Yuan Y. Detection of 5-hydroxymethyl-2-furfural levels in selected Chinese foods by Ultra-High-Performance Liquid</w:t>
      </w:r>
      <w:r w:rsidRPr="00694778">
        <w:rPr>
          <w:sz w:val="20"/>
          <w:szCs w:val="20"/>
        </w:rPr>
        <w:t xml:space="preserve"> </w:t>
      </w:r>
      <w:r w:rsidRPr="00694778">
        <w:rPr>
          <w:rFonts w:ascii="Times New Roman" w:hAnsi="Times New Roman"/>
          <w:sz w:val="20"/>
          <w:szCs w:val="20"/>
        </w:rPr>
        <w:t xml:space="preserve">Chromatograph analytical method. </w:t>
      </w:r>
      <w:r w:rsidRPr="00694778">
        <w:rPr>
          <w:rFonts w:ascii="Times New Roman" w:hAnsi="Times New Roman"/>
          <w:iCs/>
          <w:sz w:val="20"/>
          <w:szCs w:val="20"/>
        </w:rPr>
        <w:t>Food Anal Methods</w:t>
      </w:r>
      <w:r w:rsidRPr="00694778">
        <w:rPr>
          <w:rFonts w:ascii="Times New Roman" w:hAnsi="Times New Roman"/>
          <w:sz w:val="20"/>
          <w:szCs w:val="20"/>
        </w:rPr>
        <w:t>. 2014; 7(1):181-188.</w:t>
      </w:r>
    </w:p>
    <w:p w:rsidR="00622F23" w:rsidRDefault="00622F23" w:rsidP="00622F23">
      <w:pPr>
        <w:spacing w:line="240" w:lineRule="auto"/>
        <w:rPr>
          <w:sz w:val="20"/>
          <w:szCs w:val="20"/>
        </w:rPr>
        <w:sectPr w:rsidR="00622F23" w:rsidSect="00694778">
          <w:type w:val="continuous"/>
          <w:pgSz w:w="11906" w:h="16838"/>
          <w:pgMar w:top="1417" w:right="1417" w:bottom="1417" w:left="1417" w:header="708" w:footer="708" w:gutter="0"/>
          <w:cols w:num="2" w:space="708"/>
          <w:titlePg/>
          <w:docGrid w:linePitch="360"/>
        </w:sectPr>
      </w:pPr>
    </w:p>
    <w:p w:rsidR="00622F23" w:rsidRPr="00694778" w:rsidRDefault="00622F23" w:rsidP="00622F23">
      <w:pPr>
        <w:spacing w:line="240" w:lineRule="auto"/>
        <w:rPr>
          <w:sz w:val="20"/>
          <w:szCs w:val="20"/>
        </w:rPr>
      </w:pPr>
    </w:p>
    <w:p w:rsidR="00622F23" w:rsidRDefault="00622F23" w:rsidP="00622F23">
      <w:pPr>
        <w:shd w:val="clear" w:color="auto" w:fill="FFFFFF"/>
        <w:spacing w:after="150" w:line="240" w:lineRule="auto"/>
        <w:rPr>
          <w:rFonts w:ascii="Helvetica" w:eastAsia="Times New Roman" w:hAnsi="Helvetica" w:cs="Helvetica"/>
          <w:color w:val="333333"/>
          <w:sz w:val="19"/>
          <w:szCs w:val="19"/>
          <w:lang w:eastAsia="tr-TR"/>
        </w:rPr>
        <w:sectPr w:rsidR="00622F23" w:rsidSect="00694778">
          <w:type w:val="continuous"/>
          <w:pgSz w:w="11906" w:h="16838"/>
          <w:pgMar w:top="1417" w:right="1417" w:bottom="1417" w:left="1417" w:header="708" w:footer="708" w:gutter="0"/>
          <w:cols w:space="708"/>
          <w:titlePg/>
          <w:docGrid w:linePitch="360"/>
        </w:sectPr>
      </w:pPr>
    </w:p>
    <w:p w:rsidR="00622F23" w:rsidRPr="008239BB" w:rsidRDefault="00622F23" w:rsidP="00622F23">
      <w:pPr>
        <w:spacing w:line="480" w:lineRule="auto"/>
        <w:rPr>
          <w:b/>
        </w:rPr>
      </w:pPr>
    </w:p>
    <w:p w:rsidR="00622F23" w:rsidRDefault="00622F23" w:rsidP="00622F23">
      <w:pPr>
        <w:ind w:firstLine="360"/>
        <w:jc w:val="center"/>
        <w:rPr>
          <w:b/>
        </w:rPr>
      </w:pPr>
      <w:r w:rsidRPr="00704358">
        <w:rPr>
          <w:b/>
        </w:rPr>
        <w:t>BİR ÜNİVERSİTENİN İKİNCİ VE ÜÇÜNCÜ SINIF ERKEK HEMŞİRELİK ÖĞRENCİLERİNİN MESLEĞİ ALGILAMA TARZLARI: NİTEL BİR ÇALIŞMA</w:t>
      </w:r>
      <w:r>
        <w:rPr>
          <w:b/>
        </w:rPr>
        <w:t>*</w:t>
      </w:r>
    </w:p>
    <w:p w:rsidR="00622F23" w:rsidRPr="00C7023C" w:rsidRDefault="00622F23" w:rsidP="00622F23">
      <w:pPr>
        <w:ind w:firstLine="360"/>
        <w:jc w:val="center"/>
        <w:rPr>
          <w:b/>
          <w:sz w:val="20"/>
          <w:szCs w:val="20"/>
        </w:rPr>
      </w:pPr>
    </w:p>
    <w:p w:rsidR="00622F23" w:rsidRDefault="00622F23" w:rsidP="00622F23">
      <w:pPr>
        <w:spacing w:line="276" w:lineRule="auto"/>
        <w:jc w:val="center"/>
      </w:pPr>
      <w:r>
        <w:t>Adeviye AYDIN</w:t>
      </w:r>
    </w:p>
    <w:p w:rsidR="00622F23" w:rsidRPr="00A65F88" w:rsidRDefault="00622F23" w:rsidP="00622F23">
      <w:pPr>
        <w:tabs>
          <w:tab w:val="left" w:pos="8370"/>
        </w:tabs>
        <w:spacing w:line="276" w:lineRule="auto"/>
        <w:jc w:val="center"/>
        <w:rPr>
          <w:i/>
          <w:sz w:val="20"/>
          <w:szCs w:val="20"/>
        </w:rPr>
      </w:pPr>
      <w:r w:rsidRPr="00A65F88">
        <w:rPr>
          <w:i/>
          <w:sz w:val="20"/>
          <w:szCs w:val="20"/>
        </w:rPr>
        <w:t>Hacettepe Üniversitesi Hemşirelik Fakültesi Psikiyatri Hemşireliği Anabilim Dalı</w:t>
      </w:r>
    </w:p>
    <w:p w:rsidR="00622F23" w:rsidRPr="007606CE" w:rsidRDefault="00622F23" w:rsidP="00622F23">
      <w:pPr>
        <w:spacing w:line="276" w:lineRule="auto"/>
        <w:ind w:firstLine="360"/>
        <w:jc w:val="center"/>
        <w:rPr>
          <w:b/>
          <w:sz w:val="20"/>
          <w:szCs w:val="20"/>
        </w:rPr>
      </w:pPr>
      <w:r w:rsidRPr="000D6528">
        <w:rPr>
          <w:b/>
          <w:sz w:val="20"/>
          <w:szCs w:val="20"/>
        </w:rPr>
        <w:t>ÖZET</w:t>
      </w:r>
    </w:p>
    <w:p w:rsidR="00622F23" w:rsidRDefault="00622F23" w:rsidP="00622F23">
      <w:pPr>
        <w:spacing w:line="276" w:lineRule="auto"/>
        <w:jc w:val="both"/>
        <w:rPr>
          <w:rFonts w:eastAsia="Calibri"/>
          <w:b/>
          <w:sz w:val="20"/>
          <w:szCs w:val="20"/>
        </w:rPr>
      </w:pPr>
      <w:r w:rsidRPr="000D6528">
        <w:rPr>
          <w:sz w:val="20"/>
          <w:szCs w:val="20"/>
        </w:rPr>
        <w:t>Çalışmada</w:t>
      </w:r>
      <w:r w:rsidRPr="000D6528">
        <w:rPr>
          <w:b/>
          <w:sz w:val="20"/>
          <w:szCs w:val="20"/>
        </w:rPr>
        <w:t xml:space="preserve"> </w:t>
      </w:r>
      <w:r w:rsidRPr="000D6528">
        <w:rPr>
          <w:sz w:val="20"/>
          <w:szCs w:val="20"/>
        </w:rPr>
        <w:t xml:space="preserve">bir üniversitenin ikinci ve üçüncü sınıf erkek hemşirelik öğrencilerinin mesleği algılama tarzları fenomenolojik yaklaşım kullanılarak belirlenmesi amaçlanmıştır. Araştırma altı </w:t>
      </w:r>
      <w:r>
        <w:rPr>
          <w:sz w:val="20"/>
          <w:szCs w:val="20"/>
        </w:rPr>
        <w:t xml:space="preserve">gönüllü </w:t>
      </w:r>
      <w:r w:rsidRPr="000D6528">
        <w:rPr>
          <w:sz w:val="20"/>
          <w:szCs w:val="20"/>
        </w:rPr>
        <w:t>erkek hemşirelik öğrencisi ile gerçekleştirilmiştir. Hemşirelik eğitiminde ikinci sınıftan itibaren klinik deneyim ve gözlem gelişmeye başladığı için araştırmaya ikinci sınıftan itibaren öğrenciler seçilmiştir. Araştıma verileri öğrenci veri formu ve yarı yapılandırılmış görüşme formu kullanılarak toplanmıştır. Araştırma verileri toplandıktan sonra araştırmacı tarafından görüşmeler birkaç kez okunarak uygun temalar ve alt temalar belirlenmiştir. Analiz ve değerlendirmeler kapsamında temalar ve alt temalar oluşturulmuştur.</w:t>
      </w:r>
      <w:r w:rsidRPr="000D6528">
        <w:rPr>
          <w:b/>
          <w:sz w:val="20"/>
          <w:szCs w:val="20"/>
        </w:rPr>
        <w:t xml:space="preserve">  </w:t>
      </w:r>
      <w:r w:rsidRPr="000D6528">
        <w:rPr>
          <w:sz w:val="20"/>
          <w:szCs w:val="20"/>
        </w:rPr>
        <w:t>Verilerin analizinden ortaya çıkan temalar: Meslek seçimi, cinsiyete dayalı kalıplar, mesleğe ilişkin bireysel algı ve gelecek planlarıdır. Cinsiyete dayalı kalıplar temasında katılımcılar çogunlukla klinikte güç gerektiren durumlarda kendilerine ihtiyaç duyulduğunu belirtmişlerdir. Hemşirelik mesleğini seçme temasında, katılımcıların mesleği seçme nedenleri belirlenmiştir. Ekonomik nedenler, sağlıkla ilgili bir alan olma ve üniversite sınav sonuçlarına göre bölümü seçme bu nedenlerdendir. Hemşirelikte erkek öğrenci sayısının kız öğrencilere göre daha az olması nedeniyle ikinci ve üçüncü sınıf erkek öğrenciler, eğiticiler tarafından kendilerinin daha fazla ilgi odağı haline geldiklerini belirtmişlerdir.  Hemşirelik eğitiminde, eğiticilerin erkek öğrencilere yaklaşımı öncelik ve baskı oluşturacak şekilde olmamalı, erkek öğrencilerin rahat bir şekilde kendini ifade etmesi sağlanmalıdır.</w:t>
      </w:r>
      <w:r w:rsidRPr="000D6528">
        <w:rPr>
          <w:rFonts w:eastAsia="Calibri"/>
          <w:b/>
          <w:sz w:val="20"/>
          <w:szCs w:val="20"/>
        </w:rPr>
        <w:t xml:space="preserve"> </w:t>
      </w:r>
    </w:p>
    <w:p w:rsidR="00622F23" w:rsidRPr="00C7023C" w:rsidRDefault="00622F23" w:rsidP="00622F23">
      <w:pPr>
        <w:jc w:val="both"/>
        <w:rPr>
          <w:rFonts w:eastAsia="Calibri"/>
          <w:sz w:val="20"/>
          <w:szCs w:val="20"/>
        </w:rPr>
      </w:pPr>
      <w:r w:rsidRPr="00C7023C">
        <w:rPr>
          <w:rFonts w:eastAsia="Calibri"/>
          <w:b/>
          <w:sz w:val="20"/>
          <w:szCs w:val="20"/>
        </w:rPr>
        <w:t xml:space="preserve">Anahtar Kelimeler: </w:t>
      </w:r>
      <w:r w:rsidRPr="00C7023C">
        <w:rPr>
          <w:rFonts w:eastAsia="Calibri"/>
          <w:sz w:val="20"/>
          <w:szCs w:val="20"/>
        </w:rPr>
        <w:t>Erkek hemşirelik öğrencileri, mesleki algılama, nitel çalışma</w:t>
      </w:r>
    </w:p>
    <w:p w:rsidR="00622F23" w:rsidRDefault="00622F23" w:rsidP="00622F23">
      <w:pPr>
        <w:jc w:val="center"/>
        <w:rPr>
          <w:rFonts w:eastAsia="Calibri"/>
          <w:b/>
        </w:rPr>
      </w:pPr>
      <w:r w:rsidRPr="00704358">
        <w:rPr>
          <w:rFonts w:eastAsia="Calibri"/>
          <w:b/>
        </w:rPr>
        <w:t>PROFESSION PERCEPTION STYLES OF SECOND AND THIRD YEAR MALE NURSING STUDENTS IN A UNIVERSITY: A QUALITATIVE STUDY</w:t>
      </w:r>
    </w:p>
    <w:p w:rsidR="00622F23" w:rsidRPr="007606CE" w:rsidRDefault="00622F23" w:rsidP="00622F23">
      <w:pPr>
        <w:jc w:val="center"/>
        <w:rPr>
          <w:rFonts w:eastAsia="Calibri"/>
          <w:b/>
          <w:sz w:val="20"/>
          <w:szCs w:val="20"/>
        </w:rPr>
      </w:pPr>
      <w:r w:rsidRPr="007606CE">
        <w:rPr>
          <w:rFonts w:eastAsia="Calibri"/>
          <w:b/>
          <w:sz w:val="20"/>
          <w:szCs w:val="20"/>
        </w:rPr>
        <w:t>ABSTRACT</w:t>
      </w:r>
    </w:p>
    <w:p w:rsidR="00622F23" w:rsidRPr="00A84453" w:rsidRDefault="00622F23" w:rsidP="00622F23">
      <w:pPr>
        <w:jc w:val="both"/>
        <w:rPr>
          <w:rFonts w:eastAsia="Calibri"/>
          <w:b/>
        </w:rPr>
      </w:pPr>
      <w:r w:rsidRPr="00A84453">
        <w:rPr>
          <w:rFonts w:eastAsia="Calibri"/>
          <w:sz w:val="20"/>
          <w:szCs w:val="20"/>
        </w:rPr>
        <w:t>The aim of this study was to determine the perception style of the profession of second and third year male nursing students in a university by using phenomenological approach.</w:t>
      </w:r>
      <w:r w:rsidRPr="00A84453">
        <w:rPr>
          <w:rFonts w:eastAsia="Calibri"/>
          <w:b/>
          <w:sz w:val="20"/>
          <w:szCs w:val="20"/>
        </w:rPr>
        <w:t xml:space="preserve"> </w:t>
      </w:r>
      <w:r w:rsidRPr="00A84453">
        <w:rPr>
          <w:rFonts w:eastAsia="Calibri"/>
          <w:sz w:val="20"/>
          <w:szCs w:val="20"/>
        </w:rPr>
        <w:t xml:space="preserve">The study was carried out with 6 volunteer male nursing students.  Because of clinical experiences and observations of nursing students begin to development at the second year of the nursing education, selection of attended students were made from second year.  Study </w:t>
      </w:r>
      <w:proofErr w:type="gramStart"/>
      <w:r w:rsidRPr="00A84453">
        <w:rPr>
          <w:rFonts w:eastAsia="Calibri"/>
          <w:sz w:val="20"/>
          <w:szCs w:val="20"/>
        </w:rPr>
        <w:t>data</w:t>
      </w:r>
      <w:proofErr w:type="gramEnd"/>
      <w:r w:rsidRPr="00A84453">
        <w:rPr>
          <w:rFonts w:eastAsia="Calibri"/>
          <w:sz w:val="20"/>
          <w:szCs w:val="20"/>
        </w:rPr>
        <w:t xml:space="preserve"> were collected by student data form and semi structured interviews. After </w:t>
      </w:r>
      <w:proofErr w:type="gramStart"/>
      <w:r w:rsidRPr="00A84453">
        <w:rPr>
          <w:rFonts w:eastAsia="Calibri"/>
          <w:sz w:val="20"/>
          <w:szCs w:val="20"/>
        </w:rPr>
        <w:t>data</w:t>
      </w:r>
      <w:proofErr w:type="gramEnd"/>
      <w:r w:rsidRPr="00A84453">
        <w:rPr>
          <w:rFonts w:eastAsia="Calibri"/>
          <w:sz w:val="20"/>
          <w:szCs w:val="20"/>
        </w:rPr>
        <w:t xml:space="preserve"> collection process completed, interview texts are read several times by researcher and determined the appropriate theme titles and sub-theme titles.  These titles were made within the scope of analyses and assessments. Themes are: Profession choice, gender based stereotypes, individual perception of the profession and future plans.</w:t>
      </w:r>
      <w:r w:rsidRPr="00A84453">
        <w:rPr>
          <w:rFonts w:ascii="Calibri" w:eastAsia="Calibri" w:hAnsi="Calibri"/>
          <w:sz w:val="20"/>
          <w:szCs w:val="20"/>
        </w:rPr>
        <w:t xml:space="preserve"> </w:t>
      </w:r>
      <w:r w:rsidRPr="00A84453">
        <w:rPr>
          <w:rFonts w:eastAsia="Calibri"/>
          <w:sz w:val="20"/>
          <w:szCs w:val="20"/>
        </w:rPr>
        <w:t>By the gender based stereotypes theme participants were mostly stated that they are usually used for works which require strength in the clinic. In the choice of nursing profession theme, the reasons that the participants choosing this profession have been determined.</w:t>
      </w:r>
      <w:r w:rsidRPr="00A84453">
        <w:rPr>
          <w:rFonts w:ascii="Calibri" w:eastAsia="Calibri" w:hAnsi="Calibri"/>
          <w:sz w:val="20"/>
          <w:szCs w:val="20"/>
        </w:rPr>
        <w:t xml:space="preserve"> </w:t>
      </w:r>
      <w:r w:rsidRPr="00A84453">
        <w:rPr>
          <w:rFonts w:eastAsia="Calibri"/>
          <w:sz w:val="20"/>
          <w:szCs w:val="20"/>
        </w:rPr>
        <w:t xml:space="preserve">Economic conditions, interested in health field </w:t>
      </w:r>
      <w:r w:rsidRPr="00A84453">
        <w:rPr>
          <w:rFonts w:eastAsia="Calibri"/>
          <w:sz w:val="20"/>
          <w:szCs w:val="20"/>
        </w:rPr>
        <w:lastRenderedPageBreak/>
        <w:t>and indispensability of choosing department according to university exam results are these reasons. Because of the number of male students in nursing is less than girls’ number, third and second year male students were more likely to become the focus of attention by educators. In nursing education, trainers approach shouldn’t display priority and pressure to male students so by this way male students should be provided to express themselves with comfortable manner.</w:t>
      </w:r>
    </w:p>
    <w:p w:rsidR="00622F23" w:rsidRPr="00C7023C" w:rsidRDefault="00622F23" w:rsidP="00622F23">
      <w:pPr>
        <w:jc w:val="both"/>
        <w:rPr>
          <w:rFonts w:eastAsia="Calibri"/>
          <w:sz w:val="20"/>
          <w:szCs w:val="20"/>
        </w:rPr>
      </w:pPr>
      <w:r w:rsidRPr="00003A67">
        <w:rPr>
          <w:rFonts w:eastAsia="Calibri"/>
          <w:b/>
          <w:sz w:val="20"/>
          <w:szCs w:val="20"/>
        </w:rPr>
        <w:t>Key Words</w:t>
      </w:r>
      <w:r w:rsidRPr="00C7023C">
        <w:rPr>
          <w:rFonts w:eastAsia="Calibri"/>
          <w:sz w:val="20"/>
          <w:szCs w:val="20"/>
        </w:rPr>
        <w:t>: Male nursing students, profession perception, qualitative study</w:t>
      </w:r>
    </w:p>
    <w:p w:rsidR="00622F23" w:rsidRPr="00714EE2" w:rsidRDefault="00622F23" w:rsidP="00622F23">
      <w:pPr>
        <w:jc w:val="both"/>
        <w:rPr>
          <w:bCs/>
          <w:color w:val="FF0000"/>
        </w:rPr>
      </w:pPr>
    </w:p>
    <w:p w:rsidR="00622F23" w:rsidRPr="00C7023C" w:rsidRDefault="00622F23" w:rsidP="00622F23">
      <w:pPr>
        <w:jc w:val="both"/>
        <w:rPr>
          <w:b/>
        </w:rPr>
      </w:pPr>
      <w:r w:rsidRPr="00C7023C">
        <w:rPr>
          <w:b/>
        </w:rPr>
        <w:t>GİRİŞ</w:t>
      </w:r>
    </w:p>
    <w:p w:rsidR="00622F23" w:rsidRPr="00C7023C" w:rsidRDefault="00622F23" w:rsidP="00622F23">
      <w:pPr>
        <w:jc w:val="both"/>
        <w:rPr>
          <w:b/>
        </w:rPr>
        <w:sectPr w:rsidR="00622F23" w:rsidRPr="00C7023C" w:rsidSect="007606CE">
          <w:headerReference w:type="default" r:id="rId31"/>
          <w:footerReference w:type="default" r:id="rId32"/>
          <w:headerReference w:type="first" r:id="rId33"/>
          <w:footerReference w:type="first" r:id="rId34"/>
          <w:pgSz w:w="11906" w:h="16838"/>
          <w:pgMar w:top="1418" w:right="1418" w:bottom="1418" w:left="1418" w:header="709" w:footer="709" w:gutter="0"/>
          <w:cols w:space="708"/>
          <w:titlePg/>
          <w:docGrid w:linePitch="360"/>
        </w:sectPr>
      </w:pPr>
    </w:p>
    <w:p w:rsidR="00622F23" w:rsidRPr="00C7023C" w:rsidRDefault="00622F23" w:rsidP="00622F23">
      <w:pPr>
        <w:pStyle w:val="ListeParagraf"/>
        <w:ind w:left="0"/>
        <w:jc w:val="both"/>
      </w:pPr>
      <w:r w:rsidRPr="00C7023C">
        <w:lastRenderedPageBreak/>
        <w:t xml:space="preserve">Hemşirelik mesleğini algılama, bireyin meslek hakkındaki görüşü, duygu ve düşüncelerini ifade etmesi olarak tanımlanmaktadır. Hemşirelik öğrencilerinde algılama, hemşirelik uygulamalarındaki bilgi artışı ve deneyim sonucunda mesleğe yüklenen anlam ve bakış açısının oluşumuna katkı sağlamaktadır (1). Mesleki niteliklerin algılanması ilk klinik uygulama ile gerçekleşmektedir (2). Ancak üniversiteye ilk adımdan itibaren mesleğe yönelik algının sorgulanması ilk hedefler arasında olmalıdır (3). Mesleğe yüklenen anlamlar ilerleyen dönemlerde mesleğin gelişimini sağlamakta ve meslek üyelerinin iş doyumunun artmasında önemli bir yer kazanmaktadır (4). Algı; kültürel özellikler, bireysel özellikler, daha önceki deneyimler ve otomatik düşüncelerden etkilenmekte olup söz edilen faktörler mesleğe yüklenen anlamları da etkilemektedir (5). Bireysel özelliklerden olan cinsiyet farklılıkları mesleğe yönelik algının farklılaşmasında önemli bir faktördür. </w:t>
      </w:r>
    </w:p>
    <w:p w:rsidR="00622F23" w:rsidRPr="00C7023C" w:rsidRDefault="00622F23" w:rsidP="00622F23">
      <w:pPr>
        <w:pStyle w:val="ListeParagraf"/>
        <w:ind w:left="0"/>
        <w:jc w:val="both"/>
      </w:pPr>
    </w:p>
    <w:p w:rsidR="00622F23" w:rsidRPr="00C7023C" w:rsidRDefault="00622F23" w:rsidP="00622F23">
      <w:pPr>
        <w:pStyle w:val="ListeParagraf"/>
        <w:ind w:left="0"/>
        <w:jc w:val="both"/>
      </w:pPr>
      <w:r w:rsidRPr="00C7023C">
        <w:t xml:space="preserve">Ülkemizde 1954 yılında yapılan hemşirelik kanuna göre sadece kadınlar hemşirelik yapabiliyorlardı. 2007 yılında bu kanunda yapılan değişiklikle Hemşirelik Yüksekokulları ve Sağlık Yüksekokullarının Hemşirelik Bölümlerine kız öğrencilerle birlikte erkek </w:t>
      </w:r>
      <w:r w:rsidRPr="00C7023C">
        <w:lastRenderedPageBreak/>
        <w:t xml:space="preserve">öğrencilerde alınmaya başladı (6).  Böylelikle meslekte farklı cinsiyette bireylerin bir arada eğitim görmesi ve çalışması pozitif ve negatif mesleki algıyı beraberinde getirmiştir. </w:t>
      </w:r>
    </w:p>
    <w:p w:rsidR="00622F23" w:rsidRPr="00C7023C" w:rsidRDefault="00622F23" w:rsidP="00622F23">
      <w:pPr>
        <w:pStyle w:val="ListeParagraf"/>
        <w:ind w:left="0"/>
        <w:jc w:val="both"/>
      </w:pPr>
    </w:p>
    <w:p w:rsidR="00622F23" w:rsidRPr="00C7023C" w:rsidRDefault="00622F23" w:rsidP="00622F23">
      <w:pPr>
        <w:pStyle w:val="ListeParagraf"/>
        <w:ind w:left="0"/>
        <w:jc w:val="both"/>
      </w:pPr>
      <w:r w:rsidRPr="00C7023C">
        <w:t xml:space="preserve">Hemşirelikte cinsiyet farklılıklarının olması hemşirelik mesleği açısından bir motivasyon kaynağıdır (7). Literatür incelemesinde erkek hemşirelerin kız öğrencilerdeki gibi benzer sebeple hemşire olmak istedikleri belirlenmiştir. Erkek öğrencilerin insanları sevdikleri ve onlara yardım etme isteğinden, böylece koruma ve ilgi sağlayabilme inançlarından ötürü mesleği seçtikleri belirlenmiştir (8, 9).  Dyck ve ark. (2009)’da yaptıkları çalışmada erkeklerin girişkenlik, liderlik ve risk alma gibi erkeklere özgü davranış özelliklerine bağımlı oldukları saptanmıştır (10). Bu tür özellikler hemşireliği ve hasta bakımını daha ileriye taşımaktadır. Erkek cinsiyetinin hemşirelik mesleği açısından olumlu karakteristik özelliklerinin yanında erkek hemşirelik öğrencilerinde bazı psikolojik stresler de tanımlanmıştır. Bunlar arasında esas olumsuz algılardan biri de gey ya da kadınsı olma korkusudur (11). Sonuç olarak erkek hemşireler, hemşirelik eğitiminde çoğunluğunun kadınların oluşturması ve onlarla bir arada olmaktan ötürü kadınlara </w:t>
      </w:r>
      <w:r w:rsidRPr="00C7023C">
        <w:lastRenderedPageBreak/>
        <w:t xml:space="preserve">benzeme endişesi duyabilmektedirler. Ayrıca erkek hemşirelik öğrencilerinin çoğunluğu mesleki isimlerinin "sağlık memuru" olmasını tercih ettiklerini belirttikleri görülmektedir (12, 13).  Bu durumu etkileyen pek çok faktör bulunmasıyla birlikte toplumumuzda hemşirelik mesleğinin kadın rolü olarak kabul edilmesi ve bu algının değişiminin de zor olacağı düşüncesi altta yatan faktörlerdendir. Wang ve ark. (2011)’da erkek öğrencilerde mesleği algılamaya yönelik yaptıkları çalışmada, hastaların bakım aldıkları erkek öğrencilere güvenmedikleri, onların kadın hemşireler gibi dikkatli olmadıkları ayrıca enjeksiyon gibi uygulamaları daha acı verici olarak gerçekleştirdiklerini belirmişlerdir (11). </w:t>
      </w:r>
    </w:p>
    <w:p w:rsidR="00622F23" w:rsidRPr="00C7023C" w:rsidRDefault="00622F23" w:rsidP="00622F23">
      <w:pPr>
        <w:pStyle w:val="ListeParagraf"/>
        <w:ind w:left="0"/>
        <w:jc w:val="both"/>
      </w:pPr>
    </w:p>
    <w:p w:rsidR="00622F23" w:rsidRPr="00C7023C" w:rsidRDefault="00622F23" w:rsidP="00622F23">
      <w:pPr>
        <w:pStyle w:val="ListeParagraf"/>
        <w:ind w:left="0"/>
        <w:jc w:val="both"/>
      </w:pPr>
      <w:r w:rsidRPr="00C7023C">
        <w:t xml:space="preserve">Hemşireliğe yönelik algı tarih boyunca toplumlarda da farklılık göstermektedir. Ülkemizde hemşirelik, fedakar, hastaya bakım veren, yardım eden profesyonel bir meslek olarak kabul görmektedir (14). Kaya ve ark. (2011)’da yapmış oldukları araştırma da toplumun kadın mesleği olarak algılanan hemşirelik mesleğinin her iki cinsiyetinde yapabileceği şeklinde bir değişim ve gelişim gösterdiği saptanmıştır (15). Özellikle toplumdaki bu tür algının değişmesi meslek seçiminde de erkek hemşirelik öğrencilerinin mesleği kabullenişini kolaylaştırabilir. </w:t>
      </w:r>
    </w:p>
    <w:p w:rsidR="00622F23" w:rsidRPr="00C7023C" w:rsidRDefault="00622F23" w:rsidP="00622F23">
      <w:pPr>
        <w:pStyle w:val="ListeParagraf"/>
        <w:ind w:left="0"/>
        <w:jc w:val="both"/>
      </w:pPr>
      <w:r w:rsidRPr="00C7023C">
        <w:t xml:space="preserve"> </w:t>
      </w:r>
    </w:p>
    <w:p w:rsidR="00622F23" w:rsidRPr="00C7023C" w:rsidRDefault="00622F23" w:rsidP="00622F23">
      <w:pPr>
        <w:pStyle w:val="ListeParagraf"/>
        <w:ind w:left="0"/>
        <w:jc w:val="both"/>
      </w:pPr>
      <w:r w:rsidRPr="00C7023C">
        <w:t xml:space="preserve">Mesleğe yüklenen olumlu ya da olumsuz algı meslek seçimini de etkilemiştir. Ülkemiz de meslek seçiminde bireylerin bir kısmı idealindeki meslekte eğitim görememekte üniversite sınavından alınan puana göre öğrenciler hayatlarını şekillendirmektedir. Özellikle de hemşirelik mesleğinde iş istihdamının geniş olması bu mesleğe seçimde </w:t>
      </w:r>
      <w:r w:rsidRPr="00C7023C">
        <w:lastRenderedPageBreak/>
        <w:t>ebeveynlerin çocuklarını yönlendirmelerini sağlamaktadır.</w:t>
      </w:r>
    </w:p>
    <w:p w:rsidR="00622F23" w:rsidRPr="00C7023C" w:rsidRDefault="00622F23" w:rsidP="00622F23">
      <w:pPr>
        <w:pStyle w:val="ListeParagraf"/>
        <w:ind w:left="0"/>
        <w:jc w:val="both"/>
      </w:pPr>
    </w:p>
    <w:p w:rsidR="00622F23" w:rsidRPr="00C7023C" w:rsidRDefault="00622F23" w:rsidP="00622F23">
      <w:pPr>
        <w:pStyle w:val="ListeParagraf"/>
        <w:tabs>
          <w:tab w:val="left" w:pos="993"/>
        </w:tabs>
        <w:ind w:left="0"/>
        <w:jc w:val="both"/>
      </w:pPr>
      <w:r w:rsidRPr="00C7023C">
        <w:t>Bu araştırma ile bir üniversitede öğrenim gören ikinci ve üçüncü sınıf erkek hemşirelik öğrencilerinin meslek algısına ilişkin görüşlerinin derinlemesine betimlenmesi amaçlanmaktadır. Algılarının ortaya konularak eğiticilerin de eğitim programlarının yapılandırmada katkı sağlayacağı düşünülmektedir.</w:t>
      </w:r>
    </w:p>
    <w:p w:rsidR="00622F23" w:rsidRPr="00C7023C" w:rsidRDefault="00622F23" w:rsidP="00622F23">
      <w:pPr>
        <w:pStyle w:val="ListeParagraf"/>
        <w:tabs>
          <w:tab w:val="left" w:pos="993"/>
        </w:tabs>
        <w:ind w:left="0"/>
        <w:jc w:val="both"/>
      </w:pPr>
    </w:p>
    <w:p w:rsidR="00622F23" w:rsidRPr="00C7023C" w:rsidRDefault="00622F23" w:rsidP="00622F23">
      <w:pPr>
        <w:jc w:val="both"/>
        <w:rPr>
          <w:b/>
        </w:rPr>
      </w:pPr>
      <w:r w:rsidRPr="00C7023C">
        <w:rPr>
          <w:b/>
        </w:rPr>
        <w:t>YÖNTEM</w:t>
      </w:r>
    </w:p>
    <w:p w:rsidR="00622F23" w:rsidRPr="00C7023C" w:rsidRDefault="00622F23" w:rsidP="00622F23">
      <w:pPr>
        <w:jc w:val="both"/>
        <w:rPr>
          <w:b/>
        </w:rPr>
      </w:pPr>
    </w:p>
    <w:p w:rsidR="00622F23" w:rsidRPr="00C7023C" w:rsidRDefault="00622F23" w:rsidP="00622F23">
      <w:pPr>
        <w:jc w:val="both"/>
      </w:pPr>
      <w:r w:rsidRPr="00C7023C">
        <w:t xml:space="preserve">Araştırma, erkek hemşirelik öğrencilerinin hemşirelik mesleğini algılama tarzlarında belirlenmesi amacıyla fenomenolojik yaklaşım kullanılarak nitel yöntemle gerçekleştirilmiştir. Araştırmanın evrenini 2013-2014 öğretim yılında bir üniversitenin hemşirelik bölümünde öğrenimine devam etmekte olan erkek öğrencilerden altı ikinci sınıf, üç üçüncü sınıf ve üç dördüncü sınıf erkek öğrencileri oluşturmaktadır. Birinci sınıf öğrencilerin araştırmanın evrenine alınmamasının nedeni bu öğrencilerin sahada uygulama deneyimlerinin ve gözlemlerinin ikinci sınıftan itibaren aktif bir şekilde gerçekleşmesidir. Araştırmada gönüllülük ve temaların doygunluğa ilkesi </w:t>
      </w:r>
      <w:proofErr w:type="gramStart"/>
      <w:r w:rsidRPr="00C7023C">
        <w:t>kriter</w:t>
      </w:r>
      <w:proofErr w:type="gramEnd"/>
      <w:r w:rsidRPr="00C7023C">
        <w:t xml:space="preserve"> alınarak alınarak araştırmaya toplam altı erkek öğrenci katılmıştır. Araştırmaya katılımda isteklilik göstermediğinden dolayı dördüncü sınıf öğrencileri araştırmaya </w:t>
      </w:r>
      <w:proofErr w:type="gramStart"/>
      <w:r w:rsidRPr="00C7023C">
        <w:t>dahil</w:t>
      </w:r>
      <w:proofErr w:type="gramEnd"/>
      <w:r w:rsidRPr="00C7023C">
        <w:t xml:space="preserve"> edilememiştir. </w:t>
      </w:r>
    </w:p>
    <w:p w:rsidR="00622F23" w:rsidRDefault="00622F23" w:rsidP="00622F23">
      <w:pPr>
        <w:jc w:val="both"/>
      </w:pPr>
    </w:p>
    <w:p w:rsidR="002D1DDE" w:rsidRPr="00C7023C" w:rsidRDefault="002D1DDE" w:rsidP="00622F23">
      <w:pPr>
        <w:jc w:val="both"/>
      </w:pPr>
    </w:p>
    <w:p w:rsidR="00622F23" w:rsidRPr="00C7023C" w:rsidRDefault="00622F23" w:rsidP="00622F23">
      <w:pPr>
        <w:jc w:val="both"/>
        <w:rPr>
          <w:rFonts w:eastAsia="Calibri"/>
          <w:b/>
        </w:rPr>
      </w:pPr>
      <w:r w:rsidRPr="00C7023C">
        <w:rPr>
          <w:rFonts w:eastAsia="Calibri"/>
          <w:b/>
        </w:rPr>
        <w:lastRenderedPageBreak/>
        <w:t>Veri Toplama Araçları</w:t>
      </w:r>
    </w:p>
    <w:p w:rsidR="00622F23" w:rsidRPr="00C7023C" w:rsidRDefault="00622F23" w:rsidP="00622F23">
      <w:pPr>
        <w:jc w:val="both"/>
        <w:rPr>
          <w:rFonts w:eastAsia="Calibri"/>
          <w:b/>
        </w:rPr>
      </w:pPr>
    </w:p>
    <w:p w:rsidR="00622F23" w:rsidRPr="00C7023C" w:rsidRDefault="00622F23" w:rsidP="00622F23">
      <w:pPr>
        <w:autoSpaceDE w:val="0"/>
        <w:autoSpaceDN w:val="0"/>
        <w:adjustRightInd w:val="0"/>
        <w:jc w:val="both"/>
        <w:rPr>
          <w:rFonts w:eastAsia="Calibri"/>
        </w:rPr>
      </w:pPr>
      <w:r w:rsidRPr="00C7023C">
        <w:rPr>
          <w:rFonts w:eastAsia="Calibri"/>
        </w:rPr>
        <w:t>Araştırmada verilerin</w:t>
      </w:r>
      <w:r w:rsidRPr="00C7023C">
        <w:t xml:space="preserve"> tanıtıcı bilgiler formu ve yarı yapılandırılmış görüşmede kullanılacak sorulardan elde edilecek yanıtların </w:t>
      </w:r>
      <w:r w:rsidRPr="00C7023C">
        <w:rPr>
          <w:rFonts w:eastAsia="Calibri"/>
        </w:rPr>
        <w:t>toplanması planlanmıştır.</w:t>
      </w:r>
    </w:p>
    <w:p w:rsidR="00622F23" w:rsidRPr="00C7023C" w:rsidRDefault="00622F23" w:rsidP="00622F23">
      <w:pPr>
        <w:autoSpaceDE w:val="0"/>
        <w:autoSpaceDN w:val="0"/>
        <w:adjustRightInd w:val="0"/>
        <w:jc w:val="both"/>
        <w:rPr>
          <w:bCs/>
        </w:rPr>
      </w:pPr>
    </w:p>
    <w:p w:rsidR="00622F23" w:rsidRPr="00C7023C" w:rsidRDefault="00622F23" w:rsidP="00622F23">
      <w:pPr>
        <w:pStyle w:val="ListeParagraf"/>
        <w:tabs>
          <w:tab w:val="left" w:pos="284"/>
          <w:tab w:val="num" w:pos="717"/>
        </w:tabs>
        <w:autoSpaceDE w:val="0"/>
        <w:autoSpaceDN w:val="0"/>
        <w:adjustRightInd w:val="0"/>
        <w:ind w:left="0"/>
        <w:jc w:val="both"/>
        <w:rPr>
          <w:b/>
        </w:rPr>
      </w:pPr>
      <w:r w:rsidRPr="00C7023C">
        <w:rPr>
          <w:b/>
        </w:rPr>
        <w:t xml:space="preserve">Tanıtıcı Bilgiler Formu </w:t>
      </w:r>
    </w:p>
    <w:p w:rsidR="00622F23" w:rsidRPr="00C7023C" w:rsidRDefault="00622F23" w:rsidP="00622F23">
      <w:pPr>
        <w:jc w:val="both"/>
        <w:rPr>
          <w:rFonts w:eastAsia="Calibri"/>
        </w:rPr>
      </w:pPr>
      <w:r w:rsidRPr="00C7023C">
        <w:rPr>
          <w:rFonts w:eastAsia="Calibri"/>
        </w:rPr>
        <w:t>Bu form araştırm</w:t>
      </w:r>
      <w:r w:rsidRPr="00C7023C">
        <w:t>a erkek öğrencilere</w:t>
      </w:r>
      <w:r w:rsidRPr="00C7023C">
        <w:rPr>
          <w:rFonts w:eastAsia="Calibri"/>
        </w:rPr>
        <w:t xml:space="preserve"> ait tanıtıcı bilgileri toplamak amacıyla </w:t>
      </w:r>
      <w:r w:rsidRPr="00C7023C">
        <w:t>geliştirilmiştir</w:t>
      </w:r>
      <w:r w:rsidRPr="00C7023C">
        <w:rPr>
          <w:rFonts w:eastAsia="Calibri"/>
        </w:rPr>
        <w:t>. Öğrencinin sınıfı, yaşı, kardeş sayısı, kaçıncı çocuk olduğu, anne mesleği, baba mesleği, eğitimini sürdürürken kaldığı yer, hemşirelik mesleğini kaçıncı tercihte seçtiği bilgileri içermektedir.</w:t>
      </w:r>
    </w:p>
    <w:p w:rsidR="00622F23" w:rsidRPr="00C7023C" w:rsidRDefault="00622F23" w:rsidP="00622F23">
      <w:pPr>
        <w:jc w:val="both"/>
        <w:rPr>
          <w:b/>
        </w:rPr>
      </w:pPr>
    </w:p>
    <w:p w:rsidR="00622F23" w:rsidRPr="00C7023C" w:rsidRDefault="00622F23" w:rsidP="00622F23">
      <w:pPr>
        <w:jc w:val="both"/>
        <w:rPr>
          <w:b/>
        </w:rPr>
      </w:pPr>
      <w:r w:rsidRPr="00C7023C">
        <w:rPr>
          <w:b/>
        </w:rPr>
        <w:t xml:space="preserve">Yarı Yapılandırılmış Görüşme Formu </w:t>
      </w:r>
    </w:p>
    <w:p w:rsidR="00622F23" w:rsidRPr="00C7023C" w:rsidRDefault="00622F23" w:rsidP="00622F23">
      <w:pPr>
        <w:jc w:val="both"/>
      </w:pPr>
      <w:r w:rsidRPr="00C7023C">
        <w:t>Bu formda bir üniversitede öğrenim gören ikinci ve üçüncü sınıf erkek hemşirelik öğrencilerinin mesleğe yönelik algılarını belirlemek amacıyla araştırmacının yarı yapılandırılmış görüşmelerde kullanacağı soruları içermektedir.</w:t>
      </w:r>
    </w:p>
    <w:p w:rsidR="00622F23" w:rsidRPr="00C7023C" w:rsidRDefault="00622F23" w:rsidP="00622F23">
      <w:pPr>
        <w:pStyle w:val="ListeParagraf"/>
        <w:numPr>
          <w:ilvl w:val="0"/>
          <w:numId w:val="4"/>
        </w:numPr>
        <w:tabs>
          <w:tab w:val="left" w:pos="284"/>
        </w:tabs>
        <w:spacing w:after="200" w:line="240" w:lineRule="auto"/>
        <w:ind w:left="0" w:firstLine="0"/>
        <w:jc w:val="both"/>
      </w:pPr>
      <w:r w:rsidRPr="00C7023C">
        <w:t>Hemşirelik programına katılmaya nasıl karar verdiniz?</w:t>
      </w:r>
    </w:p>
    <w:p w:rsidR="00622F23" w:rsidRPr="00C7023C" w:rsidRDefault="00622F23" w:rsidP="00622F23">
      <w:pPr>
        <w:pStyle w:val="ListeParagraf"/>
        <w:numPr>
          <w:ilvl w:val="0"/>
          <w:numId w:val="4"/>
        </w:numPr>
        <w:tabs>
          <w:tab w:val="left" w:pos="284"/>
        </w:tabs>
        <w:spacing w:after="200" w:line="240" w:lineRule="auto"/>
        <w:ind w:left="0" w:firstLine="0"/>
        <w:jc w:val="both"/>
      </w:pPr>
      <w:r w:rsidRPr="00C7023C">
        <w:t>Sizce hemşirelik mesleği hakkında ailenin, yakınlarının ve toplumun algısı nedir?</w:t>
      </w:r>
    </w:p>
    <w:p w:rsidR="00622F23" w:rsidRPr="00C7023C" w:rsidRDefault="00622F23" w:rsidP="00622F23">
      <w:pPr>
        <w:pStyle w:val="ListeParagraf"/>
        <w:numPr>
          <w:ilvl w:val="0"/>
          <w:numId w:val="4"/>
        </w:numPr>
        <w:tabs>
          <w:tab w:val="left" w:pos="284"/>
        </w:tabs>
        <w:spacing w:after="200" w:line="240" w:lineRule="auto"/>
        <w:ind w:left="0" w:firstLine="0"/>
        <w:jc w:val="both"/>
      </w:pPr>
      <w:r w:rsidRPr="00C7023C">
        <w:t xml:space="preserve">İlk staj uygulamasından şu ana kadar bu süreci nasıl değerlendiriyorsunuz? </w:t>
      </w:r>
    </w:p>
    <w:p w:rsidR="00622F23" w:rsidRPr="00C7023C" w:rsidRDefault="00622F23" w:rsidP="00622F23">
      <w:pPr>
        <w:pStyle w:val="ListeParagraf"/>
        <w:numPr>
          <w:ilvl w:val="0"/>
          <w:numId w:val="5"/>
        </w:numPr>
        <w:tabs>
          <w:tab w:val="left" w:pos="284"/>
        </w:tabs>
        <w:spacing w:after="200" w:line="240" w:lineRule="auto"/>
        <w:ind w:left="0" w:firstLine="0"/>
        <w:jc w:val="both"/>
      </w:pPr>
      <w:r w:rsidRPr="00C7023C">
        <w:t xml:space="preserve">Teorik ve klinik uygulama ortamını bir bütün olarak düşündüğünüzde yaşantınızı etkileyen unsurlar var mı? Varsa bu unsurlar yaşantınızı nasıl etkiledi? </w:t>
      </w:r>
    </w:p>
    <w:p w:rsidR="00622F23" w:rsidRPr="00C7023C" w:rsidRDefault="00622F23" w:rsidP="00622F23">
      <w:pPr>
        <w:pStyle w:val="ListeParagraf"/>
        <w:numPr>
          <w:ilvl w:val="0"/>
          <w:numId w:val="5"/>
        </w:numPr>
        <w:tabs>
          <w:tab w:val="left" w:pos="284"/>
        </w:tabs>
        <w:spacing w:after="0" w:line="240" w:lineRule="auto"/>
        <w:ind w:left="0" w:firstLine="0"/>
        <w:contextualSpacing w:val="0"/>
        <w:jc w:val="both"/>
      </w:pPr>
      <w:r w:rsidRPr="00C7023C">
        <w:lastRenderedPageBreak/>
        <w:t>Klinik uygulamalar sonrasında mesleğe yönelik düşüncelerinizde herhangi bir değişim oldu mu? Hangi yönde?</w:t>
      </w:r>
    </w:p>
    <w:p w:rsidR="00622F23" w:rsidRPr="00C7023C" w:rsidRDefault="00622F23" w:rsidP="00622F23">
      <w:pPr>
        <w:pStyle w:val="ListeParagraf"/>
        <w:numPr>
          <w:ilvl w:val="0"/>
          <w:numId w:val="4"/>
        </w:numPr>
        <w:tabs>
          <w:tab w:val="left" w:pos="284"/>
        </w:tabs>
        <w:spacing w:after="200" w:line="240" w:lineRule="auto"/>
        <w:ind w:left="0" w:firstLine="0"/>
        <w:jc w:val="both"/>
      </w:pPr>
      <w:r w:rsidRPr="00C7023C">
        <w:t>Erkek öğrenciler için uygulamada avantaj yada zorluklar var mıdır?</w:t>
      </w:r>
    </w:p>
    <w:p w:rsidR="00622F23" w:rsidRPr="00C7023C" w:rsidRDefault="00622F23" w:rsidP="00622F23">
      <w:pPr>
        <w:pStyle w:val="ListeParagraf"/>
        <w:numPr>
          <w:ilvl w:val="0"/>
          <w:numId w:val="4"/>
        </w:numPr>
        <w:tabs>
          <w:tab w:val="left" w:pos="284"/>
        </w:tabs>
        <w:spacing w:after="200" w:line="240" w:lineRule="auto"/>
        <w:ind w:left="0" w:firstLine="0"/>
        <w:jc w:val="both"/>
      </w:pPr>
      <w:r w:rsidRPr="00C7023C">
        <w:t>Gelecek planların neler? Erkek hemşirelerin geleceğini nasıl görüyorsunuz? Klinik açıdan, yönetim açısından….</w:t>
      </w:r>
    </w:p>
    <w:p w:rsidR="00622F23" w:rsidRPr="00C7023C" w:rsidRDefault="00622F23" w:rsidP="00622F23">
      <w:pPr>
        <w:jc w:val="both"/>
        <w:rPr>
          <w:b/>
        </w:rPr>
      </w:pPr>
      <w:r w:rsidRPr="00C7023C">
        <w:rPr>
          <w:b/>
        </w:rPr>
        <w:t>Araştırmanın Uygulaması</w:t>
      </w:r>
    </w:p>
    <w:p w:rsidR="00622F23" w:rsidRPr="00C7023C" w:rsidRDefault="00622F23" w:rsidP="00622F23">
      <w:pPr>
        <w:jc w:val="both"/>
        <w:rPr>
          <w:b/>
        </w:rPr>
      </w:pPr>
    </w:p>
    <w:p w:rsidR="00622F23" w:rsidRPr="00C7023C" w:rsidRDefault="00622F23" w:rsidP="00622F23">
      <w:pPr>
        <w:tabs>
          <w:tab w:val="left" w:pos="567"/>
        </w:tabs>
        <w:jc w:val="both"/>
      </w:pPr>
      <w:r w:rsidRPr="00C7023C">
        <w:t xml:space="preserve">Araştırmanın yapılabilmesi için ilgili kurumdan gerekli izinler alındıktan sonra, etik açıdan uygunluğunun değerlendirilmesi amacıyla Girişimsel Olmayan Klinik Araştırmalar Etik Kurulu’na başvuru yapılmış ve 04.06.2014 tarihli GO 14/312-29 numaralı karar ile araştırmanın uygulanabilmesi için etik kurul izni alınmıştır. </w:t>
      </w:r>
    </w:p>
    <w:p w:rsidR="00622F23" w:rsidRPr="00C7023C" w:rsidRDefault="00622F23" w:rsidP="00622F23">
      <w:pPr>
        <w:tabs>
          <w:tab w:val="left" w:pos="567"/>
        </w:tabs>
        <w:jc w:val="both"/>
      </w:pPr>
    </w:p>
    <w:p w:rsidR="00622F23" w:rsidRPr="00C7023C" w:rsidRDefault="00622F23" w:rsidP="00622F23">
      <w:pPr>
        <w:tabs>
          <w:tab w:val="left" w:pos="426"/>
        </w:tabs>
        <w:jc w:val="both"/>
      </w:pPr>
      <w:r w:rsidRPr="00C7023C">
        <w:t>Çalışmanın uygulanması sırasında öncelikle erkek öğrencilere çalışmanın amacı, çalışmaya katılmalarının gönüllülük ilkesine dayalı olduğu ve çalışma sonuçlarının sadece bilimsel amaçlarla kullanılacağı konularında bilgi verilmiştir. Ardından araştırmaya katılmaya gönüllü olan öğrencilere araştırmanın uygulaması yapılmıştır. Görüşmelerde daha önce oluşturulan yarı yapılandırılmış görüşme formu kullanılmıştır. Araştırmada altı erkek hemşire öğrencisi ile görüşme gerçekleştirilmiştir. Yarı yapılandırılmış görüşmelerin uzunluğu ortalama 50 dakika sürmüştür. Görüşmeler gerçekleştirilebilmesi için uygun ortam seçilmiştir. Görüşmeler kayıt cihazı ile kaydedilmiş, araştırmacı tarafından dinlenerek yazıya aktarılmış ve ardından çözümlenmiştir.</w:t>
      </w:r>
    </w:p>
    <w:p w:rsidR="00622F23" w:rsidRPr="00C7023C" w:rsidRDefault="00622F23" w:rsidP="00622F23">
      <w:pPr>
        <w:tabs>
          <w:tab w:val="left" w:pos="426"/>
        </w:tabs>
        <w:jc w:val="both"/>
      </w:pPr>
    </w:p>
    <w:p w:rsidR="00622F23" w:rsidRPr="00C7023C" w:rsidRDefault="00622F23" w:rsidP="00622F23">
      <w:pPr>
        <w:tabs>
          <w:tab w:val="left" w:pos="426"/>
        </w:tabs>
        <w:jc w:val="both"/>
        <w:rPr>
          <w:b/>
        </w:rPr>
      </w:pPr>
      <w:r w:rsidRPr="00C7023C">
        <w:rPr>
          <w:b/>
        </w:rPr>
        <w:t>Verilerin Değerlendirilmesi</w:t>
      </w:r>
    </w:p>
    <w:p w:rsidR="00622F23" w:rsidRPr="00C7023C" w:rsidRDefault="00622F23" w:rsidP="00622F23">
      <w:pPr>
        <w:tabs>
          <w:tab w:val="left" w:pos="426"/>
        </w:tabs>
        <w:jc w:val="both"/>
        <w:rPr>
          <w:b/>
        </w:rPr>
      </w:pPr>
    </w:p>
    <w:p w:rsidR="00622F23" w:rsidRPr="00C7023C" w:rsidRDefault="00622F23" w:rsidP="00622F23">
      <w:pPr>
        <w:jc w:val="both"/>
      </w:pPr>
      <w:r w:rsidRPr="00C7023C">
        <w:rPr>
          <w:bCs/>
        </w:rPr>
        <w:t xml:space="preserve">Yarı yapılandırılmış görüşme formu ile toplanan verilerin analizi için içerik analizi tekniğinden </w:t>
      </w:r>
      <w:proofErr w:type="gramStart"/>
      <w:r w:rsidRPr="00C7023C">
        <w:rPr>
          <w:bCs/>
        </w:rPr>
        <w:t>yararlanılmıştır.Veri</w:t>
      </w:r>
      <w:proofErr w:type="gramEnd"/>
      <w:r w:rsidRPr="00C7023C">
        <w:rPr>
          <w:bCs/>
        </w:rPr>
        <w:t xml:space="preserve"> toplama süreci tamamlandıktan sonra elde edilen görüşme metinleri araştırmacı tarafından birkaç defa okunarak uygun tema ve alt tema başlıkları belirlenerek bu başlıklar kapsamında çözümlemeler ve değerlendirmeler yapılmıştır. </w:t>
      </w:r>
    </w:p>
    <w:p w:rsidR="00622F23" w:rsidRPr="00C7023C" w:rsidRDefault="00622F23" w:rsidP="00622F23">
      <w:pPr>
        <w:jc w:val="both"/>
        <w:rPr>
          <w:b/>
        </w:rPr>
      </w:pPr>
    </w:p>
    <w:p w:rsidR="00622F23" w:rsidRPr="00C7023C" w:rsidRDefault="00622F23" w:rsidP="00622F23">
      <w:pPr>
        <w:jc w:val="both"/>
        <w:rPr>
          <w:b/>
        </w:rPr>
      </w:pPr>
      <w:r w:rsidRPr="00C7023C">
        <w:rPr>
          <w:b/>
        </w:rPr>
        <w:t>BULGULAR</w:t>
      </w:r>
    </w:p>
    <w:p w:rsidR="00622F23" w:rsidRPr="00C7023C" w:rsidRDefault="00622F23" w:rsidP="00622F23">
      <w:pPr>
        <w:jc w:val="both"/>
        <w:rPr>
          <w:b/>
        </w:rPr>
      </w:pPr>
    </w:p>
    <w:p w:rsidR="00622F23" w:rsidRPr="00C7023C" w:rsidRDefault="00622F23" w:rsidP="00622F23">
      <w:pPr>
        <w:jc w:val="both"/>
      </w:pPr>
      <w:r w:rsidRPr="00C7023C">
        <w:t>Araştırmaya katılan katılımcıların tanıtıcı özellikleri incelendiğinde erkek öğrencilerin %40’ı 22 yaşında, %60’ının üçüncü sınıf, %60’ının yurtta yaşadığı görülmüştür. Hemşirelik mesleğini seçmelerinde %20’sinin ilk tercih olduğu, %40’ının ise son tercihinin olduğu belirlenmiştir. Görüşmelerden elde edilen verilerin yazıya dökülmesinin ardından, kodların daha sonra da temaların ve alt temaların belirlenmesine geçilmiştir.</w:t>
      </w:r>
    </w:p>
    <w:p w:rsidR="00622F23" w:rsidRPr="00C7023C" w:rsidRDefault="00622F23" w:rsidP="00622F23">
      <w:pPr>
        <w:jc w:val="both"/>
        <w:rPr>
          <w:bCs/>
        </w:rPr>
      </w:pPr>
      <w:r w:rsidRPr="00C7023C">
        <w:rPr>
          <w:bCs/>
        </w:rPr>
        <w:t xml:space="preserve">Veri analizinden ortaya çıkan temalar: Meslek seçimi, cinsiyete dayalı kalıplar, mesleğe ilişkin bireysel algı ve gelecek planıdır. </w:t>
      </w:r>
    </w:p>
    <w:p w:rsidR="00622F23" w:rsidRPr="00C7023C" w:rsidRDefault="00622F23" w:rsidP="00622F23">
      <w:pPr>
        <w:jc w:val="both"/>
        <w:rPr>
          <w:bCs/>
        </w:rPr>
      </w:pPr>
    </w:p>
    <w:p w:rsidR="00622F23" w:rsidRPr="00C7023C" w:rsidRDefault="00622F23" w:rsidP="00622F23">
      <w:pPr>
        <w:jc w:val="both"/>
        <w:rPr>
          <w:b/>
          <w:bCs/>
        </w:rPr>
      </w:pPr>
      <w:r w:rsidRPr="00C7023C">
        <w:rPr>
          <w:b/>
          <w:bCs/>
        </w:rPr>
        <w:t>Meslek Seçimi</w:t>
      </w:r>
    </w:p>
    <w:p w:rsidR="00622F23" w:rsidRPr="00C7023C" w:rsidRDefault="00622F23" w:rsidP="00622F23">
      <w:pPr>
        <w:jc w:val="both"/>
        <w:rPr>
          <w:b/>
          <w:bCs/>
        </w:rPr>
      </w:pPr>
    </w:p>
    <w:p w:rsidR="00622F23" w:rsidRPr="00C7023C" w:rsidRDefault="00622F23" w:rsidP="00622F23">
      <w:pPr>
        <w:jc w:val="both"/>
        <w:rPr>
          <w:bCs/>
        </w:rPr>
      </w:pPr>
      <w:r w:rsidRPr="00C7023C">
        <w:rPr>
          <w:bCs/>
        </w:rPr>
        <w:t xml:space="preserve">Hemşirelik mesleğini seçimine yönelik katılımcıların mesleği tercih nedenleri </w:t>
      </w:r>
      <w:r w:rsidRPr="00C7023C">
        <w:rPr>
          <w:bCs/>
        </w:rPr>
        <w:lastRenderedPageBreak/>
        <w:t xml:space="preserve">belirlenmiştir.  Bu sebepler hemşireliğin sağlık alanında bir meslek olması, puana göre hemşirelik mesleğini seçmek durumunda kalma ve ekonomik koşullar olarak sıralanabilir. </w:t>
      </w:r>
    </w:p>
    <w:p w:rsidR="00622F23" w:rsidRPr="00C7023C" w:rsidRDefault="00622F23" w:rsidP="00622F23">
      <w:pPr>
        <w:jc w:val="both"/>
        <w:rPr>
          <w:b/>
          <w:bCs/>
          <w:i/>
        </w:rPr>
      </w:pPr>
      <w:r w:rsidRPr="00C7023C">
        <w:rPr>
          <w:bCs/>
        </w:rPr>
        <w:t>“</w:t>
      </w:r>
      <w:r w:rsidRPr="00C7023C">
        <w:rPr>
          <w:bCs/>
          <w:i/>
        </w:rPr>
        <w:t xml:space="preserve">İçimdeki o sağlık alanının isteğini de hemşirelikle tatmin etme yoluna gittim onda da en iyi okul burasıydı o yüzden buraya geldim” </w:t>
      </w:r>
      <w:r w:rsidRPr="00C7023C">
        <w:rPr>
          <w:b/>
          <w:bCs/>
          <w:i/>
        </w:rPr>
        <w:t>(Katılımcı 1, 3. sınıf öğrencisi)</w:t>
      </w:r>
    </w:p>
    <w:p w:rsidR="00622F23" w:rsidRPr="00C7023C" w:rsidRDefault="00622F23" w:rsidP="00622F23">
      <w:pPr>
        <w:jc w:val="both"/>
        <w:rPr>
          <w:bCs/>
          <w:i/>
        </w:rPr>
      </w:pPr>
      <w:r w:rsidRPr="00C7023C">
        <w:rPr>
          <w:bCs/>
          <w:i/>
        </w:rPr>
        <w:t>“Hemşirelik mesleğini isteyerek seçtim. Şöyle söyleyebilirim. Genel olarak sağlık mesleklerine karşı bir ilgim vardı zaten eskiden beri. Elimdeki puanla da sağlık mesleklerini tamamen tercih yaptım.”</w:t>
      </w:r>
      <w:r w:rsidRPr="00C7023C">
        <w:rPr>
          <w:b/>
          <w:bCs/>
          <w:i/>
        </w:rPr>
        <w:t>(Katılımcı 2, 3. sınıf öğrencisi)</w:t>
      </w:r>
    </w:p>
    <w:p w:rsidR="00622F23" w:rsidRPr="00C7023C" w:rsidRDefault="00622F23" w:rsidP="00622F23">
      <w:pPr>
        <w:jc w:val="both"/>
        <w:rPr>
          <w:bCs/>
          <w:i/>
        </w:rPr>
      </w:pPr>
      <w:r w:rsidRPr="00C7023C">
        <w:rPr>
          <w:bCs/>
          <w:i/>
        </w:rPr>
        <w:t xml:space="preserve">“Ekonomik şartlar itti diyebilirim. Öncelikli olarak ben matematik, bu tarz alanlar istiyordum.  Mühendislik falan ama gerek ailemin ekonomik durumu olsun gerekse kendi rahatımı düşünmek olsun, dört yıl okuyacam ama dört yıldan sonrasında rahat olması lazım.  Hemşirelik mesleğini kolay atanabileceğim meslek olduğu için tercih ettim” </w:t>
      </w:r>
      <w:r w:rsidRPr="00C7023C">
        <w:rPr>
          <w:b/>
          <w:bCs/>
          <w:i/>
        </w:rPr>
        <w:t>(Katılımcı 3, 3. sınıf öğrencisi)</w:t>
      </w:r>
    </w:p>
    <w:p w:rsidR="00622F23" w:rsidRPr="00C7023C" w:rsidRDefault="00622F23" w:rsidP="00622F23">
      <w:pPr>
        <w:jc w:val="both"/>
        <w:rPr>
          <w:bCs/>
          <w:i/>
        </w:rPr>
      </w:pPr>
      <w:r w:rsidRPr="00C7023C">
        <w:rPr>
          <w:bCs/>
          <w:i/>
        </w:rPr>
        <w:t xml:space="preserve">“Hocalarım benden tıp fakültesi ya da diş hekimliği fakültesi, sağlık alanında yönelmemi istiyordu. Benimde isteğim o </w:t>
      </w:r>
      <w:proofErr w:type="gramStart"/>
      <w:r w:rsidRPr="00C7023C">
        <w:rPr>
          <w:bCs/>
          <w:i/>
        </w:rPr>
        <w:t>yöndeydi…İkinci</w:t>
      </w:r>
      <w:proofErr w:type="gramEnd"/>
      <w:r w:rsidRPr="00C7023C">
        <w:rPr>
          <w:bCs/>
          <w:i/>
        </w:rPr>
        <w:t xml:space="preserve"> bir yıla da girmeye tekrar göze almadım. Yoksa direkman istemiyordum hemşirelik bölüm hani tıp fakültesi puanıma göre bir yere geldim diyebiliriz” </w:t>
      </w:r>
      <w:r w:rsidRPr="00C7023C">
        <w:rPr>
          <w:b/>
          <w:bCs/>
          <w:i/>
        </w:rPr>
        <w:t xml:space="preserve">(Katılımcı 4, 2. sınıf öğrencisi) </w:t>
      </w:r>
    </w:p>
    <w:p w:rsidR="00622F23" w:rsidRPr="00C7023C" w:rsidRDefault="00622F23" w:rsidP="00622F23">
      <w:pPr>
        <w:tabs>
          <w:tab w:val="left" w:pos="426"/>
        </w:tabs>
        <w:jc w:val="both"/>
        <w:rPr>
          <w:i/>
        </w:rPr>
      </w:pPr>
      <w:r w:rsidRPr="00C7023C">
        <w:rPr>
          <w:i/>
        </w:rPr>
        <w:t>“Önce tabi farklı bir meslek istiyordum, aklımda farklı bir meslek vardı. Ama sağlık alanında olduğu için yine alternatif olarak gördüm. İş alanı çok iyiydi.”</w:t>
      </w:r>
      <w:r w:rsidRPr="00C7023C">
        <w:t xml:space="preserve"> </w:t>
      </w:r>
      <w:r w:rsidRPr="00C7023C">
        <w:rPr>
          <w:b/>
          <w:i/>
        </w:rPr>
        <w:t>(Katılımcı 5, 2. sınıf öğrencisi)</w:t>
      </w:r>
      <w:r w:rsidRPr="00C7023C">
        <w:rPr>
          <w:i/>
        </w:rPr>
        <w:t xml:space="preserve"> </w:t>
      </w:r>
    </w:p>
    <w:p w:rsidR="00622F23" w:rsidRPr="00C7023C" w:rsidRDefault="00622F23" w:rsidP="00622F23">
      <w:pPr>
        <w:tabs>
          <w:tab w:val="left" w:pos="426"/>
        </w:tabs>
        <w:jc w:val="both"/>
        <w:rPr>
          <w:b/>
          <w:i/>
        </w:rPr>
      </w:pPr>
      <w:r w:rsidRPr="00C7023C">
        <w:rPr>
          <w:i/>
        </w:rPr>
        <w:t>“</w:t>
      </w:r>
      <w:proofErr w:type="gramStart"/>
      <w:r w:rsidRPr="00C7023C">
        <w:rPr>
          <w:i/>
        </w:rPr>
        <w:t>..</w:t>
      </w:r>
      <w:proofErr w:type="gramEnd"/>
      <w:r w:rsidRPr="00C7023C">
        <w:rPr>
          <w:i/>
        </w:rPr>
        <w:t xml:space="preserve">Çok isteyerek seçmedim. Dikey geçiş yaptığım için tek seçeneğim hemşirelikti. </w:t>
      </w:r>
      <w:r w:rsidRPr="00C7023C">
        <w:rPr>
          <w:i/>
        </w:rPr>
        <w:lastRenderedPageBreak/>
        <w:t>Mecbur olup seçtim ama iyiki seçmişim.”</w:t>
      </w:r>
      <w:r w:rsidRPr="00C7023C">
        <w:rPr>
          <w:b/>
          <w:i/>
        </w:rPr>
        <w:t>(Katılımcı 6, 2. sınıf öğrencisi)</w:t>
      </w:r>
    </w:p>
    <w:p w:rsidR="00622F23" w:rsidRPr="00C7023C" w:rsidRDefault="00622F23" w:rsidP="00622F23">
      <w:pPr>
        <w:tabs>
          <w:tab w:val="left" w:pos="426"/>
        </w:tabs>
        <w:jc w:val="both"/>
        <w:rPr>
          <w:i/>
        </w:rPr>
      </w:pPr>
    </w:p>
    <w:p w:rsidR="00622F23" w:rsidRPr="00C7023C" w:rsidRDefault="00622F23" w:rsidP="00622F23">
      <w:pPr>
        <w:tabs>
          <w:tab w:val="left" w:pos="426"/>
        </w:tabs>
        <w:jc w:val="both"/>
        <w:rPr>
          <w:b/>
        </w:rPr>
      </w:pPr>
      <w:r w:rsidRPr="00C7023C">
        <w:rPr>
          <w:b/>
        </w:rPr>
        <w:t xml:space="preserve">Cinsiyetle İlişkili Kalıplar </w:t>
      </w:r>
    </w:p>
    <w:p w:rsidR="00622F23" w:rsidRPr="00C7023C" w:rsidRDefault="00622F23" w:rsidP="00622F23">
      <w:pPr>
        <w:tabs>
          <w:tab w:val="left" w:pos="426"/>
        </w:tabs>
        <w:jc w:val="both"/>
        <w:rPr>
          <w:b/>
        </w:rPr>
      </w:pPr>
    </w:p>
    <w:p w:rsidR="00622F23" w:rsidRPr="00C7023C" w:rsidRDefault="00622F23" w:rsidP="00622F23">
      <w:pPr>
        <w:pStyle w:val="metinnn"/>
        <w:spacing w:line="240" w:lineRule="auto"/>
        <w:ind w:firstLine="0"/>
        <w:rPr>
          <w:szCs w:val="24"/>
        </w:rPr>
      </w:pPr>
      <w:r w:rsidRPr="00C7023C">
        <w:rPr>
          <w:szCs w:val="24"/>
        </w:rPr>
        <w:t xml:space="preserve">Erkek hemşirelik öğrencileri ile gerçekleştirilen yarı yapılandırılmış görüşmelerde elde edilen veriler doğrultusunda toplumun erkek hemşirelik öğrencilerine yönelik bakış açılarını da içeren cinsiyetle ilişkili kalıplar temasını ortaya çıkmaktadır. Bu tema içerisinde toplumun algısı ve öğretim üye/elemanların tutumu alt temaları yer almaktadır.   </w:t>
      </w:r>
    </w:p>
    <w:p w:rsidR="00622F23" w:rsidRPr="00C7023C" w:rsidRDefault="00622F23" w:rsidP="00622F23">
      <w:pPr>
        <w:tabs>
          <w:tab w:val="left" w:pos="426"/>
        </w:tabs>
        <w:jc w:val="both"/>
      </w:pPr>
      <w:r w:rsidRPr="00C7023C">
        <w:t xml:space="preserve">Toplum tarafından erkek hemşirelere yönelik algıyı belirten erkek hemşirelik öğrencilerinin görüşlerini içeren ilgili ifadeler aşağıda sunulmaktadır:  </w:t>
      </w:r>
    </w:p>
    <w:p w:rsidR="00622F23" w:rsidRPr="00C7023C" w:rsidRDefault="00622F23" w:rsidP="00622F23">
      <w:pPr>
        <w:jc w:val="both"/>
        <w:rPr>
          <w:i/>
        </w:rPr>
      </w:pPr>
      <w:r w:rsidRPr="00C7023C">
        <w:t>“</w:t>
      </w:r>
      <w:r w:rsidRPr="00C7023C">
        <w:rPr>
          <w:i/>
        </w:rPr>
        <w:t xml:space="preserve">İlk zamanlar biraz daha kaçamak cevaplar veriyordum. İşte doktor yardımcısıyım o tarz şeyler hemşirelik mesleği ile örtüşen şeyler o şekilde cevap veriyorum veya sağlık memuruyum diyorum ama şimdi gayet rahat şekilde ben bakımımı veriyorum diyebiliyorum. Hemşirelik diyorum ama yinede şayet kişiyi biliyorsam, kişi tavrını falan, ne kadar da ne desem anlamayacağını biliyorsam sağlık memuruyum diyorum erkeklerin öncesinden yapıtıkları iş olduğu için sağlık memuru o şekilde diyorum öyle” </w:t>
      </w:r>
      <w:r w:rsidRPr="00C7023C">
        <w:rPr>
          <w:b/>
          <w:bCs/>
          <w:i/>
        </w:rPr>
        <w:t>(Katılımcı 3, 3. sınıf öğrencisi)</w:t>
      </w:r>
      <w:r w:rsidRPr="00C7023C">
        <w:rPr>
          <w:i/>
        </w:rPr>
        <w:t xml:space="preserve"> </w:t>
      </w:r>
    </w:p>
    <w:p w:rsidR="00622F23" w:rsidRPr="00C7023C" w:rsidRDefault="00622F23" w:rsidP="00622F23">
      <w:pPr>
        <w:tabs>
          <w:tab w:val="left" w:pos="426"/>
        </w:tabs>
        <w:jc w:val="both"/>
        <w:rPr>
          <w:i/>
        </w:rPr>
      </w:pPr>
      <w:r w:rsidRPr="00C7023C">
        <w:rPr>
          <w:i/>
        </w:rPr>
        <w:t xml:space="preserve">“Bana hemşire demiyor, ben söylemedim ama hemşir diyor aslında şeyde böyle bir hemşire hemşir ayrımı yok. Onlarda nerden duydu bilmiyorum; ama hemşir bey diyor </w:t>
      </w:r>
      <w:proofErr w:type="gramStart"/>
      <w:r w:rsidRPr="00C7023C">
        <w:rPr>
          <w:i/>
        </w:rPr>
        <w:t>….</w:t>
      </w:r>
      <w:proofErr w:type="gramEnd"/>
      <w:r w:rsidRPr="00C7023C">
        <w:rPr>
          <w:i/>
        </w:rPr>
        <w:t xml:space="preserve">hemşir diyor ben birazcık mutlu oldum, böyle bir şey </w:t>
      </w:r>
      <w:r w:rsidRPr="00C7023C">
        <w:rPr>
          <w:i/>
        </w:rPr>
        <w:lastRenderedPageBreak/>
        <w:t xml:space="preserve">beklemiyordum. Böyle bir şey söylemedim ama demek ki sosyal ortamda duyuldu “hemşir” diyorlar. En azından kız erkek şeyini ayırmışlar. Kız da olabilir erkek de olabilir farklı isim vermişler kendilerince, hem şaşırdım hemde mutlu oldum” </w:t>
      </w:r>
      <w:r w:rsidRPr="00C7023C">
        <w:rPr>
          <w:b/>
          <w:i/>
        </w:rPr>
        <w:t>(Katılımcı 4, 2. sınıf öğrencisi)</w:t>
      </w:r>
    </w:p>
    <w:p w:rsidR="00622F23" w:rsidRPr="00C7023C" w:rsidRDefault="00622F23" w:rsidP="00622F23">
      <w:pPr>
        <w:tabs>
          <w:tab w:val="left" w:pos="426"/>
        </w:tabs>
        <w:jc w:val="both"/>
        <w:rPr>
          <w:b/>
        </w:rPr>
      </w:pPr>
      <w:r w:rsidRPr="00C7023C">
        <w:t>“</w:t>
      </w:r>
      <w:r w:rsidRPr="00C7023C">
        <w:rPr>
          <w:i/>
        </w:rPr>
        <w:t>Geçenlerde şöyle bir şey duymuştum bir hasta gece bakımı için bir erkek hemşireyi çağırmış çocuğuna bakılması için. İşte bir deneyelim bakalım erkek bir deneyelim bakalım erkekler nasıl oluyor? Erkekler mi iyi? Kadınlar mı iyi? Ondan öyle bir şey duymuştum. Yani artık demek ki bayağı duyuldu</w:t>
      </w:r>
      <w:r w:rsidRPr="00C7023C">
        <w:t xml:space="preserve">” </w:t>
      </w:r>
      <w:r w:rsidRPr="00C7023C">
        <w:rPr>
          <w:b/>
        </w:rPr>
        <w:t>(Katılımcı 2, 3. sınıf öğrencisi)</w:t>
      </w:r>
    </w:p>
    <w:p w:rsidR="00622F23" w:rsidRPr="00C7023C" w:rsidRDefault="00622F23" w:rsidP="00622F23">
      <w:pPr>
        <w:pStyle w:val="ListeParagraf"/>
        <w:tabs>
          <w:tab w:val="left" w:pos="426"/>
        </w:tabs>
        <w:ind w:left="0"/>
        <w:jc w:val="both"/>
      </w:pPr>
      <w:r w:rsidRPr="00C7023C">
        <w:rPr>
          <w:i/>
        </w:rPr>
        <w:t>“Kendimi tanıtıyorum tanıtmadığım zamanlar da oldu.  Konuştum muhabbet falan   en son sen ne iş yapıyorsun dediler?  Öğrenci hemşireyim dedim yok ya bende seni doktor zannettim keşke sen doktor olsaydın çok üzüldüm dedi…  Üzüldüm keşke zaten içimde bir yara o yarayı deşmiş oldu o şekilde yani benim orda üzülüyorum. Bazen olur ya insan senden daha iyisini bekliyorsan öyle değildin onu ifade edince üzülüyorum, ama belli etmiyorum</w:t>
      </w:r>
      <w:r w:rsidRPr="00C7023C">
        <w:t xml:space="preserve">” </w:t>
      </w:r>
      <w:r w:rsidRPr="00C7023C">
        <w:rPr>
          <w:b/>
          <w:bCs/>
          <w:i/>
        </w:rPr>
        <w:t>(Katılımcı 1, 3. sınıf öğrencisi)</w:t>
      </w:r>
    </w:p>
    <w:p w:rsidR="00622F23" w:rsidRPr="00C7023C" w:rsidRDefault="00622F23" w:rsidP="00622F23">
      <w:pPr>
        <w:tabs>
          <w:tab w:val="left" w:pos="426"/>
        </w:tabs>
        <w:jc w:val="both"/>
        <w:rPr>
          <w:i/>
        </w:rPr>
      </w:pPr>
      <w:r w:rsidRPr="00C7023C">
        <w:rPr>
          <w:i/>
        </w:rPr>
        <w:t xml:space="preserve">“Benim ailem yakın çevremden bahsedeyim erkek hemşire olur mu diyen tabi çok duydum. Arkadaşlarım değil tabi bizden önceden giren olduğu için bu algı ortadan kalktı. Tamamen kalkmadı, çünkü hala soranlar var. Erkek hemşire var mı? </w:t>
      </w:r>
      <w:proofErr w:type="gramStart"/>
      <w:r w:rsidRPr="00C7023C">
        <w:rPr>
          <w:i/>
        </w:rPr>
        <w:t>diye</w:t>
      </w:r>
      <w:proofErr w:type="gramEnd"/>
      <w:r w:rsidRPr="00C7023C">
        <w:rPr>
          <w:i/>
        </w:rPr>
        <w:t xml:space="preserve"> soran oluyor. Belki görmemişlerdi hastanelerde, çünkü haberleri yok. Annemler babamlar hastaneye gittiğinde erkek hemşire görüyorlar. Gayette güzel erkek hemşirelerin başarılı olduğunu düşünüyorlar. Daha girişken daha cesur davranıyorlar. Çevremden yakın çevremden halamlar, </w:t>
      </w:r>
      <w:r w:rsidRPr="00C7023C">
        <w:rPr>
          <w:i/>
        </w:rPr>
        <w:lastRenderedPageBreak/>
        <w:t xml:space="preserve">teyzemler onlarda genelde erkek hemşire biliyorlardı. Dışardan söylendiğimizde erkek hemşire olur mu diye çok duydum”. </w:t>
      </w:r>
      <w:r w:rsidRPr="00C7023C">
        <w:rPr>
          <w:b/>
          <w:i/>
        </w:rPr>
        <w:t>(Katılımcı 5, 2. sınıf öğrencisi)</w:t>
      </w:r>
      <w:r w:rsidRPr="00C7023C">
        <w:rPr>
          <w:i/>
        </w:rPr>
        <w:t xml:space="preserve"> </w:t>
      </w:r>
    </w:p>
    <w:p w:rsidR="00622F23" w:rsidRPr="00C7023C" w:rsidRDefault="00622F23" w:rsidP="00622F23">
      <w:pPr>
        <w:tabs>
          <w:tab w:val="left" w:pos="426"/>
        </w:tabs>
        <w:jc w:val="both"/>
        <w:rPr>
          <w:b/>
          <w:i/>
        </w:rPr>
      </w:pPr>
      <w:r w:rsidRPr="00C7023C">
        <w:rPr>
          <w:b/>
          <w:i/>
        </w:rPr>
        <w:t xml:space="preserve"> “</w:t>
      </w:r>
      <w:r w:rsidRPr="00C7023C">
        <w:rPr>
          <w:i/>
        </w:rPr>
        <w:t>Kızlardan çok daha farklıyım kadınlardan.  Normalde odaya girdiğinde</w:t>
      </w:r>
      <w:r w:rsidRPr="00C7023C">
        <w:rPr>
          <w:b/>
          <w:i/>
        </w:rPr>
        <w:t xml:space="preserve"> </w:t>
      </w:r>
      <w:r w:rsidRPr="00C7023C">
        <w:rPr>
          <w:i/>
        </w:rPr>
        <w:t xml:space="preserve">hemşire girdiğinde çok toparlanmazlar ama doktor girdiğinde hasta toparlanır yakınları falan dışarı çıkar. Ben girdiğimde de aynı şey olur mesela. Hastalar ismimi demez </w:t>
      </w:r>
      <w:proofErr w:type="gramStart"/>
      <w:r w:rsidRPr="00C7023C">
        <w:rPr>
          <w:i/>
        </w:rPr>
        <w:t>…</w:t>
      </w:r>
      <w:r w:rsidRPr="00C7023C">
        <w:t>.</w:t>
      </w:r>
      <w:proofErr w:type="gramEnd"/>
      <w:r w:rsidRPr="00C7023C">
        <w:rPr>
          <w:i/>
        </w:rPr>
        <w:t xml:space="preserve">Bey olarak hitap ederler kızlarda öyle değil hanım kızım falan olur ne bileyim tatlım. Erkek olduğum için farklı toplumdaki yerinden dolayı ataerkil toplumdan” </w:t>
      </w:r>
      <w:r w:rsidRPr="00C7023C">
        <w:rPr>
          <w:b/>
          <w:i/>
        </w:rPr>
        <w:t>(Katılımcı 6, 2. sınıf öğrencisi)</w:t>
      </w:r>
    </w:p>
    <w:p w:rsidR="00622F23" w:rsidRPr="00C7023C" w:rsidRDefault="00622F23" w:rsidP="00622F23">
      <w:pPr>
        <w:tabs>
          <w:tab w:val="left" w:pos="426"/>
        </w:tabs>
        <w:jc w:val="both"/>
        <w:rPr>
          <w:i/>
          <w:iCs/>
          <w:kern w:val="24"/>
        </w:rPr>
      </w:pPr>
      <w:r w:rsidRPr="00C7023C">
        <w:rPr>
          <w:i/>
          <w:iCs/>
          <w:kern w:val="24"/>
        </w:rPr>
        <w:t xml:space="preserve">“Fiziksel güç olarak biraz fazla yardımda bulunuyoruz pozisyon değiştirme şudur budur dün biraz onu fazla yaptım ondan biraz </w:t>
      </w:r>
      <w:proofErr w:type="gramStart"/>
      <w:r w:rsidRPr="00C7023C">
        <w:rPr>
          <w:i/>
          <w:iCs/>
          <w:kern w:val="24"/>
        </w:rPr>
        <w:t>şikayet</w:t>
      </w:r>
      <w:proofErr w:type="gramEnd"/>
      <w:r w:rsidRPr="00C7023C">
        <w:rPr>
          <w:i/>
          <w:iCs/>
          <w:kern w:val="24"/>
        </w:rPr>
        <w:t xml:space="preserve"> ettim. Mesela beş tane kız arkadaş var bir tane ben varım, direkman beni çağırıyorlar. Hani erkeğin güçsel açısından fazla olduğundan dolayı”</w:t>
      </w:r>
      <w:r w:rsidRPr="00C7023C">
        <w:rPr>
          <w:b/>
          <w:i/>
        </w:rPr>
        <w:t xml:space="preserve"> (Katılımcı 4, 2. sınıf öğrencisi)</w:t>
      </w:r>
    </w:p>
    <w:p w:rsidR="00622F23" w:rsidRPr="00C7023C" w:rsidRDefault="00622F23" w:rsidP="00622F23">
      <w:pPr>
        <w:tabs>
          <w:tab w:val="left" w:pos="426"/>
        </w:tabs>
        <w:jc w:val="both"/>
        <w:rPr>
          <w:b/>
          <w:i/>
        </w:rPr>
      </w:pPr>
      <w:r w:rsidRPr="00C7023C">
        <w:rPr>
          <w:i/>
        </w:rPr>
        <w:t xml:space="preserve">“Genelde kaba kuvvet gerektiren güç gerektiren durumları bize veriyor” </w:t>
      </w:r>
      <w:r w:rsidRPr="00C7023C">
        <w:rPr>
          <w:b/>
          <w:i/>
        </w:rPr>
        <w:t>(Katılımcı 3, 3. Sınıf öğrencisi)</w:t>
      </w:r>
    </w:p>
    <w:p w:rsidR="00622F23" w:rsidRPr="00C7023C" w:rsidRDefault="00622F23" w:rsidP="00622F23">
      <w:pPr>
        <w:jc w:val="both"/>
      </w:pPr>
      <w:r w:rsidRPr="00C7023C">
        <w:t xml:space="preserve">Araştırmaya katılan ikinci ve üçüncü sınıf erkek hemşirelik öğrencileri, sınıfta daha az sayıda olmalarının öğretim üye/elemanları tarafından daha fazla ilgi odağı haline gelmelerine yol açtığını belirtmiştlerdir. </w:t>
      </w:r>
    </w:p>
    <w:p w:rsidR="00622F23" w:rsidRPr="00C7023C" w:rsidRDefault="00622F23" w:rsidP="00622F23">
      <w:pPr>
        <w:tabs>
          <w:tab w:val="left" w:pos="0"/>
        </w:tabs>
        <w:jc w:val="both"/>
        <w:rPr>
          <w:i/>
        </w:rPr>
      </w:pPr>
      <w:r w:rsidRPr="00C7023C">
        <w:rPr>
          <w:i/>
        </w:rPr>
        <w:t>“Hocaların fazla soru sorması ilgi mi denir bilmiyorum da</w:t>
      </w:r>
      <w:proofErr w:type="gramStart"/>
      <w:r w:rsidRPr="00C7023C">
        <w:rPr>
          <w:i/>
        </w:rPr>
        <w:t>..</w:t>
      </w:r>
      <w:proofErr w:type="gramEnd"/>
      <w:r w:rsidRPr="00C7023C">
        <w:rPr>
          <w:i/>
        </w:rPr>
        <w:t xml:space="preserve"> </w:t>
      </w:r>
      <w:proofErr w:type="gramStart"/>
      <w:r w:rsidRPr="00C7023C">
        <w:rPr>
          <w:i/>
        </w:rPr>
        <w:t>fazla</w:t>
      </w:r>
      <w:proofErr w:type="gramEnd"/>
      <w:r w:rsidRPr="00C7023C">
        <w:rPr>
          <w:i/>
        </w:rPr>
        <w:t xml:space="preserve"> ilgi bazen rahatsız edebiliyor bilmediğimiz birşey olabiliyor ya da o an hasta olabiliriz rahatsız olabiliriz ya da bilmiyor olabiliriz. Biraz rahatsız ediyor aslında bu hocaya da bağlı mesela bazı hocalarımız kız erkek diye ayırmaya çalışmıyor çalışmıyor </w:t>
      </w:r>
      <w:r w:rsidRPr="00C7023C">
        <w:rPr>
          <w:i/>
        </w:rPr>
        <w:lastRenderedPageBreak/>
        <w:t xml:space="preserve">değilde yani çok şey yapmıyor dikkat etmiyor ama bazı hocalarımız şey yapıyor bariz o hocalarımız tarafından dikkate alınıyoruz yani. Aslında fazla ilgi biraz şey yapıyor hocam yani hani bizede bazen diyorum banada kız ögrenci gibi davranılsın bazen gerçekten bunu söylediğim oluyor ama genel olarak </w:t>
      </w:r>
      <w:proofErr w:type="gramStart"/>
      <w:r w:rsidRPr="00C7023C">
        <w:rPr>
          <w:i/>
        </w:rPr>
        <w:t>şikayetçi</w:t>
      </w:r>
      <w:proofErr w:type="gramEnd"/>
      <w:r w:rsidRPr="00C7023C">
        <w:rPr>
          <w:i/>
        </w:rPr>
        <w:t xml:space="preserve"> değilim” </w:t>
      </w:r>
      <w:r w:rsidRPr="00C7023C">
        <w:rPr>
          <w:b/>
          <w:i/>
        </w:rPr>
        <w:t>(Katılımcı 4, 2. sınıf öğrencisi)</w:t>
      </w:r>
    </w:p>
    <w:p w:rsidR="00622F23" w:rsidRPr="00C7023C" w:rsidRDefault="00622F23" w:rsidP="00622F23">
      <w:pPr>
        <w:tabs>
          <w:tab w:val="left" w:pos="426"/>
        </w:tabs>
        <w:jc w:val="both"/>
        <w:rPr>
          <w:b/>
        </w:rPr>
      </w:pPr>
      <w:r w:rsidRPr="00C7023C">
        <w:rPr>
          <w:i/>
        </w:rPr>
        <w:t xml:space="preserve"> “Erkek olduğum için daha çok ortadayım. Cinsiyet farkından dolayı daha çok tanınıyorum. İletişim kurmam daha iyi oluyor hocalarımla” </w:t>
      </w:r>
      <w:r w:rsidRPr="00C7023C">
        <w:rPr>
          <w:b/>
          <w:i/>
        </w:rPr>
        <w:t>(Katılımcı 6, 2. sınıf öğrencisi)</w:t>
      </w:r>
      <w:r w:rsidRPr="00C7023C">
        <w:rPr>
          <w:b/>
        </w:rPr>
        <w:tab/>
      </w:r>
    </w:p>
    <w:p w:rsidR="00622F23" w:rsidRPr="00C7023C" w:rsidRDefault="00622F23" w:rsidP="00622F23">
      <w:pPr>
        <w:tabs>
          <w:tab w:val="left" w:pos="426"/>
        </w:tabs>
        <w:jc w:val="both"/>
        <w:rPr>
          <w:i/>
        </w:rPr>
      </w:pPr>
      <w:r w:rsidRPr="00C7023C">
        <w:rPr>
          <w:b/>
        </w:rPr>
        <w:tab/>
      </w:r>
    </w:p>
    <w:p w:rsidR="00622F23" w:rsidRPr="00C7023C" w:rsidRDefault="00622F23" w:rsidP="00622F23">
      <w:pPr>
        <w:tabs>
          <w:tab w:val="left" w:pos="426"/>
        </w:tabs>
        <w:jc w:val="both"/>
        <w:rPr>
          <w:b/>
        </w:rPr>
      </w:pPr>
      <w:r w:rsidRPr="00C7023C">
        <w:rPr>
          <w:b/>
        </w:rPr>
        <w:t xml:space="preserve">Mesleğe İlişkin Bireysel Algı </w:t>
      </w:r>
    </w:p>
    <w:p w:rsidR="00622F23" w:rsidRPr="00C7023C" w:rsidRDefault="00622F23" w:rsidP="00622F23">
      <w:pPr>
        <w:tabs>
          <w:tab w:val="left" w:pos="426"/>
        </w:tabs>
        <w:jc w:val="both"/>
        <w:rPr>
          <w:b/>
        </w:rPr>
      </w:pPr>
    </w:p>
    <w:p w:rsidR="00622F23" w:rsidRPr="00C7023C" w:rsidRDefault="00622F23" w:rsidP="00622F23">
      <w:pPr>
        <w:tabs>
          <w:tab w:val="left" w:pos="426"/>
        </w:tabs>
        <w:jc w:val="both"/>
      </w:pPr>
      <w:r w:rsidRPr="00C7023C">
        <w:t xml:space="preserve">Araştırmaya katılan erkek hemşireler yaşantılarındaki değişimi, özgüven, liderlik ve girişkenlik davranışlarında artış olduğunu mesleğe ilişkin bireysel algı teması altında aşağıdaki biçimde ifade etmişlerdir. </w:t>
      </w:r>
    </w:p>
    <w:p w:rsidR="00622F23" w:rsidRPr="00C7023C" w:rsidRDefault="00622F23" w:rsidP="00622F23">
      <w:pPr>
        <w:tabs>
          <w:tab w:val="left" w:pos="426"/>
        </w:tabs>
        <w:jc w:val="both"/>
        <w:rPr>
          <w:i/>
        </w:rPr>
      </w:pPr>
      <w:r w:rsidRPr="00C7023C">
        <w:rPr>
          <w:i/>
        </w:rPr>
        <w:t xml:space="preserve">“Kişiliğimde etkilendi hem de yüzde yüz etkilendi. Mesela bizim yaşantı tarzı olarak işte bizim oralarda geçmişteki yaşantım kadınlarda çok beraber hayatımız olmadı ilişkilerimiz her zaman sınırlıdır yani biraz daha kendi erkekler erkeklerle, kadınlar kadınlarla olur ama hemşirelik bölümü ve hemşirelik mesleği böyle bir şeyi ortadan kaldırıyor” </w:t>
      </w:r>
      <w:r w:rsidRPr="00C7023C">
        <w:rPr>
          <w:b/>
          <w:bCs/>
          <w:i/>
        </w:rPr>
        <w:t>(Katılımcı 1, 3. sınıf öğrencisi)</w:t>
      </w:r>
      <w:r w:rsidRPr="00C7023C">
        <w:rPr>
          <w:i/>
        </w:rPr>
        <w:t xml:space="preserve"> </w:t>
      </w:r>
    </w:p>
    <w:p w:rsidR="00622F23" w:rsidRPr="00C7023C" w:rsidRDefault="00622F23" w:rsidP="00622F23">
      <w:pPr>
        <w:tabs>
          <w:tab w:val="left" w:pos="426"/>
        </w:tabs>
        <w:jc w:val="both"/>
        <w:rPr>
          <w:i/>
        </w:rPr>
      </w:pPr>
      <w:r w:rsidRPr="00C7023C">
        <w:rPr>
          <w:i/>
        </w:rPr>
        <w:t xml:space="preserve">“Şimdi daha çok bilgi sahibiyiz. Özgüvenimiz oluyor. Profesyonel iş yaptığımızı anladık. Bununla beraber tabi özgüvenimiz oldu. Sen napıyorsun? </w:t>
      </w:r>
      <w:proofErr w:type="gramStart"/>
      <w:r w:rsidRPr="00C7023C">
        <w:rPr>
          <w:i/>
        </w:rPr>
        <w:t>deyince</w:t>
      </w:r>
      <w:proofErr w:type="gramEnd"/>
      <w:r w:rsidRPr="00C7023C">
        <w:rPr>
          <w:i/>
        </w:rPr>
        <w:t xml:space="preserve"> ben bunları yapıyorum rahatça söylüyorum. Neler yaptığımı kendimi </w:t>
      </w:r>
      <w:r w:rsidRPr="00C7023C">
        <w:rPr>
          <w:i/>
        </w:rPr>
        <w:lastRenderedPageBreak/>
        <w:t xml:space="preserve">daha iyi ifade ediyorum” </w:t>
      </w:r>
      <w:r w:rsidRPr="00C7023C">
        <w:rPr>
          <w:b/>
          <w:i/>
        </w:rPr>
        <w:t>(Katılımcı 5, 2. sınıf öğrencisi)</w:t>
      </w:r>
    </w:p>
    <w:p w:rsidR="00622F23" w:rsidRPr="00C7023C" w:rsidRDefault="00622F23" w:rsidP="00622F23">
      <w:pPr>
        <w:jc w:val="both"/>
        <w:rPr>
          <w:b/>
          <w:bCs/>
          <w:i/>
        </w:rPr>
      </w:pPr>
      <w:r w:rsidRPr="00C7023C">
        <w:rPr>
          <w:i/>
        </w:rPr>
        <w:t xml:space="preserve"> “Şu anda bir yerde bir şey yapılacaksa, bunun benim tarafımdan yapılmasını isterim. Biraz girişken ruh yapısında oldum. Liderlik ruhu derler ya... Mesela bir tane 10-20 kişilik grup var orda birisi grubun bir temsilcisi olacaksa direkt bunu ben yapmalıyım diye kendimde bunu söylüyorum. Öncesinden böyle bir şey yoktu”</w:t>
      </w:r>
      <w:r w:rsidRPr="00C7023C">
        <w:rPr>
          <w:b/>
          <w:bCs/>
          <w:i/>
        </w:rPr>
        <w:t xml:space="preserve"> (Katılımcı 4, 2. sınıf öğrencisi) </w:t>
      </w:r>
    </w:p>
    <w:p w:rsidR="00622F23" w:rsidRPr="00C7023C" w:rsidRDefault="00622F23" w:rsidP="00622F23">
      <w:pPr>
        <w:jc w:val="both"/>
        <w:rPr>
          <w:b/>
          <w:bCs/>
          <w:i/>
        </w:rPr>
      </w:pPr>
    </w:p>
    <w:p w:rsidR="00622F23" w:rsidRPr="00C7023C" w:rsidRDefault="00622F23" w:rsidP="00622F23">
      <w:pPr>
        <w:jc w:val="both"/>
        <w:rPr>
          <w:b/>
        </w:rPr>
      </w:pPr>
      <w:r w:rsidRPr="00C7023C">
        <w:rPr>
          <w:b/>
        </w:rPr>
        <w:t>Gelecek Planları</w:t>
      </w:r>
    </w:p>
    <w:p w:rsidR="00622F23" w:rsidRPr="00C7023C" w:rsidRDefault="00622F23" w:rsidP="00622F23">
      <w:pPr>
        <w:jc w:val="both"/>
        <w:rPr>
          <w:b/>
        </w:rPr>
      </w:pPr>
    </w:p>
    <w:p w:rsidR="00622F23" w:rsidRPr="00C7023C" w:rsidRDefault="00622F23" w:rsidP="00622F23">
      <w:pPr>
        <w:jc w:val="both"/>
      </w:pPr>
      <w:r w:rsidRPr="00C7023C">
        <w:t xml:space="preserve">Araştırmaya katılan bir öğrenci mesleki kariyerlerine hemşirelik alanında devam etmeyi düşünürken, iki öğrenci de hemşirelik mesleğine yeterince ait hissetmediğinden/ aidiyet gelişiremediğinden kariyer planının farklı yönde yaptığını belirtmiştir.  </w:t>
      </w:r>
    </w:p>
    <w:p w:rsidR="00622F23" w:rsidRPr="00C7023C" w:rsidRDefault="00622F23" w:rsidP="00622F23">
      <w:pPr>
        <w:jc w:val="both"/>
        <w:rPr>
          <w:b/>
        </w:rPr>
      </w:pPr>
      <w:r w:rsidRPr="00C7023C">
        <w:rPr>
          <w:i/>
        </w:rPr>
        <w:t>“Kendimi mesleğe ait hissediyorum çünkü artık bize bu anlayış verildi çünkü bilmiyorduk. Birinci sınıfta nasıl yapcaz? Millet yapıyor ama bizim gözümüzde onlar çok iyi gözüküyor. Bizde öğrenmeye başlayınca bizde yapabiliyormuşuz. Sadece pratik eksiğimiz var eğitim yönünden sıkıntı olmadığı için kendimizi bir mesleğe ait hissediyoruz arkadaşların girişimleri var bizde onları destekliyoruz. Mesela belki ilerde bizimde girişimlerimiz olacak mesleğin hakkını savunma gibi gereken önemi daha çok verilmesi için tabi bizimde mesleğe ait hissediyoruz</w:t>
      </w:r>
      <w:r w:rsidRPr="00C7023C">
        <w:t xml:space="preserve">.” </w:t>
      </w:r>
      <w:r w:rsidRPr="00C7023C">
        <w:rPr>
          <w:b/>
          <w:i/>
        </w:rPr>
        <w:t>(Katılımcı 5, 2. sınıf öğrencisi)</w:t>
      </w:r>
      <w:r w:rsidRPr="00C7023C">
        <w:t xml:space="preserve"> </w:t>
      </w:r>
    </w:p>
    <w:p w:rsidR="00622F23" w:rsidRPr="00C7023C" w:rsidRDefault="00622F23" w:rsidP="00622F23">
      <w:pPr>
        <w:jc w:val="both"/>
      </w:pPr>
      <w:r w:rsidRPr="00C7023C">
        <w:t>“</w:t>
      </w:r>
      <w:r w:rsidRPr="00C7023C">
        <w:rPr>
          <w:i/>
        </w:rPr>
        <w:t xml:space="preserve">Adalet bölümünü okuyorum yani bu adalet bölümünü ordan hukuk fakültesi geçiş yapmayı düşünüyorum. Bu sene ya da bu sene şehir </w:t>
      </w:r>
      <w:r w:rsidRPr="00C7023C">
        <w:rPr>
          <w:i/>
        </w:rPr>
        <w:lastRenderedPageBreak/>
        <w:t xml:space="preserve">olarak karar vermezsem seneye işte bu süre zarfında bir-iki yıl hemşire olarak da çalışmayı düşünüyorum. Hemşire olmayabilir de şu yönden istiyorum öğrendiğim şeyler yerleşsin askere gitcez ordada kullancam bazı şeyleri öğrenmiş olarak askere gitmeyi istiyorum. Bir iki yıl hemşirelik yapmak hukuk fakültesini bitirdikten sonra avukat ya da savcı </w:t>
      </w:r>
      <w:proofErr w:type="gramStart"/>
      <w:r w:rsidRPr="00C7023C">
        <w:rPr>
          <w:i/>
        </w:rPr>
        <w:t>hakim</w:t>
      </w:r>
      <w:proofErr w:type="gramEnd"/>
      <w:r w:rsidRPr="00C7023C">
        <w:rPr>
          <w:i/>
        </w:rPr>
        <w:t xml:space="preserve"> sınavlarına girip öyle devam etmek ama kesin değil o olmazsa psikolojide yüksek lisans, doktora yapıp hastanede psikolog olarak çalışmak bu olabilir. Şimdi son zamanlarda birde aklıma şeyde geliyor hemşilelikte yüksek lisans, doktora yapmak aklıma gelmiyor değil psikiyatri hemşireliğini düşünüyorum işte psikiyatri ilgim olduğu için sonra değişiklik şey proje var aklımda daha hangisi yapacağıma karar vermedim</w:t>
      </w:r>
      <w:r w:rsidRPr="00C7023C">
        <w:t>”</w:t>
      </w:r>
      <w:r w:rsidRPr="00C7023C">
        <w:rPr>
          <w:b/>
        </w:rPr>
        <w:t>(Katılımcı 1, 3. sınıf öğrencisi)</w:t>
      </w:r>
    </w:p>
    <w:p w:rsidR="00622F23" w:rsidRPr="00C7023C" w:rsidRDefault="00622F23" w:rsidP="00622F23">
      <w:pPr>
        <w:jc w:val="both"/>
        <w:rPr>
          <w:b/>
          <w:i/>
        </w:rPr>
      </w:pPr>
      <w:r w:rsidRPr="00C7023C">
        <w:rPr>
          <w:i/>
        </w:rPr>
        <w:t xml:space="preserve">“…şu anda akademisyen olmayı çok istiyorum. Bilgim olduğunu birazda hakettiğimi düşünüyorum” </w:t>
      </w:r>
      <w:r w:rsidRPr="00C7023C">
        <w:rPr>
          <w:b/>
          <w:i/>
        </w:rPr>
        <w:t>(Katılımcı 2, 3. sınıf öğrencisi)</w:t>
      </w:r>
    </w:p>
    <w:p w:rsidR="00622F23" w:rsidRPr="00C7023C" w:rsidRDefault="00622F23" w:rsidP="00622F23">
      <w:pPr>
        <w:jc w:val="both"/>
        <w:rPr>
          <w:b/>
          <w:i/>
        </w:rPr>
      </w:pPr>
    </w:p>
    <w:p w:rsidR="00622F23" w:rsidRDefault="00622F23" w:rsidP="00622F23">
      <w:pPr>
        <w:jc w:val="both"/>
        <w:rPr>
          <w:b/>
        </w:rPr>
      </w:pPr>
    </w:p>
    <w:p w:rsidR="00622F23" w:rsidRDefault="00622F23" w:rsidP="00622F23">
      <w:pPr>
        <w:jc w:val="both"/>
        <w:rPr>
          <w:b/>
        </w:rPr>
      </w:pPr>
    </w:p>
    <w:p w:rsidR="00622F23" w:rsidRPr="00C7023C" w:rsidRDefault="00622F23" w:rsidP="00622F23">
      <w:pPr>
        <w:jc w:val="both"/>
        <w:rPr>
          <w:b/>
        </w:rPr>
      </w:pPr>
      <w:r w:rsidRPr="00C7023C">
        <w:rPr>
          <w:b/>
        </w:rPr>
        <w:t>TARTIŞMA</w:t>
      </w:r>
    </w:p>
    <w:p w:rsidR="00622F23" w:rsidRPr="00C7023C" w:rsidRDefault="00622F23" w:rsidP="00622F23">
      <w:pPr>
        <w:jc w:val="both"/>
        <w:rPr>
          <w:b/>
        </w:rPr>
      </w:pPr>
      <w:r w:rsidRPr="00C7023C">
        <w:rPr>
          <w:b/>
        </w:rPr>
        <w:t xml:space="preserve"> </w:t>
      </w:r>
    </w:p>
    <w:p w:rsidR="00622F23" w:rsidRPr="00C7023C" w:rsidRDefault="00622F23" w:rsidP="00622F23">
      <w:pPr>
        <w:jc w:val="both"/>
      </w:pPr>
      <w:r w:rsidRPr="00C7023C">
        <w:t xml:space="preserve">Araştırma bir üniversitede ikinci ve üçüncü sınıf erkek hemşirelik öğrencilerinin mesleği algılama tarzlarının belirlenmesine yönelik görüşlerini içermektedir. İçerik analizi sonucunda meslek seçimi, cinsiyetle ilişkili kalıplar, mesleğe ilişkin bireysel algı ve gelecek planları temalarından oluşmaktadır. </w:t>
      </w:r>
    </w:p>
    <w:p w:rsidR="00622F23" w:rsidRPr="00C7023C" w:rsidRDefault="00622F23" w:rsidP="00622F23">
      <w:pPr>
        <w:jc w:val="both"/>
      </w:pPr>
      <w:r w:rsidRPr="00C7023C">
        <w:lastRenderedPageBreak/>
        <w:t>Çalışmada hemşirelik mesleği seçiminde hemşireliğin sağlık alanında bir meslek olması, puana göre hemşirelik mesleğini seçmek durumunda kalma ekonomik nedenlerden dolayı mesleği seçtikleri belirlenmiştir. Literatür incelemesinde mezuniyet sonrası iş fırsatlarından dolayı, genellikle ekonomik nedenlerle mesleğin seçildiği, bireysel ve ekonomik nedenlerle mesleği seçenlerin hemşirelik mesleğine yönelik tutumunun daha pozitif olduğu belirlenmiştir (17-23) Ayrıca erkek hemşirelik öğrencilerinin aile üyeleri ve arkadaşların mesleği seçmeleri konusundaki desteklerinden dolayı hemşirelik mesleğini seçtikleri belirlenmiştir (24).</w:t>
      </w:r>
    </w:p>
    <w:p w:rsidR="00622F23" w:rsidRPr="00C7023C" w:rsidRDefault="00622F23" w:rsidP="00622F23">
      <w:pPr>
        <w:ind w:firstLine="708"/>
        <w:jc w:val="both"/>
      </w:pPr>
    </w:p>
    <w:p w:rsidR="00622F23" w:rsidRPr="00C7023C" w:rsidRDefault="00622F23" w:rsidP="00622F23">
      <w:pPr>
        <w:jc w:val="both"/>
      </w:pPr>
      <w:r w:rsidRPr="00C7023C">
        <w:t>Araştırmadaki katılımcılar toplum tarafından erkek hemşirelik öğrencileri farklı olarak algılandığını hemşire yerine hemşir olarak hitap edildiği ve kadın mesleği olarak görüldüğünü ifade etmişlerdir. Benzer biçimde Tezel ve ark. (2008)’nın hastalarla gerçekleştikleri çalışmada; hastalar hemşireliğin daha çok kadına özgü bir meslek olduğunu, erkek hemşirelerden bakım aldıkları anda bazı zorluklar (utanma vs) yaşayabileceklerini ifade etmişlerdir (16). Abushaikha ve ark. (2014)’da erkek hemşirelik öğrencileri ile yaptıkları çalışmada hemşirelikte olumsuz bir bakış açısı olduğunu ifade etmişlerdir (25). Katılımcılardan biri bu durumu şu şekilde belirtmiştir. “</w:t>
      </w:r>
      <w:r w:rsidRPr="00C7023C">
        <w:rPr>
          <w:i/>
        </w:rPr>
        <w:t xml:space="preserve">İlk yılımda bana herkes rotamı değiştirmemi, erkek hemşirelerin toplum tarafından reddedildiğini söylediler… </w:t>
      </w:r>
      <w:proofErr w:type="gramStart"/>
      <w:r w:rsidRPr="00C7023C">
        <w:rPr>
          <w:i/>
        </w:rPr>
        <w:t>fakat</w:t>
      </w:r>
      <w:proofErr w:type="gramEnd"/>
      <w:r w:rsidRPr="00C7023C">
        <w:rPr>
          <w:i/>
        </w:rPr>
        <w:t xml:space="preserve"> erkek doktorlar kabul ediliyor.”</w:t>
      </w:r>
      <w:r w:rsidRPr="00C7023C">
        <w:t xml:space="preserve"> (25). Toplumda hemşirelik mesleğine yönelik yargının görüldüğü gibi ülkemizdeki durumla benzerlik gösterdiği söylenebilir. Bu durum hemşireliğin daha çok </w:t>
      </w:r>
      <w:r w:rsidRPr="00C7023C">
        <w:lastRenderedPageBreak/>
        <w:t xml:space="preserve">kadın mesleği olduğu zamanla erkek hemşirelerinde meslekte bulunması ve sayılarının artmasıyla bu yargının yıkılacağı ve meslekte erkek hemşirelerin de kabul edileceği düşünülebilmektedir. </w:t>
      </w:r>
    </w:p>
    <w:p w:rsidR="00622F23" w:rsidRPr="00C7023C" w:rsidRDefault="00622F23" w:rsidP="00622F23">
      <w:pPr>
        <w:jc w:val="both"/>
      </w:pPr>
    </w:p>
    <w:p w:rsidR="00622F23" w:rsidRPr="00C7023C" w:rsidRDefault="00622F23" w:rsidP="00622F23">
      <w:pPr>
        <w:jc w:val="both"/>
      </w:pPr>
      <w:r w:rsidRPr="00C7023C">
        <w:t xml:space="preserve">Klinikte çoğunlukla kuvvet gerektiren işlerde kendilerinin bulunduğunu belirtmişlerdir. Bu durumda kadın ve erkek cinsiyetine özgü kalıplaşmış rollerin devamlılığını gösterir niteliktedir. Benzer biçimde başka bir çalışmada da erkek öğrenciler cinsiyet ayrımını “kuvvet” gerektiren durumlarda, daha çok hastaları kaldırmak için çağrıldıklarını belirtmişlerdir (26).  </w:t>
      </w:r>
    </w:p>
    <w:p w:rsidR="00622F23" w:rsidRPr="00C7023C" w:rsidRDefault="00622F23" w:rsidP="00622F23">
      <w:pPr>
        <w:jc w:val="both"/>
      </w:pPr>
    </w:p>
    <w:p w:rsidR="00622F23" w:rsidRPr="00C7023C" w:rsidRDefault="00622F23" w:rsidP="00622F23">
      <w:pPr>
        <w:jc w:val="both"/>
      </w:pPr>
      <w:r w:rsidRPr="00C7023C">
        <w:t xml:space="preserve">Araştırmada özellikle sınıfta erkek hemşirelik öğrencilerinin sayısının daha az olmasından kaynaklı olarak öğretim üye/elemanları tarafından kız öğrencilere göre farklı tutum sergilendiği ifade edilmiştir. Ergöl ve Kütüncü (2013)’de yapmış oldukları çalışmada erkek öğrencilerin daha fazla cinsiyet ayrımcılığına maruz kaldığı belirlenmiştir (27). Erkek hemşirelik öğrencileri, kızların daha fazla baskın olduğu ortamda yalnızlık ve </w:t>
      </w:r>
      <w:proofErr w:type="gramStart"/>
      <w:r w:rsidRPr="00C7023C">
        <w:t>izolasyon</w:t>
      </w:r>
      <w:proofErr w:type="gramEnd"/>
      <w:r w:rsidRPr="00C7023C">
        <w:t xml:space="preserve"> deneyimleri yaşayabilmektedirler (28). Stott (2007)’da gerçekleştirdiği nitel çalışmada belirlenen temalarlardan biri de </w:t>
      </w:r>
      <w:proofErr w:type="gramStart"/>
      <w:r w:rsidRPr="00C7023C">
        <w:t>izolasyondur</w:t>
      </w:r>
      <w:proofErr w:type="gramEnd"/>
      <w:r w:rsidRPr="00C7023C">
        <w:t xml:space="preserve">. Erkek öğrencilerin öğrenme süreçlerinde yaşamış oldukları kızların yanında sorulan sorulara yönelik aptalca görünme korkusu ve yeterince akademik olamamayı yaşadıkları belirlenmiştir. Çalışmada görüşmecilerden biri bu durumu şu şekilde ifade etmiştir. </w:t>
      </w:r>
      <w:r w:rsidRPr="00C7023C">
        <w:rPr>
          <w:i/>
        </w:rPr>
        <w:t xml:space="preserve">“Kızların alanında bir erkek olarak bazen baskı altında hissettim. Bir grup kadının içinde küçük dilimi </w:t>
      </w:r>
      <w:r w:rsidRPr="00C7023C">
        <w:rPr>
          <w:i/>
        </w:rPr>
        <w:lastRenderedPageBreak/>
        <w:t>yutmayı öğreniyorum”.</w:t>
      </w:r>
      <w:r w:rsidRPr="00C7023C">
        <w:t xml:space="preserve"> (29).</w:t>
      </w:r>
      <w:r w:rsidRPr="00C7023C">
        <w:rPr>
          <w:i/>
        </w:rPr>
        <w:t xml:space="preserve"> </w:t>
      </w:r>
      <w:r w:rsidRPr="00C7023C">
        <w:t xml:space="preserve">Stott (2007)’de belirlediği erkeklerin hissettiği akademik ve klinik ortamdaki </w:t>
      </w:r>
      <w:proofErr w:type="gramStart"/>
      <w:r w:rsidRPr="00C7023C">
        <w:t>izolasyon</w:t>
      </w:r>
      <w:proofErr w:type="gramEnd"/>
      <w:r w:rsidRPr="00C7023C">
        <w:t xml:space="preserve"> bu çalışmaylada örtüşmektedir. (29). </w:t>
      </w:r>
    </w:p>
    <w:p w:rsidR="00622F23" w:rsidRPr="00C7023C" w:rsidRDefault="00622F23" w:rsidP="00622F23">
      <w:pPr>
        <w:jc w:val="both"/>
      </w:pPr>
    </w:p>
    <w:p w:rsidR="00622F23" w:rsidRPr="00C7023C" w:rsidRDefault="00622F23" w:rsidP="00622F23">
      <w:pPr>
        <w:jc w:val="both"/>
      </w:pPr>
      <w:r w:rsidRPr="00C7023C">
        <w:t xml:space="preserve">Öğrenciler hemşirelik mesleğine yönelik bireysel algıları teması altında bu mesleğin yaşamlarında olumlu değişikliklere yol açtığını, pozitif yönde gelişimlerine katkı sağladıklarını ifade etmişlerdir. Hemşirelik eğitimi, bireysel ve mesleki yaşamda kullanılabilecek birçok becerinin gelişimine katkı sağlayabilmektedir. Bireysel yararların (arkadaşlık, temel hemşirelik bilgi ve becerilerini edinme), hemşireliğin toplumdaki değerini ve bir bilim olarak hemşireliği tanıma gibi olumlu yönleri olduğu belirtilmektedir (25). Hemşirelik mesleğine ilişkin bu şekilde olumlu gelişmeler zamanla bu mesleğin tercih edilmesini sağlayabileceği düşünülmektedir. </w:t>
      </w:r>
    </w:p>
    <w:p w:rsidR="00622F23" w:rsidRPr="00C7023C" w:rsidRDefault="00622F23" w:rsidP="00622F23">
      <w:pPr>
        <w:jc w:val="both"/>
      </w:pPr>
    </w:p>
    <w:p w:rsidR="00622F23" w:rsidRPr="00C7023C" w:rsidRDefault="00622F23" w:rsidP="00622F23">
      <w:pPr>
        <w:jc w:val="both"/>
      </w:pPr>
      <w:r w:rsidRPr="00C7023C">
        <w:t xml:space="preserve">Öğrenciler kariyer planlarının farklı yönde olduğu belirlenmiştir. Erkek hemşirelik öğrencileri akademisyen olma, farklı bir alanda devam etme istekleri olduğu görülmektedir. Bu durumun nedenleri mesleği isteyerek seçmeme, mesleğe aidiyetin gelişmemesi, cinsiyet rollerinden ötürü zorlanma, toplumun yargısı, sorumluluk gerektiren bir meslek olma gibi nedenler olabilir. </w:t>
      </w:r>
    </w:p>
    <w:p w:rsidR="00622F23" w:rsidRDefault="00622F23" w:rsidP="00622F23">
      <w:pPr>
        <w:jc w:val="both"/>
        <w:rPr>
          <w:b/>
        </w:rPr>
      </w:pPr>
    </w:p>
    <w:p w:rsidR="002D1DDE" w:rsidRDefault="002D1DDE" w:rsidP="00622F23">
      <w:pPr>
        <w:jc w:val="both"/>
        <w:rPr>
          <w:b/>
        </w:rPr>
      </w:pPr>
    </w:p>
    <w:p w:rsidR="002D1DDE" w:rsidRDefault="002D1DDE" w:rsidP="00622F23">
      <w:pPr>
        <w:jc w:val="both"/>
        <w:rPr>
          <w:b/>
        </w:rPr>
      </w:pPr>
    </w:p>
    <w:p w:rsidR="002D1DDE" w:rsidRPr="00C7023C" w:rsidRDefault="002D1DDE" w:rsidP="00622F23">
      <w:pPr>
        <w:jc w:val="both"/>
        <w:rPr>
          <w:b/>
        </w:rPr>
      </w:pPr>
    </w:p>
    <w:p w:rsidR="00622F23" w:rsidRPr="00C7023C" w:rsidRDefault="00622F23" w:rsidP="00622F23">
      <w:pPr>
        <w:jc w:val="both"/>
        <w:rPr>
          <w:b/>
        </w:rPr>
      </w:pPr>
      <w:r w:rsidRPr="00C7023C">
        <w:rPr>
          <w:b/>
        </w:rPr>
        <w:lastRenderedPageBreak/>
        <w:t>SONUÇLAR VE ÖNERİLER</w:t>
      </w:r>
    </w:p>
    <w:p w:rsidR="00622F23" w:rsidRPr="00C7023C" w:rsidRDefault="00622F23" w:rsidP="00622F23">
      <w:pPr>
        <w:jc w:val="both"/>
        <w:rPr>
          <w:b/>
        </w:rPr>
      </w:pPr>
    </w:p>
    <w:p w:rsidR="00622F23" w:rsidRPr="00C7023C" w:rsidRDefault="00622F23" w:rsidP="00622F23">
      <w:pPr>
        <w:tabs>
          <w:tab w:val="left" w:pos="142"/>
        </w:tabs>
        <w:ind w:left="-142"/>
        <w:jc w:val="both"/>
      </w:pPr>
      <w:r w:rsidRPr="00C7023C">
        <w:t>Bir üniversitede erkek hemşirelik öğrencilerinin hemşirelik mesleğine ilişkin algılarının incelendiği araştırmada erkek öğrencilerin sayılarının kızlara oranla daha az sayıda olmasına bağlı olarak araştırma kapsamında da gerçekleştirilen görüşmelerde erkek öğrencilere yönelik bazı tutum farklılıklarının olduğu belirlenmiştir. Hemşirelik eğitiminde eğiticiler erkek öğrencilere yaklaşımlarında öncelik veya baskı oluşturacak nitelikte tutum sergilenmemesi böylece erkek öğrencilerinde rahat biçimde kendilerini ifade etmesi sağlanmalıdır. Araştırmaya katılan öğrenciler genel olarak hemşirelik mesleği uygulamaları ile yaşantılarında önemli değişiklikler olduğunu, mesleğin olumlu yönde davranış değişikliğine neden olduğunu belirtmişlerdir. Ayrıca mesleki aidiyet gelişmeyen öğrenciler, kariyer planlarını farklı yönde yaptıkları saptanmıştır. Bu nedenle erkek hemşirelik öğrencilerinin mesleğe aidiyetlerinin artırılmasına yönelik mesleği tanıtıcı nitelikte dersler eğitim programlarında yer verilmesi sağlanabilir.</w:t>
      </w:r>
    </w:p>
    <w:p w:rsidR="00622F23" w:rsidRPr="00C7023C" w:rsidRDefault="00622F23" w:rsidP="00622F23">
      <w:pPr>
        <w:tabs>
          <w:tab w:val="left" w:pos="142"/>
        </w:tabs>
        <w:ind w:left="-142"/>
        <w:jc w:val="both"/>
      </w:pPr>
    </w:p>
    <w:p w:rsidR="00622F23" w:rsidRPr="00C7023C" w:rsidRDefault="00622F23" w:rsidP="00622F23">
      <w:pPr>
        <w:tabs>
          <w:tab w:val="left" w:pos="142"/>
        </w:tabs>
        <w:ind w:left="-142"/>
        <w:jc w:val="both"/>
        <w:rPr>
          <w:b/>
        </w:rPr>
      </w:pPr>
      <w:r w:rsidRPr="00C7023C">
        <w:rPr>
          <w:b/>
        </w:rPr>
        <w:t>Araştırmanın Sınırlılıkları</w:t>
      </w:r>
    </w:p>
    <w:p w:rsidR="00622F23" w:rsidRPr="00C7023C" w:rsidRDefault="00622F23" w:rsidP="00622F23">
      <w:pPr>
        <w:tabs>
          <w:tab w:val="left" w:pos="142"/>
        </w:tabs>
        <w:ind w:left="-142"/>
        <w:jc w:val="both"/>
        <w:rPr>
          <w:b/>
        </w:rPr>
      </w:pPr>
    </w:p>
    <w:p w:rsidR="00622F23" w:rsidRPr="00C7023C" w:rsidRDefault="00622F23" w:rsidP="00622F23">
      <w:pPr>
        <w:tabs>
          <w:tab w:val="left" w:pos="142"/>
        </w:tabs>
        <w:ind w:left="-142"/>
        <w:jc w:val="both"/>
      </w:pPr>
      <w:r w:rsidRPr="00C7023C">
        <w:t>Araştırmada mesleki algının gelişmesinde öğrencilerin klinik deneyim ve gözlem sayısının artması oldukça önemlidir. Ancak araştırmaya daha fazla klinik deneyim ve gözleme sahip olan dördüncü sınıf öğrencileri katılmaya istekli olmamıştır. Bu durum araştırmanın sınırlılıkları içerisinde yer almaktadır.</w:t>
      </w:r>
    </w:p>
    <w:p w:rsidR="00622F23" w:rsidRPr="00C7023C" w:rsidRDefault="00622F23" w:rsidP="00622F23">
      <w:pPr>
        <w:tabs>
          <w:tab w:val="left" w:pos="142"/>
        </w:tabs>
        <w:ind w:left="-142"/>
        <w:jc w:val="both"/>
        <w:rPr>
          <w:b/>
        </w:rPr>
      </w:pPr>
      <w:bookmarkStart w:id="1" w:name="_GoBack"/>
      <w:bookmarkEnd w:id="1"/>
      <w:r w:rsidRPr="00C7023C">
        <w:lastRenderedPageBreak/>
        <w:t xml:space="preserve"> </w:t>
      </w:r>
      <w:r w:rsidRPr="00C7023C">
        <w:rPr>
          <w:b/>
        </w:rPr>
        <w:t>KAYNAKLAR</w:t>
      </w:r>
    </w:p>
    <w:p w:rsidR="00622F23" w:rsidRPr="00C7023C" w:rsidRDefault="00622F23" w:rsidP="00622F23">
      <w:pPr>
        <w:tabs>
          <w:tab w:val="left" w:pos="142"/>
        </w:tabs>
        <w:ind w:left="-142"/>
        <w:jc w:val="both"/>
      </w:pPr>
    </w:p>
    <w:p w:rsidR="00622F23" w:rsidRPr="00C7023C" w:rsidRDefault="00622F23" w:rsidP="00622F23">
      <w:pPr>
        <w:tabs>
          <w:tab w:val="left" w:pos="142"/>
        </w:tabs>
        <w:ind w:left="-142"/>
        <w:jc w:val="both"/>
      </w:pPr>
      <w:r w:rsidRPr="00C7023C">
        <w:t xml:space="preserve">1. Andersson EP. The perspective of </w:t>
      </w:r>
      <w:proofErr w:type="gramStart"/>
      <w:r w:rsidRPr="00C7023C">
        <w:t>student    nurses</w:t>
      </w:r>
      <w:proofErr w:type="gramEnd"/>
      <w:r w:rsidRPr="00C7023C">
        <w:t xml:space="preserve"> and their perceptions of professional nursing during the nurse training programme. </w:t>
      </w:r>
      <w:hyperlink r:id="rId35" w:tooltip="Journal of advanced nursing." w:history="1">
        <w:r w:rsidRPr="00C7023C">
          <w:rPr>
            <w:rStyle w:val="Kpr"/>
            <w:shd w:val="clear" w:color="auto" w:fill="FFFFFF"/>
          </w:rPr>
          <w:t>J Adv Nurs.</w:t>
        </w:r>
      </w:hyperlink>
      <w:r w:rsidRPr="00C7023C">
        <w:t xml:space="preserve"> 1993; 18: 808-815.</w:t>
      </w:r>
    </w:p>
    <w:p w:rsidR="00622F23" w:rsidRPr="00C7023C" w:rsidRDefault="00622F23" w:rsidP="00622F23">
      <w:pPr>
        <w:tabs>
          <w:tab w:val="left" w:pos="142"/>
        </w:tabs>
        <w:ind w:left="-142"/>
        <w:jc w:val="both"/>
      </w:pPr>
      <w:r w:rsidRPr="00C7023C">
        <w:t>2. Eşer İ, Khorshid L, Denat Y. Hemşirelik mesleğini algılamada ilk klinik uygulamanın etkisi. Ege Üniversitesi Hemşirelik Yüksek Okulu Dergisi. 2008; 24(1): 15-26.</w:t>
      </w:r>
    </w:p>
    <w:p w:rsidR="00622F23" w:rsidRPr="00C7023C" w:rsidRDefault="00622F23" w:rsidP="00622F23">
      <w:pPr>
        <w:tabs>
          <w:tab w:val="left" w:pos="142"/>
        </w:tabs>
        <w:ind w:left="-142"/>
        <w:jc w:val="both"/>
      </w:pPr>
      <w:r w:rsidRPr="00C7023C">
        <w:t xml:space="preserve">3. </w:t>
      </w:r>
      <w:r w:rsidRPr="00C7023C">
        <w:rPr>
          <w:rFonts w:eastAsia="TimesNewRomanPSMT"/>
        </w:rPr>
        <w:t xml:space="preserve">Lai HL, Lin YP, Chang HK, Chen CJ, Peng TC, Chang FM. Is nursing profession my first choice? A follow up survey in pre-registeration student nurses. </w:t>
      </w:r>
      <w:hyperlink r:id="rId36" w:tooltip="Nurse education today." w:history="1">
        <w:r w:rsidRPr="00C7023C">
          <w:rPr>
            <w:shd w:val="clear" w:color="auto" w:fill="FFFFFF"/>
          </w:rPr>
          <w:t xml:space="preserve">Nurse </w:t>
        </w:r>
        <w:proofErr w:type="gramStart"/>
        <w:r w:rsidRPr="00C7023C">
          <w:rPr>
            <w:shd w:val="clear" w:color="auto" w:fill="FFFFFF"/>
          </w:rPr>
          <w:t>Education  Today</w:t>
        </w:r>
        <w:proofErr w:type="gramEnd"/>
        <w:r w:rsidRPr="00C7023C">
          <w:rPr>
            <w:shd w:val="clear" w:color="auto" w:fill="FFFFFF"/>
          </w:rPr>
          <w:t>.</w:t>
        </w:r>
      </w:hyperlink>
      <w:r w:rsidRPr="00C7023C">
        <w:rPr>
          <w:rFonts w:eastAsia="TimesNewRomanPSMT"/>
        </w:rPr>
        <w:t xml:space="preserve"> 2008; 28: 768-776.</w:t>
      </w:r>
    </w:p>
    <w:p w:rsidR="00622F23" w:rsidRPr="00C7023C" w:rsidRDefault="00622F23" w:rsidP="00622F23">
      <w:pPr>
        <w:tabs>
          <w:tab w:val="left" w:pos="142"/>
        </w:tabs>
        <w:ind w:left="-142"/>
        <w:jc w:val="both"/>
      </w:pPr>
      <w:r w:rsidRPr="00C7023C">
        <w:t>4</w:t>
      </w:r>
      <w:r w:rsidRPr="00C7023C">
        <w:rPr>
          <w:rFonts w:eastAsia="TimesNewRomanPSMT"/>
        </w:rPr>
        <w:t>. Şirin A, Öztürk R, Bezci G,</w:t>
      </w:r>
      <w:r w:rsidRPr="00C7023C">
        <w:t xml:space="preserve"> </w:t>
      </w:r>
      <w:r w:rsidRPr="00C7023C">
        <w:rPr>
          <w:rFonts w:eastAsia="TimesNewRomanPSMT"/>
        </w:rPr>
        <w:t xml:space="preserve">Çakar G, Çoban A. Hemşirelik öğrencilerinin meslek seçimi ve mesleği uygulamaya yönelik görüşleri. </w:t>
      </w:r>
      <w:r w:rsidRPr="00C7023C">
        <w:rPr>
          <w:rFonts w:eastAsia="TimesNewRomanPSMT"/>
          <w:iCs/>
        </w:rPr>
        <w:t xml:space="preserve">Dirim Tıp Gazetesi. </w:t>
      </w:r>
      <w:r w:rsidRPr="00C7023C">
        <w:rPr>
          <w:rFonts w:eastAsia="TimesNewRomanPSMT"/>
        </w:rPr>
        <w:t>2008; 83: 69-75.</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5. </w:t>
      </w:r>
      <w:r w:rsidRPr="00C7023C">
        <w:t>Özer K. Ben değeri tiryakiliği</w:t>
      </w:r>
      <w:r w:rsidRPr="00C7023C">
        <w:rPr>
          <w:rFonts w:eastAsia="TimesNewRomanPSMT"/>
        </w:rPr>
        <w:t>,</w:t>
      </w:r>
      <w:r w:rsidRPr="00C7023C">
        <w:t>15. Baskı, Sistem Yayıncılık, İstanbul 2011.</w:t>
      </w:r>
    </w:p>
    <w:p w:rsidR="00622F23" w:rsidRPr="00C7023C" w:rsidRDefault="00622F23" w:rsidP="00622F23">
      <w:pPr>
        <w:tabs>
          <w:tab w:val="left" w:pos="142"/>
        </w:tabs>
        <w:ind w:left="-142"/>
        <w:jc w:val="both"/>
        <w:rPr>
          <w:rFonts w:eastAsia="TimesNewRomanPSMT"/>
        </w:rPr>
      </w:pPr>
      <w:r w:rsidRPr="00C7023C">
        <w:t xml:space="preserve">6. </w:t>
      </w:r>
      <w:r w:rsidRPr="00C7023C">
        <w:rPr>
          <w:bCs/>
        </w:rPr>
        <w:t xml:space="preserve">TC Resmi Gazete. </w:t>
      </w:r>
      <w:r w:rsidRPr="00C7023C">
        <w:t>“Hemşirelik</w:t>
      </w:r>
      <w:r w:rsidRPr="00C7023C">
        <w:rPr>
          <w:rFonts w:eastAsia="TimesNewRomanPSMT"/>
        </w:rPr>
        <w:t xml:space="preserve"> </w:t>
      </w:r>
      <w:r w:rsidRPr="00C7023C">
        <w:t>Kanunda Değişiklik Yapılmasına Dair Kanun”, 2007; Kanun No: 5634, Sayı: 26510.</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7. </w:t>
      </w:r>
      <w:r w:rsidRPr="00C7023C">
        <w:rPr>
          <w:shd w:val="clear" w:color="auto" w:fill="FFFFFF"/>
        </w:rPr>
        <w:t>Zysberg L, Berry DM. Gender</w:t>
      </w:r>
      <w:r w:rsidRPr="00C7023C">
        <w:rPr>
          <w:rFonts w:eastAsia="TimesNewRomanPSMT"/>
        </w:rPr>
        <w:t xml:space="preserve"> </w:t>
      </w:r>
      <w:r w:rsidRPr="00C7023C">
        <w:rPr>
          <w:shd w:val="clear" w:color="auto" w:fill="FFFFFF"/>
        </w:rPr>
        <w:t>and students’ vocational choices in entering the field of nursing.</w:t>
      </w:r>
      <w:r w:rsidRPr="00C7023C">
        <w:rPr>
          <w:rStyle w:val="apple-converted-space"/>
          <w:shd w:val="clear" w:color="auto" w:fill="FFFFFF"/>
        </w:rPr>
        <w:t> </w:t>
      </w:r>
      <w:hyperlink r:id="rId37" w:tooltip="Nursing outlook." w:history="1">
        <w:r w:rsidRPr="00C7023C">
          <w:rPr>
            <w:shd w:val="clear" w:color="auto" w:fill="FFFFFF"/>
          </w:rPr>
          <w:t>Nurs Outlook.</w:t>
        </w:r>
      </w:hyperlink>
      <w:r w:rsidRPr="00C7023C">
        <w:rPr>
          <w:shd w:val="clear" w:color="auto" w:fill="FFFFFF"/>
        </w:rPr>
        <w:t xml:space="preserve"> 2005; 53(4): 193-198.</w:t>
      </w:r>
    </w:p>
    <w:p w:rsidR="00622F23" w:rsidRPr="00C7023C" w:rsidRDefault="00622F23" w:rsidP="00622F23">
      <w:pPr>
        <w:tabs>
          <w:tab w:val="left" w:pos="142"/>
        </w:tabs>
        <w:ind w:left="-142"/>
        <w:jc w:val="both"/>
        <w:rPr>
          <w:rFonts w:eastAsia="TimesNewRomanPSMT"/>
        </w:rPr>
      </w:pPr>
      <w:r w:rsidRPr="00C7023C">
        <w:rPr>
          <w:lang w:eastAsia="tr-TR"/>
        </w:rPr>
        <w:t xml:space="preserve"> 8. Kelly NR, Shoemaker M, Steel T.                           The experience of being a male student nurse. </w:t>
      </w:r>
      <w:hyperlink r:id="rId38" w:tooltip="The Journal of nursing education." w:history="1">
        <w:r w:rsidRPr="00C7023C">
          <w:rPr>
            <w:rStyle w:val="Kpr"/>
            <w:shd w:val="clear" w:color="auto" w:fill="FFFFFF"/>
          </w:rPr>
          <w:t>J Nurs Educ.</w:t>
        </w:r>
      </w:hyperlink>
      <w:r w:rsidRPr="00C7023C">
        <w:rPr>
          <w:lang w:eastAsia="tr-TR"/>
        </w:rPr>
        <w:t xml:space="preserve"> 1996; 35 (4): 170–174</w:t>
      </w:r>
    </w:p>
    <w:p w:rsidR="00622F23" w:rsidRPr="00C7023C" w:rsidRDefault="00622F23" w:rsidP="00622F23">
      <w:pPr>
        <w:tabs>
          <w:tab w:val="left" w:pos="142"/>
        </w:tabs>
        <w:ind w:left="-142"/>
        <w:jc w:val="both"/>
      </w:pPr>
      <w:r w:rsidRPr="00C7023C">
        <w:t xml:space="preserve">9. Meadus RJ, Twomey JC. Men in                nursing. Making the right choice. The </w:t>
      </w:r>
      <w:hyperlink r:id="rId39" w:tooltip="The Canadian nurse." w:history="1">
        <w:r w:rsidRPr="00C7023C">
          <w:rPr>
            <w:rStyle w:val="Kpr"/>
            <w:shd w:val="clear" w:color="auto" w:fill="FFFFFF"/>
          </w:rPr>
          <w:t>Can Nurse.</w:t>
        </w:r>
      </w:hyperlink>
      <w:r w:rsidRPr="00C7023C">
        <w:t xml:space="preserve"> 2007; 103(2): 13-16. </w:t>
      </w:r>
    </w:p>
    <w:p w:rsidR="00622F23" w:rsidRPr="00C7023C" w:rsidRDefault="00622F23" w:rsidP="00622F23">
      <w:pPr>
        <w:tabs>
          <w:tab w:val="left" w:pos="142"/>
        </w:tabs>
        <w:ind w:left="-142"/>
        <w:jc w:val="both"/>
        <w:rPr>
          <w:rFonts w:eastAsia="TimesNewRomanPSMT"/>
        </w:rPr>
      </w:pPr>
      <w:r w:rsidRPr="00C7023C">
        <w:lastRenderedPageBreak/>
        <w:t xml:space="preserve">10. Dyck JM, Oliffe J, Phinney A, Garrett B. Nursing instructors’ and male nursing students’ perceptions of undergraduate, classroom nursing education. </w:t>
      </w:r>
      <w:hyperlink r:id="rId40" w:tooltip="Nurse education today." w:history="1">
        <w:r w:rsidRPr="00C7023C">
          <w:rPr>
            <w:shd w:val="clear" w:color="auto" w:fill="FFFFFF"/>
          </w:rPr>
          <w:t>Nurse Educ Today.</w:t>
        </w:r>
      </w:hyperlink>
      <w:r w:rsidRPr="00C7023C">
        <w:rPr>
          <w:shd w:val="clear" w:color="auto" w:fill="FFFFFF"/>
        </w:rPr>
        <w:t> </w:t>
      </w:r>
      <w:r w:rsidRPr="00C7023C">
        <w:t>2009; 29(6): 649-653.</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11. </w:t>
      </w:r>
      <w:r w:rsidRPr="00C7023C">
        <w:t xml:space="preserve">Wang H, Li X, Hu X, Chen H, Gao Y, Zhao H et al. Perceptions of nursing profession and learning experiences of male students in baccalaureate nursing program in Changsha, China. </w:t>
      </w:r>
      <w:hyperlink r:id="rId41" w:tooltip="Nurse education today." w:history="1">
        <w:r w:rsidRPr="00C7023C">
          <w:rPr>
            <w:shd w:val="clear" w:color="auto" w:fill="FFFFFF"/>
          </w:rPr>
          <w:t>Nurse Educ Today.</w:t>
        </w:r>
      </w:hyperlink>
      <w:r w:rsidRPr="00C7023C">
        <w:t xml:space="preserve"> 2011; 31: 36-42. </w:t>
      </w:r>
    </w:p>
    <w:p w:rsidR="00622F23" w:rsidRPr="00C7023C" w:rsidRDefault="00622F23" w:rsidP="00622F23">
      <w:pPr>
        <w:tabs>
          <w:tab w:val="left" w:pos="142"/>
        </w:tabs>
        <w:ind w:left="-142"/>
        <w:jc w:val="both"/>
      </w:pPr>
      <w:r w:rsidRPr="00C7023C">
        <w:rPr>
          <w:rFonts w:eastAsia="TimesNewRomanPSMT"/>
        </w:rPr>
        <w:t>12</w:t>
      </w:r>
      <w:r w:rsidRPr="00C7023C">
        <w:t>. Çınar N, Şahin S, Sözeri C, Cev Ahir R, Akbulak Ö. Erkek öğrencilerin hemşirelik mesleğini tercih nedenleri ve öğrencilere göre hastaların tepkisi ve sağlık çalışanların yaklaşımı. Fırat Sağlık Hizmetleri Dergisi. 2011; 6(17): 15-25.</w:t>
      </w:r>
    </w:p>
    <w:p w:rsidR="00622F23" w:rsidRPr="00C7023C" w:rsidRDefault="00622F23" w:rsidP="00622F23">
      <w:pPr>
        <w:tabs>
          <w:tab w:val="left" w:pos="142"/>
        </w:tabs>
        <w:ind w:left="-142"/>
        <w:jc w:val="both"/>
        <w:rPr>
          <w:rFonts w:eastAsia="TimesNewRomanPSMT"/>
        </w:rPr>
      </w:pPr>
      <w:r w:rsidRPr="00C7023C">
        <w:rPr>
          <w:rFonts w:eastAsia="TimesNewRomanPSMT"/>
        </w:rPr>
        <w:t>13. Çıtak Tunç G, Akansel N, Özdemir A. Hemşirelik ve sağlık memurluğu öğrencilerinin meslek seçimlerini etkileyen faktörler. Maltepe Üniversitesi Hemşirelik Bilim ve Sanatı Dergisi. 2010; 3(1): 24-31.</w:t>
      </w:r>
    </w:p>
    <w:p w:rsidR="00622F23" w:rsidRPr="00C7023C" w:rsidRDefault="00622F23" w:rsidP="00622F23">
      <w:pPr>
        <w:tabs>
          <w:tab w:val="left" w:pos="142"/>
        </w:tabs>
        <w:ind w:left="-142"/>
        <w:jc w:val="both"/>
        <w:rPr>
          <w:rFonts w:eastAsia="TimesNewRomanPSMT"/>
        </w:rPr>
      </w:pPr>
      <w:r w:rsidRPr="00C7023C">
        <w:rPr>
          <w:rFonts w:eastAsia="TimesNewRomanPSMT"/>
        </w:rPr>
        <w:t>14</w:t>
      </w:r>
      <w:r w:rsidRPr="00C7023C">
        <w:t>. Öz F. Sağlık alanında temel kavramlar. Mattek Basım, Ankara 2010.</w:t>
      </w:r>
    </w:p>
    <w:p w:rsidR="00622F23" w:rsidRPr="00C7023C" w:rsidRDefault="00622F23" w:rsidP="00622F23">
      <w:pPr>
        <w:tabs>
          <w:tab w:val="left" w:pos="142"/>
        </w:tabs>
        <w:ind w:left="-142"/>
        <w:jc w:val="both"/>
        <w:rPr>
          <w:rFonts w:eastAsia="TimesNewRomanPSMT"/>
        </w:rPr>
      </w:pPr>
      <w:r w:rsidRPr="00C7023C">
        <w:rPr>
          <w:rFonts w:eastAsia="TimesNewRomanPSMT"/>
        </w:rPr>
        <w:t>15</w:t>
      </w:r>
      <w:r w:rsidRPr="00C7023C">
        <w:t xml:space="preserve">. Kaya N, Turan N, Öztürk A. Türkiye’de hemşirelik imgesi. Uluslararası İnsan Bilimleri Dergisi. 2011; 8(1): 16-30. </w:t>
      </w:r>
    </w:p>
    <w:p w:rsidR="00622F23" w:rsidRPr="00C7023C" w:rsidRDefault="00622F23" w:rsidP="00622F23">
      <w:pPr>
        <w:tabs>
          <w:tab w:val="left" w:pos="142"/>
        </w:tabs>
        <w:ind w:left="-142"/>
        <w:jc w:val="both"/>
        <w:rPr>
          <w:lang w:eastAsia="tr-TR"/>
        </w:rPr>
      </w:pPr>
      <w:r w:rsidRPr="00C7023C">
        <w:rPr>
          <w:rFonts w:eastAsia="TimesNewRomanPSMT"/>
        </w:rPr>
        <w:t>16</w:t>
      </w:r>
      <w:r w:rsidRPr="00C7023C">
        <w:rPr>
          <w:lang w:eastAsia="tr-TR"/>
        </w:rPr>
        <w:t>. Tezel A, Akpınar BA, Yurtta</w:t>
      </w:r>
      <w:r w:rsidRPr="00C7023C">
        <w:rPr>
          <w:rFonts w:eastAsia="TimesNewRomanPSMT"/>
          <w:lang w:eastAsia="tr-TR"/>
        </w:rPr>
        <w:t>ş</w:t>
      </w:r>
      <w:r w:rsidRPr="00C7023C">
        <w:rPr>
          <w:lang w:eastAsia="tr-TR"/>
        </w:rPr>
        <w:t xml:space="preserve"> A, Çelebio</w:t>
      </w:r>
      <w:r w:rsidRPr="00C7023C">
        <w:rPr>
          <w:rFonts w:eastAsia="TimesNewRomanPSMT"/>
          <w:lang w:eastAsia="tr-TR"/>
        </w:rPr>
        <w:t>ğ</w:t>
      </w:r>
      <w:r w:rsidRPr="00C7023C">
        <w:rPr>
          <w:lang w:eastAsia="tr-TR"/>
        </w:rPr>
        <w:t>lu, A. Hastalar erkek hem</w:t>
      </w:r>
      <w:r w:rsidRPr="00C7023C">
        <w:rPr>
          <w:rFonts w:eastAsia="TimesNewRomanPSMT"/>
          <w:lang w:eastAsia="tr-TR"/>
        </w:rPr>
        <w:t>ş</w:t>
      </w:r>
      <w:r w:rsidRPr="00C7023C">
        <w:rPr>
          <w:lang w:eastAsia="tr-TR"/>
        </w:rPr>
        <w:t xml:space="preserve">ireleri kabul edecekler mi? </w:t>
      </w:r>
      <w:r w:rsidRPr="00C7023C">
        <w:rPr>
          <w:iCs/>
          <w:lang w:eastAsia="tr-TR"/>
        </w:rPr>
        <w:t>Türkiye Klinikleri J Med Ethics</w:t>
      </w:r>
      <w:r w:rsidRPr="00C7023C">
        <w:rPr>
          <w:lang w:eastAsia="tr-TR"/>
        </w:rPr>
        <w:t>. 2008; 16: 13-18.</w:t>
      </w:r>
    </w:p>
    <w:p w:rsidR="00622F23" w:rsidRPr="00C7023C" w:rsidRDefault="00622F23" w:rsidP="00622F23">
      <w:pPr>
        <w:tabs>
          <w:tab w:val="left" w:pos="142"/>
        </w:tabs>
        <w:ind w:left="-142"/>
        <w:jc w:val="both"/>
        <w:rPr>
          <w:rFonts w:eastAsia="Calibri"/>
          <w:bCs/>
        </w:rPr>
      </w:pPr>
      <w:r w:rsidRPr="00C7023C">
        <w:rPr>
          <w:rFonts w:eastAsia="TimesNewRomanPSMT"/>
        </w:rPr>
        <w:t>17</w:t>
      </w:r>
      <w:r w:rsidRPr="00C7023C">
        <w:rPr>
          <w:lang w:eastAsia="tr-TR"/>
        </w:rPr>
        <w:t xml:space="preserve">. </w:t>
      </w:r>
      <w:r w:rsidRPr="00C7023C">
        <w:rPr>
          <w:rFonts w:eastAsia="Calibri"/>
          <w:bCs/>
        </w:rPr>
        <w:t>Koç Z, Bal C, Sağlam Z. Erkek öğrenci hemşirelerinin hemşirelik mesleğini algılama durumlarının belirlenmesi. Maltepe Üniversitesi Hemşirelik Bilim ve Sanatı Dergisi Sempozyum Özel Sayısı. 2010a;  318-323.</w:t>
      </w:r>
    </w:p>
    <w:p w:rsidR="00622F23" w:rsidRPr="00C7023C" w:rsidRDefault="00622F23" w:rsidP="00622F23">
      <w:pPr>
        <w:tabs>
          <w:tab w:val="left" w:pos="142"/>
        </w:tabs>
        <w:ind w:left="-142"/>
        <w:jc w:val="both"/>
        <w:rPr>
          <w:rFonts w:eastAsia="TimesNewRomanPSMT"/>
        </w:rPr>
      </w:pPr>
      <w:r w:rsidRPr="00C7023C">
        <w:rPr>
          <w:rFonts w:eastAsia="TimesNewRomanPSMT"/>
        </w:rPr>
        <w:lastRenderedPageBreak/>
        <w:t>18</w:t>
      </w:r>
      <w:r w:rsidRPr="00C7023C">
        <w:rPr>
          <w:lang w:eastAsia="tr-TR"/>
        </w:rPr>
        <w:t>.</w:t>
      </w:r>
      <w:r w:rsidRPr="00C7023C">
        <w:rPr>
          <w:iCs/>
        </w:rPr>
        <w:t>İnce S, Khorshid L. Hemşirelik öğrencilerinin meslek seçimini etkileyen faktörlerin belirlenmesi. Anadolu Hemşirelik ve Sağlık Bilimleri Dergisi. 2015; 18(3): 163-171.</w:t>
      </w:r>
    </w:p>
    <w:p w:rsidR="00622F23" w:rsidRPr="00C7023C" w:rsidRDefault="00622F23" w:rsidP="00622F23">
      <w:pPr>
        <w:tabs>
          <w:tab w:val="left" w:pos="142"/>
        </w:tabs>
        <w:ind w:left="-142"/>
        <w:jc w:val="both"/>
        <w:rPr>
          <w:rFonts w:eastAsia="TimesNewRomanPSMT"/>
        </w:rPr>
      </w:pPr>
      <w:r w:rsidRPr="00C7023C">
        <w:rPr>
          <w:rFonts w:eastAsia="TimesNewRomanPSMT"/>
        </w:rPr>
        <w:t>19</w:t>
      </w:r>
      <w:r w:rsidRPr="00C7023C">
        <w:rPr>
          <w:lang w:eastAsia="tr-TR"/>
        </w:rPr>
        <w:t xml:space="preserve">. </w:t>
      </w:r>
      <w:r w:rsidRPr="00C7023C">
        <w:rPr>
          <w:iCs/>
        </w:rPr>
        <w:t xml:space="preserve">Yi M, Keogh B. What motivates men to choose nursing as a profession? A systematic review of qualitative studies. </w:t>
      </w:r>
      <w:hyperlink r:id="rId42" w:tooltip="Contemporary nurse." w:history="1">
        <w:r w:rsidRPr="00C7023C">
          <w:rPr>
            <w:rStyle w:val="Kpr"/>
            <w:shd w:val="clear" w:color="auto" w:fill="FFFFFF"/>
          </w:rPr>
          <w:t>Contemp Nurse.</w:t>
        </w:r>
      </w:hyperlink>
      <w:r w:rsidRPr="00C7023C">
        <w:rPr>
          <w:rStyle w:val="apple-converted-space"/>
          <w:shd w:val="clear" w:color="auto" w:fill="FFFFFF"/>
        </w:rPr>
        <w:t> </w:t>
      </w:r>
      <w:r w:rsidRPr="00C7023C">
        <w:rPr>
          <w:iCs/>
        </w:rPr>
        <w:t xml:space="preserve"> 2016; 52(1): 95-105.</w:t>
      </w:r>
    </w:p>
    <w:p w:rsidR="00622F23" w:rsidRPr="00C7023C" w:rsidRDefault="00622F23" w:rsidP="00622F23">
      <w:pPr>
        <w:tabs>
          <w:tab w:val="left" w:pos="142"/>
        </w:tabs>
        <w:ind w:left="-142"/>
        <w:jc w:val="both"/>
        <w:rPr>
          <w:rFonts w:eastAsia="TimesNewRomanPSMT"/>
        </w:rPr>
      </w:pPr>
      <w:r w:rsidRPr="00C7023C">
        <w:rPr>
          <w:rFonts w:eastAsia="TimesNewRomanPSMT"/>
        </w:rPr>
        <w:t>20</w:t>
      </w:r>
      <w:r w:rsidRPr="00C7023C">
        <w:rPr>
          <w:lang w:eastAsia="tr-TR"/>
        </w:rPr>
        <w:t xml:space="preserve">. </w:t>
      </w:r>
      <w:r w:rsidRPr="00C7023C">
        <w:rPr>
          <w:iCs/>
        </w:rPr>
        <w:t xml:space="preserve">Zamanzadeh V, Arman A, Valizadeh L, Keogh B, Monadi M, Negarandeh R. Choosing and remaining in nursing: Iranian male nurses perspectives. </w:t>
      </w:r>
      <w:hyperlink r:id="rId43" w:tooltip="Contemporary nurse." w:history="1">
        <w:r w:rsidRPr="00C7023C">
          <w:rPr>
            <w:rStyle w:val="Kpr"/>
            <w:shd w:val="clear" w:color="auto" w:fill="FFFFFF"/>
          </w:rPr>
          <w:t>Contemp Nurse.</w:t>
        </w:r>
      </w:hyperlink>
      <w:r w:rsidRPr="00C7023C">
        <w:rPr>
          <w:iCs/>
        </w:rPr>
        <w:t xml:space="preserve"> 2013; 45(2): 220-227.</w:t>
      </w:r>
    </w:p>
    <w:p w:rsidR="00622F23" w:rsidRPr="00C7023C" w:rsidRDefault="00622F23" w:rsidP="00622F23">
      <w:pPr>
        <w:tabs>
          <w:tab w:val="left" w:pos="142"/>
        </w:tabs>
        <w:ind w:left="-142"/>
        <w:jc w:val="both"/>
        <w:rPr>
          <w:rFonts w:eastAsia="TimesNewRomanPSMT"/>
        </w:rPr>
      </w:pPr>
      <w:r w:rsidRPr="00C7023C">
        <w:rPr>
          <w:rFonts w:eastAsia="TimesNewRomanPSMT"/>
        </w:rPr>
        <w:t>21</w:t>
      </w:r>
      <w:r w:rsidRPr="00C7023C">
        <w:rPr>
          <w:lang w:eastAsia="tr-TR"/>
        </w:rPr>
        <w:t xml:space="preserve">. </w:t>
      </w:r>
      <w:r w:rsidRPr="00C7023C">
        <w:rPr>
          <w:iCs/>
        </w:rPr>
        <w:t>Kavurmacı M, Küçükoğlu S. Erkekler neden hemşire olmak istiyor? Anadolu Hemşirelik ve Sağlık Bilimleri Dergisi.  2014; 17 (1): 1-5.</w:t>
      </w:r>
    </w:p>
    <w:p w:rsidR="00622F23" w:rsidRPr="00C7023C" w:rsidRDefault="00622F23" w:rsidP="00622F23">
      <w:pPr>
        <w:tabs>
          <w:tab w:val="left" w:pos="142"/>
        </w:tabs>
        <w:ind w:left="-142"/>
        <w:jc w:val="both"/>
        <w:rPr>
          <w:rFonts w:eastAsia="TimesNewRomanPSMT"/>
        </w:rPr>
      </w:pPr>
      <w:r w:rsidRPr="00C7023C">
        <w:rPr>
          <w:rFonts w:eastAsia="TimesNewRomanPSMT"/>
        </w:rPr>
        <w:t>22</w:t>
      </w:r>
      <w:r w:rsidRPr="00C7023C">
        <w:rPr>
          <w:lang w:eastAsia="tr-TR"/>
        </w:rPr>
        <w:t xml:space="preserve">. </w:t>
      </w:r>
      <w:r w:rsidRPr="00C7023C">
        <w:rPr>
          <w:iCs/>
        </w:rPr>
        <w:t>Zencir G, Eşer İ. Hemşirelik öğrencilerinin hemşirelik mesleğine yönelik tutumları ile hemşirelik tercihi arasındaki ilişki: Türkiye örneği. Dokuz Eylül Üniversitesi Hemşirelik Fakültesi Elektronik Dergisi. 2016; 9(2): 30-37.</w:t>
      </w:r>
    </w:p>
    <w:p w:rsidR="00622F23" w:rsidRPr="00C7023C" w:rsidRDefault="00622F23" w:rsidP="00622F23">
      <w:pPr>
        <w:tabs>
          <w:tab w:val="left" w:pos="142"/>
        </w:tabs>
        <w:ind w:left="-142"/>
        <w:jc w:val="both"/>
        <w:rPr>
          <w:rFonts w:eastAsia="TimesNewRomanPSMT"/>
        </w:rPr>
      </w:pPr>
      <w:r w:rsidRPr="00C7023C">
        <w:rPr>
          <w:rFonts w:eastAsia="TimesNewRomanPSMT"/>
        </w:rPr>
        <w:t>23</w:t>
      </w:r>
      <w:r w:rsidRPr="00C7023C">
        <w:rPr>
          <w:lang w:eastAsia="tr-TR"/>
        </w:rPr>
        <w:t xml:space="preserve">. </w:t>
      </w:r>
      <w:r w:rsidRPr="00C7023C">
        <w:rPr>
          <w:iCs/>
        </w:rPr>
        <w:t xml:space="preserve">Kahraman AB, Tunçdemir N,Özcan A. Toplumsal cinsiyet bağlamında hemşirelik bölümünde öğrenim gören erkek öğrencilerin </w:t>
      </w:r>
      <w:r w:rsidRPr="00C7023C">
        <w:rPr>
          <w:iCs/>
        </w:rPr>
        <w:lastRenderedPageBreak/>
        <w:t>mesleğe yönelik algıları.</w:t>
      </w:r>
      <w:r w:rsidRPr="00C7023C">
        <w:t xml:space="preserve"> </w:t>
      </w:r>
      <w:r w:rsidRPr="00C7023C">
        <w:rPr>
          <w:iCs/>
        </w:rPr>
        <w:t>Sosyoloji Araştırmaları Dergisi. 2015; 18 (2): 108-144.</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24. </w:t>
      </w:r>
      <w:r w:rsidRPr="00C7023C">
        <w:rPr>
          <w:iCs/>
        </w:rPr>
        <w:t xml:space="preserve">Rajacich D, Kane D, Williston C, Cameron S. If they do call you a nurse, it is always a “male nurse”: Experiences of men in the nursing profession. </w:t>
      </w:r>
      <w:hyperlink r:id="rId44" w:tooltip="Nursing forum." w:history="1">
        <w:r w:rsidRPr="00C7023C">
          <w:rPr>
            <w:rStyle w:val="Kpr"/>
            <w:shd w:val="clear" w:color="auto" w:fill="FFFFFF"/>
          </w:rPr>
          <w:t>Nurs Forum.</w:t>
        </w:r>
      </w:hyperlink>
      <w:r w:rsidRPr="00C7023C">
        <w:rPr>
          <w:iCs/>
        </w:rPr>
        <w:t xml:space="preserve"> 2013; 48(1):71-80.</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25. </w:t>
      </w:r>
      <w:r w:rsidRPr="00C7023C">
        <w:rPr>
          <w:iCs/>
        </w:rPr>
        <w:t xml:space="preserve">Abushaikha L, Mahadeen A, Abdelkader R, Nabolsi M. Academic challenges and positive aspects: Perceptions of male nursing students. </w:t>
      </w:r>
      <w:hyperlink r:id="rId45" w:tooltip="International nursing review." w:history="1">
        <w:r w:rsidRPr="00C7023C">
          <w:rPr>
            <w:shd w:val="clear" w:color="auto" w:fill="FFFFFF"/>
          </w:rPr>
          <w:t>Int Nurs Rev.</w:t>
        </w:r>
      </w:hyperlink>
      <w:r w:rsidRPr="00C7023C">
        <w:rPr>
          <w:iCs/>
        </w:rPr>
        <w:t xml:space="preserve"> 2014; 61(2): 263–269.</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26. </w:t>
      </w:r>
      <w:r w:rsidRPr="00C7023C">
        <w:rPr>
          <w:iCs/>
        </w:rPr>
        <w:t>Meadus RJ Twomey JC. Men student nurses: The nursing education experience. In Nursing Forum. 2011; 46 (4): 269-279.</w:t>
      </w:r>
    </w:p>
    <w:p w:rsidR="00622F23" w:rsidRPr="00C7023C" w:rsidRDefault="00622F23" w:rsidP="00622F23">
      <w:pPr>
        <w:tabs>
          <w:tab w:val="left" w:pos="142"/>
        </w:tabs>
        <w:ind w:left="-142"/>
        <w:jc w:val="both"/>
        <w:rPr>
          <w:rFonts w:eastAsia="TimesNewRomanPSMT"/>
        </w:rPr>
      </w:pPr>
      <w:r w:rsidRPr="00C7023C">
        <w:rPr>
          <w:rFonts w:eastAsia="TimesNewRomanPSMT"/>
        </w:rPr>
        <w:t xml:space="preserve">27. </w:t>
      </w:r>
      <w:r w:rsidRPr="00C7023C">
        <w:t xml:space="preserve">Ergöl Ş, Kütüncü M. </w:t>
      </w:r>
      <w:r w:rsidRPr="00C7023C">
        <w:rPr>
          <w:rFonts w:eastAsia="Calibri"/>
          <w:bCs/>
        </w:rPr>
        <w:t>Hemşirelik öğrencilerinin uygulama alanlarında karşılaştıkları şiddet. Yükseköğretim Bilim Dergisi.</w:t>
      </w:r>
      <w:r w:rsidRPr="00C7023C">
        <w:t xml:space="preserve"> 2013;</w:t>
      </w:r>
      <w:r w:rsidRPr="00C7023C">
        <w:rPr>
          <w:rFonts w:eastAsia="Calibri"/>
          <w:bCs/>
        </w:rPr>
        <w:t xml:space="preserve"> 3(1): 65-69.</w:t>
      </w:r>
    </w:p>
    <w:p w:rsidR="00622F23" w:rsidRPr="00C7023C" w:rsidRDefault="00622F23" w:rsidP="00622F23">
      <w:pPr>
        <w:tabs>
          <w:tab w:val="left" w:pos="142"/>
        </w:tabs>
        <w:ind w:left="-142"/>
        <w:jc w:val="both"/>
        <w:rPr>
          <w:rFonts w:eastAsia="TimesNewRomanPSMT"/>
        </w:rPr>
      </w:pPr>
      <w:r w:rsidRPr="00C7023C">
        <w:rPr>
          <w:rFonts w:eastAsia="TimesNewRomanPSMT"/>
        </w:rPr>
        <w:t>28</w:t>
      </w:r>
      <w:r w:rsidRPr="00C7023C">
        <w:rPr>
          <w:lang w:eastAsia="tr-TR"/>
        </w:rPr>
        <w:t xml:space="preserve">. </w:t>
      </w:r>
      <w:r w:rsidRPr="00C7023C">
        <w:rPr>
          <w:iCs/>
        </w:rPr>
        <w:t xml:space="preserve">MacWilliams BR, Schmidt B, Bleich M. Men in nursing. </w:t>
      </w:r>
      <w:hyperlink r:id="rId46" w:tooltip="The American journal of nursing." w:history="1">
        <w:r w:rsidRPr="00C7023C">
          <w:rPr>
            <w:rStyle w:val="Kpr"/>
            <w:shd w:val="clear" w:color="auto" w:fill="FFFFFF"/>
          </w:rPr>
          <w:t>Am J Nurs.</w:t>
        </w:r>
      </w:hyperlink>
      <w:r w:rsidRPr="00C7023C">
        <w:rPr>
          <w:rStyle w:val="apple-converted-space"/>
          <w:shd w:val="clear" w:color="auto" w:fill="FFFFFF"/>
        </w:rPr>
        <w:t> </w:t>
      </w:r>
      <w:r w:rsidRPr="00C7023C">
        <w:rPr>
          <w:iCs/>
        </w:rPr>
        <w:t xml:space="preserve"> 2013; 113(1):38–44.</w:t>
      </w:r>
    </w:p>
    <w:p w:rsidR="00622F23" w:rsidRPr="00C7023C" w:rsidRDefault="00622F23" w:rsidP="00622F23">
      <w:pPr>
        <w:tabs>
          <w:tab w:val="left" w:pos="142"/>
        </w:tabs>
        <w:ind w:left="-142"/>
        <w:jc w:val="both"/>
        <w:rPr>
          <w:rFonts w:eastAsia="TimesNewRomanPSMT"/>
        </w:rPr>
      </w:pPr>
      <w:r w:rsidRPr="00C7023C">
        <w:rPr>
          <w:rFonts w:eastAsia="TimesNewRomanPSMT"/>
        </w:rPr>
        <w:t>29</w:t>
      </w:r>
      <w:r w:rsidRPr="00C7023C">
        <w:rPr>
          <w:lang w:eastAsia="tr-TR"/>
        </w:rPr>
        <w:t xml:space="preserve">. </w:t>
      </w:r>
      <w:r w:rsidRPr="00C7023C">
        <w:rPr>
          <w:rFonts w:eastAsia="Calibri"/>
          <w:bCs/>
        </w:rPr>
        <w:t xml:space="preserve">Stott A. Exploring factors affecting attrition of male students from an undergraduate nursing course: A Qualitative Study. </w:t>
      </w:r>
      <w:hyperlink r:id="rId47" w:tooltip="Nurse education today." w:history="1">
        <w:r w:rsidRPr="00C7023C">
          <w:rPr>
            <w:shd w:val="clear" w:color="auto" w:fill="FFFFFF"/>
          </w:rPr>
          <w:t>Nurse Educ Today.</w:t>
        </w:r>
      </w:hyperlink>
      <w:r w:rsidRPr="00C7023C">
        <w:rPr>
          <w:rFonts w:eastAsia="Calibri"/>
          <w:bCs/>
        </w:rPr>
        <w:t xml:space="preserve"> 2007; 27: 325-332. </w:t>
      </w:r>
    </w:p>
    <w:p w:rsidR="00622F23" w:rsidRPr="00C7023C" w:rsidRDefault="00622F23" w:rsidP="00622F23">
      <w:pPr>
        <w:autoSpaceDE w:val="0"/>
        <w:autoSpaceDN w:val="0"/>
        <w:adjustRightInd w:val="0"/>
        <w:jc w:val="both"/>
        <w:rPr>
          <w:lang w:eastAsia="tr-TR"/>
        </w:rPr>
        <w:sectPr w:rsidR="00622F23" w:rsidRPr="00C7023C" w:rsidSect="00CA471B">
          <w:type w:val="continuous"/>
          <w:pgSz w:w="11906" w:h="16838"/>
          <w:pgMar w:top="1418" w:right="1418" w:bottom="1418" w:left="1418" w:header="709" w:footer="709" w:gutter="0"/>
          <w:cols w:num="2" w:space="708"/>
          <w:titlePg/>
          <w:docGrid w:linePitch="360"/>
        </w:sectPr>
      </w:pPr>
    </w:p>
    <w:p w:rsidR="00622F23" w:rsidRPr="00C7023C" w:rsidRDefault="00622F23" w:rsidP="00622F23">
      <w:pPr>
        <w:autoSpaceDE w:val="0"/>
        <w:autoSpaceDN w:val="0"/>
        <w:adjustRightInd w:val="0"/>
        <w:spacing w:line="480" w:lineRule="auto"/>
        <w:contextualSpacing/>
        <w:jc w:val="both"/>
      </w:pPr>
    </w:p>
    <w:p w:rsidR="00622F23" w:rsidRPr="00590C09" w:rsidRDefault="00622F23" w:rsidP="00622F23">
      <w:pPr>
        <w:shd w:val="clear" w:color="auto" w:fill="FFFFFF"/>
        <w:spacing w:after="150" w:line="240" w:lineRule="auto"/>
        <w:rPr>
          <w:rFonts w:ascii="Helvetica" w:eastAsia="Times New Roman" w:hAnsi="Helvetica" w:cs="Helvetica"/>
          <w:color w:val="333333"/>
          <w:sz w:val="19"/>
          <w:szCs w:val="19"/>
          <w:lang w:eastAsia="tr-TR"/>
        </w:rPr>
      </w:pPr>
    </w:p>
    <w:sectPr w:rsidR="00622F23" w:rsidRPr="00590C09" w:rsidSect="007142E6">
      <w:type w:val="continuous"/>
      <w:pgSz w:w="11906" w:h="16838"/>
      <w:pgMar w:top="1418" w:right="1418" w:bottom="1418"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90" w:rsidRDefault="001F5B90" w:rsidP="00622F23">
      <w:pPr>
        <w:spacing w:after="0" w:line="240" w:lineRule="auto"/>
      </w:pPr>
      <w:r>
        <w:separator/>
      </w:r>
    </w:p>
  </w:endnote>
  <w:endnote w:type="continuationSeparator" w:id="0">
    <w:p w:rsidR="001F5B90" w:rsidRDefault="001F5B90" w:rsidP="0062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T1D2o00">
    <w:altName w:val="MS Mincho"/>
    <w:panose1 w:val="00000000000000000000"/>
    <w:charset w:val="80"/>
    <w:family w:val="auto"/>
    <w:notTrueType/>
    <w:pitch w:val="default"/>
    <w:sig w:usb0="00000001" w:usb1="08070000" w:usb2="00000010" w:usb3="00000000" w:csb0="00020000" w:csb1="00000000"/>
  </w:font>
  <w:font w:name="TT1D3o00">
    <w:altName w:val="Times New Roman"/>
    <w:panose1 w:val="00000000000000000000"/>
    <w:charset w:val="00"/>
    <w:family w:val="roman"/>
    <w:notTrueType/>
    <w:pitch w:val="default"/>
  </w:font>
  <w:font w:name="Helvetica">
    <w:panose1 w:val="020B0604020202020204"/>
    <w:charset w:val="A2"/>
    <w:family w:val="swiss"/>
    <w:pitch w:val="variable"/>
    <w:sig w:usb0="E0002E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MyriadPro-Regular">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T1CEo00">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2FF" w:usb1="420024FF" w:usb2="00000000" w:usb3="00000000" w:csb0="0000019F" w:csb1="00000000"/>
  </w:font>
  <w:font w:name="WarnockPro-Regular">
    <w:altName w:val="MS Gothic"/>
    <w:panose1 w:val="00000000000000000000"/>
    <w:charset w:val="80"/>
    <w:family w:val="roman"/>
    <w:notTrueType/>
    <w:pitch w:val="default"/>
    <w:sig w:usb0="00000000" w:usb1="08070000" w:usb2="00000010" w:usb3="00000000" w:csb0="00020000" w:csb1="00000000"/>
  </w:font>
  <w:font w:name="MTSY">
    <w:altName w:val="Arial Unicode MS"/>
    <w:panose1 w:val="00000000000000000000"/>
    <w:charset w:val="81"/>
    <w:family w:val="auto"/>
    <w:notTrueType/>
    <w:pitch w:val="default"/>
    <w:sig w:usb0="00000001" w:usb1="09060000" w:usb2="00000010" w:usb3="00000000" w:csb0="00080000" w:csb1="00000000"/>
  </w:font>
  <w:font w:name="ArialMT">
    <w:altName w:val="Arial Unicode MS"/>
    <w:panose1 w:val="00000000000000000000"/>
    <w:charset w:val="80"/>
    <w:family w:val="auto"/>
    <w:notTrueType/>
    <w:pitch w:val="default"/>
    <w:sig w:usb0="00000083" w:usb1="08070000" w:usb2="00000010" w:usb3="00000000" w:csb0="00020009" w:csb1="00000000"/>
  </w:font>
  <w:font w:name="Arial,Bold">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424" w:type="dxa"/>
      <w:tblLook w:val="04A0" w:firstRow="1" w:lastRow="0" w:firstColumn="1" w:lastColumn="0" w:noHBand="0" w:noVBand="1"/>
    </w:tblPr>
    <w:tblGrid>
      <w:gridCol w:w="4606"/>
      <w:gridCol w:w="4606"/>
      <w:gridCol w:w="4606"/>
      <w:gridCol w:w="4606"/>
    </w:tblGrid>
    <w:tr w:rsidR="00622F23" w:rsidRPr="00942518" w:rsidTr="008A75AD">
      <w:trPr>
        <w:trHeight w:val="1266"/>
      </w:trPr>
      <w:tc>
        <w:tcPr>
          <w:tcW w:w="4606" w:type="dxa"/>
        </w:tcPr>
        <w:p w:rsidR="00622F23" w:rsidRPr="00EE4496" w:rsidRDefault="00622F23" w:rsidP="003D0FDD">
          <w:pPr>
            <w:pStyle w:val="stBilgi"/>
            <w:rPr>
              <w:b/>
              <w:color w:val="2E74B5" w:themeColor="accent1" w:themeShade="BF"/>
              <w:sz w:val="16"/>
              <w:szCs w:val="16"/>
            </w:rPr>
          </w:pPr>
          <w:r w:rsidRPr="00EE4496">
            <w:rPr>
              <w:b/>
              <w:color w:val="2E74B5" w:themeColor="accent1" w:themeShade="BF"/>
              <w:sz w:val="16"/>
              <w:szCs w:val="16"/>
            </w:rPr>
            <w:t>İletişim/Correspondence:</w:t>
          </w:r>
        </w:p>
        <w:p w:rsidR="00622F23" w:rsidRPr="00EE4496" w:rsidRDefault="00622F23" w:rsidP="003D0FDD">
          <w:pPr>
            <w:pStyle w:val="AltBilgi"/>
            <w:rPr>
              <w:rFonts w:cstheme="minorHAnsi"/>
              <w:color w:val="2E74B5" w:themeColor="accent1" w:themeShade="BF"/>
              <w:sz w:val="16"/>
              <w:szCs w:val="16"/>
            </w:rPr>
          </w:pPr>
          <w:r w:rsidRPr="00EE4496">
            <w:rPr>
              <w:rFonts w:cstheme="minorHAnsi"/>
              <w:color w:val="2E74B5" w:themeColor="accent1" w:themeShade="BF"/>
              <w:sz w:val="16"/>
              <w:szCs w:val="16"/>
            </w:rPr>
            <w:t>Buket ER DEMİRHAN</w:t>
          </w:r>
        </w:p>
        <w:p w:rsidR="00622F23" w:rsidRPr="00EE4496" w:rsidRDefault="00622F23" w:rsidP="003D0FDD">
          <w:pPr>
            <w:pStyle w:val="AltBilgi"/>
            <w:rPr>
              <w:rFonts w:cstheme="minorHAnsi"/>
              <w:color w:val="2E74B5" w:themeColor="accent1" w:themeShade="BF"/>
              <w:sz w:val="16"/>
              <w:szCs w:val="16"/>
            </w:rPr>
          </w:pPr>
          <w:r w:rsidRPr="00EE4496">
            <w:rPr>
              <w:rFonts w:cstheme="minorHAnsi"/>
              <w:color w:val="2E74B5" w:themeColor="accent1" w:themeShade="BF"/>
              <w:sz w:val="16"/>
              <w:szCs w:val="16"/>
            </w:rPr>
            <w:t>Gazi Üniversitesi Eczacılık Fakültesi Eczacılık Temel Bilimleri Anabilim Dalı, ANKARA</w:t>
          </w:r>
        </w:p>
        <w:p w:rsidR="00622F23" w:rsidRPr="00EE4496" w:rsidRDefault="00622F23" w:rsidP="003D0FDD">
          <w:pPr>
            <w:pStyle w:val="AltBilgi"/>
            <w:rPr>
              <w:color w:val="2E74B5" w:themeColor="accent1" w:themeShade="BF"/>
              <w:sz w:val="16"/>
              <w:szCs w:val="16"/>
            </w:rPr>
          </w:pPr>
        </w:p>
      </w:tc>
      <w:tc>
        <w:tcPr>
          <w:tcW w:w="4606" w:type="dxa"/>
        </w:tcPr>
        <w:p w:rsidR="00622F23" w:rsidRPr="00EE4496" w:rsidRDefault="00622F23" w:rsidP="003D0FDD">
          <w:pPr>
            <w:pStyle w:val="stBilgi"/>
            <w:rPr>
              <w:color w:val="2E74B5" w:themeColor="accent1" w:themeShade="BF"/>
              <w:sz w:val="16"/>
              <w:szCs w:val="16"/>
            </w:rPr>
          </w:pPr>
          <w:r w:rsidRPr="00EE4496">
            <w:rPr>
              <w:b/>
              <w:color w:val="2E74B5" w:themeColor="accent1" w:themeShade="BF"/>
              <w:sz w:val="16"/>
              <w:szCs w:val="16"/>
            </w:rPr>
            <w:t>E-posta</w:t>
          </w:r>
          <w:r w:rsidRPr="00EE4496">
            <w:rPr>
              <w:color w:val="2E74B5" w:themeColor="accent1" w:themeShade="BF"/>
              <w:sz w:val="16"/>
              <w:szCs w:val="16"/>
            </w:rPr>
            <w:t>: erbuket@gmail.com</w:t>
          </w:r>
        </w:p>
        <w:p w:rsidR="00622F23" w:rsidRPr="00EE4496" w:rsidRDefault="00622F23" w:rsidP="003D0FDD">
          <w:pPr>
            <w:pStyle w:val="stBilgi"/>
            <w:rPr>
              <w:color w:val="2E74B5" w:themeColor="accent1" w:themeShade="BF"/>
              <w:sz w:val="16"/>
              <w:szCs w:val="16"/>
            </w:rPr>
          </w:pPr>
          <w:r w:rsidRPr="00EE4496">
            <w:rPr>
              <w:b/>
              <w:color w:val="2E74B5" w:themeColor="accent1" w:themeShade="BF"/>
              <w:sz w:val="16"/>
              <w:szCs w:val="16"/>
            </w:rPr>
            <w:t>Geliş tarihi/Received</w:t>
          </w:r>
          <w:r w:rsidRPr="00EE4496">
            <w:rPr>
              <w:color w:val="2E74B5" w:themeColor="accent1" w:themeShade="BF"/>
              <w:sz w:val="16"/>
              <w:szCs w:val="16"/>
            </w:rPr>
            <w:t>: 12.06.2017</w:t>
          </w:r>
        </w:p>
        <w:p w:rsidR="00622F23" w:rsidRPr="00EE4496" w:rsidRDefault="00622F23" w:rsidP="003133B4">
          <w:pPr>
            <w:pStyle w:val="stBilgi"/>
            <w:rPr>
              <w:color w:val="2E74B5" w:themeColor="accent1" w:themeShade="BF"/>
              <w:sz w:val="16"/>
              <w:szCs w:val="16"/>
            </w:rPr>
          </w:pPr>
          <w:r w:rsidRPr="00EE4496">
            <w:rPr>
              <w:b/>
              <w:color w:val="2E74B5" w:themeColor="accent1" w:themeShade="BF"/>
              <w:sz w:val="16"/>
              <w:szCs w:val="16"/>
            </w:rPr>
            <w:t>Kabul Tarihi/Accepted</w:t>
          </w:r>
          <w:r w:rsidRPr="00EE4496">
            <w:rPr>
              <w:color w:val="2E74B5" w:themeColor="accent1" w:themeShade="BF"/>
              <w:sz w:val="16"/>
              <w:szCs w:val="16"/>
            </w:rPr>
            <w:t>: 01.08.2017</w:t>
          </w:r>
        </w:p>
      </w:tc>
      <w:tc>
        <w:tcPr>
          <w:tcW w:w="4606" w:type="dxa"/>
          <w:shd w:val="clear" w:color="auto" w:fill="auto"/>
        </w:tcPr>
        <w:p w:rsidR="00622F23" w:rsidRPr="00942518" w:rsidRDefault="00622F23" w:rsidP="00BD23B2">
          <w:pPr>
            <w:pStyle w:val="AltBilgi"/>
            <w:rPr>
              <w:sz w:val="16"/>
              <w:szCs w:val="16"/>
            </w:rPr>
          </w:pPr>
        </w:p>
      </w:tc>
      <w:tc>
        <w:tcPr>
          <w:tcW w:w="4606" w:type="dxa"/>
          <w:shd w:val="clear" w:color="auto" w:fill="auto"/>
        </w:tcPr>
        <w:p w:rsidR="00622F23" w:rsidRPr="00942518" w:rsidRDefault="00622F23" w:rsidP="00BD23B2">
          <w:pPr>
            <w:pStyle w:val="stBilgi"/>
            <w:rPr>
              <w:sz w:val="16"/>
              <w:szCs w:val="16"/>
            </w:rPr>
          </w:pPr>
        </w:p>
      </w:tc>
    </w:tr>
  </w:tbl>
  <w:p w:rsidR="00622F23" w:rsidRDefault="00622F23">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a"/>
    </w:pPr>
  </w:p>
  <w:tbl>
    <w:tblPr>
      <w:tblW w:w="0" w:type="auto"/>
      <w:tblLook w:val="04A0" w:firstRow="1" w:lastRow="0" w:firstColumn="1" w:lastColumn="0" w:noHBand="0" w:noVBand="1"/>
    </w:tblPr>
    <w:tblGrid>
      <w:gridCol w:w="4535"/>
      <w:gridCol w:w="4535"/>
    </w:tblGrid>
    <w:tr w:rsidR="00622F23" w:rsidRPr="00331D7B" w:rsidTr="00406BA3">
      <w:trPr>
        <w:trHeight w:val="1266"/>
      </w:trPr>
      <w:tc>
        <w:tcPr>
          <w:tcW w:w="4606" w:type="dxa"/>
          <w:shd w:val="clear" w:color="auto" w:fill="auto"/>
        </w:tcPr>
        <w:p w:rsidR="00622F23" w:rsidRPr="00656E55" w:rsidRDefault="00622F23" w:rsidP="00656E55">
          <w:pPr>
            <w:pStyle w:val="a"/>
            <w:rPr>
              <w:rFonts w:cs="Calibri"/>
              <w:sz w:val="16"/>
              <w:szCs w:val="16"/>
            </w:rPr>
          </w:pPr>
        </w:p>
      </w:tc>
      <w:tc>
        <w:tcPr>
          <w:tcW w:w="4606" w:type="dxa"/>
          <w:shd w:val="clear" w:color="auto" w:fill="auto"/>
        </w:tcPr>
        <w:p w:rsidR="00622F23" w:rsidRPr="00331D7B" w:rsidRDefault="00622F23" w:rsidP="00656E55">
          <w:pPr>
            <w:pStyle w:val="a"/>
            <w:rPr>
              <w:sz w:val="16"/>
              <w:szCs w:val="16"/>
            </w:rPr>
          </w:pPr>
        </w:p>
      </w:tc>
    </w:tr>
    <w:tr w:rsidR="00622F23" w:rsidRPr="00331D7B" w:rsidTr="00406BA3">
      <w:trPr>
        <w:trHeight w:val="1266"/>
      </w:trPr>
      <w:tc>
        <w:tcPr>
          <w:tcW w:w="9212" w:type="dxa"/>
          <w:gridSpan w:val="2"/>
          <w:shd w:val="clear" w:color="auto" w:fill="auto"/>
        </w:tcPr>
        <w:p w:rsidR="00622F23" w:rsidRPr="00331D7B" w:rsidRDefault="00622F23" w:rsidP="00656E55">
          <w:pPr>
            <w:rPr>
              <w:b/>
              <w:sz w:val="16"/>
              <w:szCs w:val="16"/>
            </w:rPr>
          </w:pPr>
        </w:p>
      </w:tc>
    </w:tr>
  </w:tbl>
  <w:p w:rsidR="00622F23" w:rsidRDefault="00622F23">
    <w:pPr>
      <w:pStyle w:val="a"/>
    </w:pPr>
  </w:p>
  <w:p w:rsidR="00622F23" w:rsidRDefault="00622F23">
    <w:pPr>
      <w:pStyle w:val="a"/>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8"/>
      <w:gridCol w:w="4532"/>
    </w:tblGrid>
    <w:tr w:rsidR="00622F23" w:rsidRPr="00331D7B" w:rsidTr="00003A67">
      <w:trPr>
        <w:trHeight w:val="993"/>
      </w:trPr>
      <w:tc>
        <w:tcPr>
          <w:tcW w:w="4606" w:type="dxa"/>
          <w:shd w:val="clear" w:color="auto" w:fill="auto"/>
        </w:tcPr>
        <w:p w:rsidR="00622F23" w:rsidRPr="00C7023C" w:rsidRDefault="00622F23" w:rsidP="007606CE">
          <w:pPr>
            <w:pStyle w:val="a"/>
            <w:rPr>
              <w:b/>
              <w:color w:val="0070C0"/>
              <w:sz w:val="16"/>
              <w:szCs w:val="16"/>
            </w:rPr>
          </w:pPr>
          <w:r w:rsidRPr="00C7023C">
            <w:rPr>
              <w:b/>
              <w:color w:val="0070C0"/>
              <w:sz w:val="16"/>
              <w:szCs w:val="16"/>
            </w:rPr>
            <w:t>İletişim/Correspondence:</w:t>
          </w:r>
        </w:p>
        <w:p w:rsidR="00622F23" w:rsidRPr="00003A67" w:rsidRDefault="00622F23" w:rsidP="00003A67">
          <w:pPr>
            <w:pStyle w:val="a"/>
            <w:rPr>
              <w:rFonts w:cs="Calibri"/>
              <w:color w:val="0070C0"/>
              <w:sz w:val="16"/>
              <w:szCs w:val="16"/>
            </w:rPr>
          </w:pPr>
          <w:r w:rsidRPr="00C7023C">
            <w:rPr>
              <w:rFonts w:cs="Calibri"/>
              <w:color w:val="0070C0"/>
              <w:sz w:val="16"/>
              <w:szCs w:val="16"/>
            </w:rPr>
            <w:t xml:space="preserve">Dr. Adeviye Aydın Hacettepe Üniversitesi  Hemşirelik </w:t>
          </w:r>
          <w:proofErr w:type="gramStart"/>
          <w:r w:rsidRPr="00C7023C">
            <w:rPr>
              <w:rFonts w:cs="Calibri"/>
              <w:color w:val="0070C0"/>
              <w:sz w:val="16"/>
              <w:szCs w:val="16"/>
            </w:rPr>
            <w:t>Fakültesi,ANKARA</w:t>
          </w:r>
          <w:proofErr w:type="gramEnd"/>
        </w:p>
      </w:tc>
      <w:tc>
        <w:tcPr>
          <w:tcW w:w="4606" w:type="dxa"/>
          <w:shd w:val="clear" w:color="auto" w:fill="auto"/>
        </w:tcPr>
        <w:p w:rsidR="00622F23" w:rsidRPr="00C7023C" w:rsidRDefault="00622F23" w:rsidP="007606CE">
          <w:pPr>
            <w:pStyle w:val="a"/>
            <w:rPr>
              <w:color w:val="0070C0"/>
              <w:sz w:val="16"/>
              <w:szCs w:val="16"/>
            </w:rPr>
          </w:pPr>
          <w:r w:rsidRPr="00C7023C">
            <w:rPr>
              <w:b/>
              <w:color w:val="0070C0"/>
              <w:sz w:val="16"/>
              <w:szCs w:val="16"/>
            </w:rPr>
            <w:t>E-posta</w:t>
          </w:r>
          <w:r w:rsidRPr="00C7023C">
            <w:rPr>
              <w:color w:val="0070C0"/>
              <w:sz w:val="16"/>
              <w:szCs w:val="16"/>
            </w:rPr>
            <w:t>:</w:t>
          </w:r>
          <w:r w:rsidRPr="00C7023C">
            <w:rPr>
              <w:rFonts w:ascii="Arial" w:hAnsi="Arial" w:cs="Arial"/>
              <w:color w:val="0070C0"/>
              <w:sz w:val="19"/>
              <w:szCs w:val="19"/>
              <w:shd w:val="clear" w:color="auto" w:fill="FFFFFF"/>
            </w:rPr>
            <w:t xml:space="preserve"> </w:t>
          </w:r>
          <w:r w:rsidRPr="00C7023C">
            <w:rPr>
              <w:color w:val="0070C0"/>
              <w:sz w:val="16"/>
              <w:szCs w:val="16"/>
              <w:shd w:val="clear" w:color="auto" w:fill="FFFFFF"/>
            </w:rPr>
            <w:t>adeviye86@gmail.com</w:t>
          </w:r>
        </w:p>
        <w:p w:rsidR="00622F23" w:rsidRPr="00C7023C" w:rsidRDefault="00622F23" w:rsidP="007606CE">
          <w:pPr>
            <w:pStyle w:val="a"/>
            <w:rPr>
              <w:color w:val="0070C0"/>
              <w:sz w:val="16"/>
              <w:szCs w:val="16"/>
            </w:rPr>
          </w:pPr>
          <w:r w:rsidRPr="00C7023C">
            <w:rPr>
              <w:b/>
              <w:color w:val="0070C0"/>
              <w:sz w:val="16"/>
              <w:szCs w:val="16"/>
            </w:rPr>
            <w:t>Geliş tarihi/Received</w:t>
          </w:r>
          <w:r w:rsidRPr="00C7023C">
            <w:rPr>
              <w:color w:val="0070C0"/>
              <w:sz w:val="16"/>
              <w:szCs w:val="16"/>
            </w:rPr>
            <w:t>: 24.05.2017</w:t>
          </w:r>
        </w:p>
        <w:p w:rsidR="00622F23" w:rsidRPr="00C7023C" w:rsidRDefault="00622F23" w:rsidP="007606CE">
          <w:pPr>
            <w:pStyle w:val="a"/>
            <w:rPr>
              <w:color w:val="0070C0"/>
              <w:sz w:val="16"/>
              <w:szCs w:val="16"/>
            </w:rPr>
          </w:pPr>
          <w:r w:rsidRPr="00C7023C">
            <w:rPr>
              <w:b/>
              <w:color w:val="0070C0"/>
              <w:sz w:val="16"/>
              <w:szCs w:val="16"/>
            </w:rPr>
            <w:t>Kabul Tarihi/Accepted</w:t>
          </w:r>
          <w:r w:rsidRPr="00C7023C">
            <w:rPr>
              <w:color w:val="0070C0"/>
              <w:sz w:val="16"/>
              <w:szCs w:val="16"/>
            </w:rPr>
            <w:t>: 28.07.2017</w:t>
          </w:r>
        </w:p>
      </w:tc>
    </w:tr>
    <w:tr w:rsidR="00622F23" w:rsidRPr="00331D7B" w:rsidTr="00406BA3">
      <w:trPr>
        <w:trHeight w:val="1266"/>
      </w:trPr>
      <w:tc>
        <w:tcPr>
          <w:tcW w:w="9212" w:type="dxa"/>
          <w:gridSpan w:val="2"/>
          <w:shd w:val="clear" w:color="auto" w:fill="auto"/>
        </w:tcPr>
        <w:p w:rsidR="00622F23" w:rsidRPr="00734AED" w:rsidRDefault="00622F23" w:rsidP="007606CE">
          <w:pPr>
            <w:jc w:val="both"/>
            <w:rPr>
              <w:bCs/>
            </w:rPr>
          </w:pPr>
          <w:r w:rsidRPr="00656E55">
            <w:rPr>
              <w:i/>
              <w:sz w:val="16"/>
              <w:szCs w:val="16"/>
            </w:rPr>
            <w:t>*</w:t>
          </w:r>
          <w:r w:rsidRPr="00656E55">
            <w:rPr>
              <w:sz w:val="16"/>
              <w:szCs w:val="16"/>
            </w:rPr>
            <w:t xml:space="preserve">*Araştırma </w:t>
          </w:r>
          <w:r w:rsidRPr="00656E55">
            <w:rPr>
              <w:bCs/>
              <w:sz w:val="16"/>
              <w:szCs w:val="16"/>
            </w:rPr>
            <w:t>17-19 Ekim 2016 tarihinde Roma’da gerçekleştirilen 15</w:t>
          </w:r>
          <w:r w:rsidRPr="00656E55">
            <w:rPr>
              <w:bCs/>
              <w:sz w:val="16"/>
              <w:szCs w:val="16"/>
              <w:vertAlign w:val="superscript"/>
            </w:rPr>
            <w:t>th</w:t>
          </w:r>
          <w:r w:rsidRPr="00656E55">
            <w:rPr>
              <w:bCs/>
              <w:sz w:val="16"/>
              <w:szCs w:val="16"/>
            </w:rPr>
            <w:t xml:space="preserve"> Euro Nursing &amp; Medicare Summit Kongresinde poster bildirisi olarak sunulmuştur</w:t>
          </w:r>
          <w:r w:rsidRPr="00734AED">
            <w:rPr>
              <w:bCs/>
            </w:rPr>
            <w:t xml:space="preserve">.  </w:t>
          </w:r>
        </w:p>
        <w:p w:rsidR="00622F23" w:rsidRPr="00331D7B" w:rsidRDefault="00622F23" w:rsidP="007606CE">
          <w:pPr>
            <w:rPr>
              <w:b/>
              <w:sz w:val="16"/>
              <w:szCs w:val="16"/>
            </w:rPr>
          </w:pPr>
        </w:p>
      </w:tc>
    </w:tr>
  </w:tbl>
  <w:p w:rsidR="00622F23" w:rsidRDefault="00622F23">
    <w:pPr>
      <w:pStyle w:val="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6"/>
      <w:gridCol w:w="4536"/>
    </w:tblGrid>
    <w:tr w:rsidR="00622F23" w:rsidRPr="00942518" w:rsidTr="0095472D">
      <w:trPr>
        <w:trHeight w:val="1266"/>
      </w:trPr>
      <w:tc>
        <w:tcPr>
          <w:tcW w:w="4606" w:type="dxa"/>
          <w:shd w:val="clear" w:color="auto" w:fill="auto"/>
        </w:tcPr>
        <w:p w:rsidR="00622F23" w:rsidRPr="00942518" w:rsidRDefault="00622F23" w:rsidP="00BD23B2">
          <w:pPr>
            <w:pStyle w:val="AltBilgi"/>
            <w:rPr>
              <w:sz w:val="16"/>
              <w:szCs w:val="16"/>
            </w:rPr>
          </w:pPr>
        </w:p>
      </w:tc>
      <w:tc>
        <w:tcPr>
          <w:tcW w:w="4606" w:type="dxa"/>
          <w:shd w:val="clear" w:color="auto" w:fill="auto"/>
        </w:tcPr>
        <w:p w:rsidR="00622F23" w:rsidRPr="00942518" w:rsidRDefault="00622F23" w:rsidP="00BD23B2">
          <w:pPr>
            <w:pStyle w:val="stBilgi"/>
            <w:rPr>
              <w:sz w:val="16"/>
              <w:szCs w:val="16"/>
            </w:rPr>
          </w:pPr>
        </w:p>
      </w:tc>
    </w:tr>
  </w:tbl>
  <w:p w:rsidR="00622F23" w:rsidRDefault="00622F2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40"/>
      <w:gridCol w:w="4532"/>
    </w:tblGrid>
    <w:tr w:rsidR="00622F23" w:rsidRPr="009811EA" w:rsidTr="006D4700">
      <w:trPr>
        <w:trHeight w:val="1266"/>
      </w:trPr>
      <w:tc>
        <w:tcPr>
          <w:tcW w:w="4606" w:type="dxa"/>
          <w:shd w:val="clear" w:color="auto" w:fill="auto"/>
        </w:tcPr>
        <w:p w:rsidR="00622F23" w:rsidRPr="009811EA" w:rsidRDefault="00622F23" w:rsidP="006D4700">
          <w:pPr>
            <w:pStyle w:val="a"/>
            <w:rPr>
              <w:b/>
              <w:color w:val="2E74B5"/>
              <w:sz w:val="16"/>
              <w:szCs w:val="16"/>
            </w:rPr>
          </w:pPr>
          <w:r w:rsidRPr="009811EA">
            <w:rPr>
              <w:b/>
              <w:color w:val="2E74B5"/>
              <w:sz w:val="16"/>
              <w:szCs w:val="16"/>
            </w:rPr>
            <w:t>İletişim/Correspondence:</w:t>
          </w:r>
        </w:p>
        <w:p w:rsidR="00622F23" w:rsidRPr="009811EA" w:rsidRDefault="00622F23" w:rsidP="006D4700">
          <w:pPr>
            <w:pStyle w:val="a"/>
            <w:rPr>
              <w:rFonts w:cs="Calibri"/>
              <w:color w:val="2E74B5"/>
              <w:sz w:val="16"/>
              <w:szCs w:val="16"/>
            </w:rPr>
          </w:pPr>
          <w:r w:rsidRPr="009811EA">
            <w:rPr>
              <w:rFonts w:cs="Calibri"/>
              <w:color w:val="2E74B5"/>
              <w:sz w:val="16"/>
              <w:szCs w:val="16"/>
            </w:rPr>
            <w:t>Ayten Şentürk Erenel</w:t>
          </w:r>
        </w:p>
        <w:p w:rsidR="00622F23" w:rsidRPr="009811EA" w:rsidRDefault="00622F23" w:rsidP="006D4700">
          <w:pPr>
            <w:pStyle w:val="a"/>
            <w:rPr>
              <w:rFonts w:cs="Calibri"/>
              <w:color w:val="2E74B5"/>
              <w:sz w:val="16"/>
              <w:szCs w:val="16"/>
            </w:rPr>
          </w:pPr>
          <w:r w:rsidRPr="009811EA">
            <w:rPr>
              <w:rFonts w:cs="Calibri"/>
              <w:color w:val="2E74B5"/>
              <w:sz w:val="16"/>
              <w:szCs w:val="16"/>
            </w:rPr>
            <w:t xml:space="preserve">Gazi Üniversitesi Sağlık </w:t>
          </w:r>
          <w:proofErr w:type="gramStart"/>
          <w:r w:rsidRPr="009811EA">
            <w:rPr>
              <w:rFonts w:cs="Calibri"/>
              <w:color w:val="2E74B5"/>
              <w:sz w:val="16"/>
              <w:szCs w:val="16"/>
            </w:rPr>
            <w:t>Bilimleri  Fakültesi</w:t>
          </w:r>
          <w:proofErr w:type="gramEnd"/>
          <w:r w:rsidRPr="009811EA">
            <w:rPr>
              <w:rFonts w:cs="Calibri"/>
              <w:color w:val="2E74B5"/>
              <w:sz w:val="16"/>
              <w:szCs w:val="16"/>
            </w:rPr>
            <w:t xml:space="preserve"> </w:t>
          </w:r>
        </w:p>
        <w:p w:rsidR="00622F23" w:rsidRPr="009811EA" w:rsidRDefault="00622F23" w:rsidP="006D4700">
          <w:pPr>
            <w:pStyle w:val="a"/>
            <w:rPr>
              <w:color w:val="2E74B5"/>
              <w:sz w:val="16"/>
              <w:szCs w:val="16"/>
            </w:rPr>
          </w:pPr>
          <w:r w:rsidRPr="009811EA">
            <w:rPr>
              <w:rFonts w:cs="Calibri"/>
              <w:color w:val="2E74B5"/>
              <w:sz w:val="16"/>
              <w:szCs w:val="16"/>
            </w:rPr>
            <w:t>Hemşirelik Bölümü, ANKARA</w:t>
          </w:r>
        </w:p>
      </w:tc>
      <w:tc>
        <w:tcPr>
          <w:tcW w:w="4606" w:type="dxa"/>
          <w:shd w:val="clear" w:color="auto" w:fill="auto"/>
        </w:tcPr>
        <w:p w:rsidR="00622F23" w:rsidRPr="009811EA" w:rsidRDefault="00622F23" w:rsidP="006D4700">
          <w:pPr>
            <w:pStyle w:val="a"/>
            <w:rPr>
              <w:color w:val="2E74B5"/>
              <w:sz w:val="16"/>
              <w:szCs w:val="16"/>
            </w:rPr>
          </w:pPr>
          <w:r w:rsidRPr="009811EA">
            <w:rPr>
              <w:b/>
              <w:color w:val="2E74B5"/>
              <w:sz w:val="16"/>
              <w:szCs w:val="16"/>
            </w:rPr>
            <w:t>E-posta</w:t>
          </w:r>
          <w:r w:rsidRPr="009811EA">
            <w:rPr>
              <w:color w:val="2E74B5"/>
              <w:sz w:val="16"/>
              <w:szCs w:val="16"/>
            </w:rPr>
            <w:t>: aytense@gmail.com</w:t>
          </w:r>
        </w:p>
        <w:p w:rsidR="00622F23" w:rsidRPr="009811EA" w:rsidRDefault="00622F23" w:rsidP="006D4700">
          <w:pPr>
            <w:pStyle w:val="a"/>
            <w:rPr>
              <w:color w:val="2E74B5"/>
              <w:sz w:val="16"/>
              <w:szCs w:val="16"/>
            </w:rPr>
          </w:pPr>
          <w:r w:rsidRPr="009811EA">
            <w:rPr>
              <w:b/>
              <w:color w:val="2E74B5"/>
              <w:sz w:val="16"/>
              <w:szCs w:val="16"/>
            </w:rPr>
            <w:t>Geliş tarihi/Received</w:t>
          </w:r>
          <w:r w:rsidRPr="009811EA">
            <w:rPr>
              <w:color w:val="2E74B5"/>
              <w:sz w:val="16"/>
              <w:szCs w:val="16"/>
            </w:rPr>
            <w:t>: 02.05.2017</w:t>
          </w:r>
        </w:p>
        <w:p w:rsidR="00622F23" w:rsidRPr="009811EA" w:rsidRDefault="00622F23" w:rsidP="006E4179">
          <w:pPr>
            <w:pStyle w:val="a"/>
            <w:rPr>
              <w:color w:val="2E74B5"/>
              <w:sz w:val="16"/>
              <w:szCs w:val="16"/>
            </w:rPr>
          </w:pPr>
          <w:r w:rsidRPr="009811EA">
            <w:rPr>
              <w:b/>
              <w:color w:val="2E74B5"/>
              <w:sz w:val="16"/>
              <w:szCs w:val="16"/>
            </w:rPr>
            <w:t>Kabul Tarihi/Accepted</w:t>
          </w:r>
          <w:r w:rsidRPr="009811EA">
            <w:rPr>
              <w:color w:val="2E74B5"/>
              <w:sz w:val="16"/>
              <w:szCs w:val="16"/>
            </w:rPr>
            <w:t>: 28.07.2017</w:t>
          </w:r>
        </w:p>
      </w:tc>
    </w:tr>
    <w:tr w:rsidR="00622F23" w:rsidRPr="009811EA" w:rsidTr="006D4700">
      <w:trPr>
        <w:trHeight w:val="1266"/>
      </w:trPr>
      <w:tc>
        <w:tcPr>
          <w:tcW w:w="9212" w:type="dxa"/>
          <w:gridSpan w:val="2"/>
          <w:shd w:val="clear" w:color="auto" w:fill="auto"/>
        </w:tcPr>
        <w:p w:rsidR="00622F23" w:rsidRPr="0077509C" w:rsidRDefault="00622F23" w:rsidP="006D4700">
          <w:pPr>
            <w:rPr>
              <w:b/>
              <w:color w:val="000000"/>
              <w:sz w:val="16"/>
              <w:szCs w:val="16"/>
            </w:rPr>
          </w:pPr>
          <w:r w:rsidRPr="0077509C">
            <w:rPr>
              <w:i/>
              <w:color w:val="000000"/>
              <w:sz w:val="16"/>
              <w:szCs w:val="16"/>
            </w:rPr>
            <w:t xml:space="preserve">*Çalışma 28-30, </w:t>
          </w:r>
          <w:proofErr w:type="gramStart"/>
          <w:r w:rsidRPr="0077509C">
            <w:rPr>
              <w:i/>
              <w:color w:val="000000"/>
              <w:sz w:val="16"/>
              <w:szCs w:val="16"/>
            </w:rPr>
            <w:t>Ağustos  2014’de</w:t>
          </w:r>
          <w:proofErr w:type="gramEnd"/>
          <w:r w:rsidRPr="0077509C">
            <w:rPr>
              <w:i/>
              <w:color w:val="000000"/>
              <w:sz w:val="16"/>
              <w:szCs w:val="16"/>
            </w:rPr>
            <w:t xml:space="preserve"> yapılan  9. Atina, “Puberteden Menapoza”   Kadın Sağlığı ve Hastalıkları  kongresinde  sözel bildiri olarak sunulmuştur. </w:t>
          </w:r>
        </w:p>
      </w:tc>
    </w:tr>
  </w:tbl>
  <w:p w:rsidR="00622F23" w:rsidRDefault="00622F23">
    <w:pPr>
      <w:pStyle w:val="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424" w:type="dxa"/>
      <w:tblLook w:val="04A0" w:firstRow="1" w:lastRow="0" w:firstColumn="1" w:lastColumn="0" w:noHBand="0" w:noVBand="1"/>
    </w:tblPr>
    <w:tblGrid>
      <w:gridCol w:w="4606"/>
      <w:gridCol w:w="4606"/>
      <w:gridCol w:w="4606"/>
      <w:gridCol w:w="4606"/>
    </w:tblGrid>
    <w:tr w:rsidR="00622F23" w:rsidRPr="00942518" w:rsidTr="008A75AD">
      <w:trPr>
        <w:trHeight w:val="1266"/>
      </w:trPr>
      <w:tc>
        <w:tcPr>
          <w:tcW w:w="4606" w:type="dxa"/>
        </w:tcPr>
        <w:p w:rsidR="00622F23" w:rsidRPr="001A7086" w:rsidRDefault="00622F23" w:rsidP="003D0FDD">
          <w:pPr>
            <w:pStyle w:val="stBilgi"/>
            <w:rPr>
              <w:b/>
              <w:color w:val="2E74B5" w:themeColor="accent1" w:themeShade="BF"/>
              <w:sz w:val="16"/>
              <w:szCs w:val="16"/>
            </w:rPr>
          </w:pPr>
          <w:r w:rsidRPr="001A7086">
            <w:rPr>
              <w:b/>
              <w:color w:val="2E74B5" w:themeColor="accent1" w:themeShade="BF"/>
              <w:sz w:val="16"/>
              <w:szCs w:val="16"/>
            </w:rPr>
            <w:t>İletişim/Correspondence:</w:t>
          </w:r>
        </w:p>
        <w:p w:rsidR="00622F23" w:rsidRPr="001A7086" w:rsidRDefault="00622F23" w:rsidP="003D0FDD">
          <w:pPr>
            <w:pStyle w:val="AltBilgi"/>
            <w:rPr>
              <w:rFonts w:cstheme="minorHAnsi"/>
              <w:color w:val="2E74B5" w:themeColor="accent1" w:themeShade="BF"/>
              <w:sz w:val="16"/>
              <w:szCs w:val="16"/>
            </w:rPr>
          </w:pPr>
          <w:r w:rsidRPr="001A7086">
            <w:rPr>
              <w:rFonts w:cstheme="minorHAnsi"/>
              <w:color w:val="2E74B5" w:themeColor="accent1" w:themeShade="BF"/>
              <w:sz w:val="16"/>
              <w:szCs w:val="16"/>
            </w:rPr>
            <w:t>İlke KESER</w:t>
          </w:r>
        </w:p>
        <w:p w:rsidR="00622F23" w:rsidRPr="001A7086" w:rsidRDefault="00622F23" w:rsidP="003D0FDD">
          <w:pPr>
            <w:pStyle w:val="AltBilgi"/>
            <w:rPr>
              <w:rFonts w:cstheme="minorHAnsi"/>
              <w:color w:val="2E74B5" w:themeColor="accent1" w:themeShade="BF"/>
              <w:sz w:val="16"/>
              <w:szCs w:val="16"/>
            </w:rPr>
          </w:pPr>
          <w:r w:rsidRPr="001A7086">
            <w:rPr>
              <w:rFonts w:cstheme="minorHAnsi"/>
              <w:color w:val="2E74B5" w:themeColor="accent1" w:themeShade="BF"/>
              <w:sz w:val="16"/>
              <w:szCs w:val="16"/>
            </w:rPr>
            <w:t>Gazi Üniversitesi Sağlık Bilimleri Fakültesi</w:t>
          </w:r>
        </w:p>
        <w:p w:rsidR="00622F23" w:rsidRPr="001A7086" w:rsidRDefault="00622F23" w:rsidP="003D0FDD">
          <w:pPr>
            <w:pStyle w:val="AltBilgi"/>
            <w:rPr>
              <w:rFonts w:cstheme="minorHAnsi"/>
              <w:color w:val="2E74B5" w:themeColor="accent1" w:themeShade="BF"/>
              <w:sz w:val="16"/>
              <w:szCs w:val="16"/>
            </w:rPr>
          </w:pPr>
          <w:r w:rsidRPr="001A7086">
            <w:rPr>
              <w:rFonts w:cstheme="minorHAnsi"/>
              <w:color w:val="2E74B5" w:themeColor="accent1" w:themeShade="BF"/>
              <w:sz w:val="16"/>
              <w:szCs w:val="16"/>
            </w:rPr>
            <w:t>Fizyoterapi ve Rehabilitasyon Bölümü, ANKARA</w:t>
          </w:r>
        </w:p>
        <w:p w:rsidR="00622F23" w:rsidRPr="001A7086" w:rsidRDefault="00622F23" w:rsidP="003D0FDD">
          <w:pPr>
            <w:pStyle w:val="AltBilgi"/>
            <w:rPr>
              <w:color w:val="2E74B5" w:themeColor="accent1" w:themeShade="BF"/>
              <w:sz w:val="16"/>
              <w:szCs w:val="16"/>
            </w:rPr>
          </w:pPr>
        </w:p>
      </w:tc>
      <w:tc>
        <w:tcPr>
          <w:tcW w:w="4606" w:type="dxa"/>
        </w:tcPr>
        <w:p w:rsidR="00622F23" w:rsidRPr="001A7086" w:rsidRDefault="00622F23" w:rsidP="003D0FDD">
          <w:pPr>
            <w:pStyle w:val="stBilgi"/>
            <w:rPr>
              <w:color w:val="2E74B5" w:themeColor="accent1" w:themeShade="BF"/>
              <w:sz w:val="16"/>
              <w:szCs w:val="16"/>
            </w:rPr>
          </w:pPr>
          <w:r w:rsidRPr="001A7086">
            <w:rPr>
              <w:b/>
              <w:color w:val="2E74B5" w:themeColor="accent1" w:themeShade="BF"/>
              <w:sz w:val="16"/>
              <w:szCs w:val="16"/>
            </w:rPr>
            <w:t>E-posta</w:t>
          </w:r>
          <w:r w:rsidRPr="001A7086">
            <w:rPr>
              <w:color w:val="2E74B5" w:themeColor="accent1" w:themeShade="BF"/>
              <w:sz w:val="16"/>
              <w:szCs w:val="16"/>
            </w:rPr>
            <w:t>: ilkekeser@yahoo.com</w:t>
          </w:r>
        </w:p>
        <w:p w:rsidR="00622F23" w:rsidRPr="001A7086" w:rsidRDefault="00622F23" w:rsidP="003D0FDD">
          <w:pPr>
            <w:pStyle w:val="stBilgi"/>
            <w:rPr>
              <w:color w:val="2E74B5" w:themeColor="accent1" w:themeShade="BF"/>
              <w:sz w:val="16"/>
              <w:szCs w:val="16"/>
            </w:rPr>
          </w:pPr>
          <w:r w:rsidRPr="001A7086">
            <w:rPr>
              <w:b/>
              <w:color w:val="2E74B5" w:themeColor="accent1" w:themeShade="BF"/>
              <w:sz w:val="16"/>
              <w:szCs w:val="16"/>
            </w:rPr>
            <w:t>Geliş tarihi/Received</w:t>
          </w:r>
          <w:r w:rsidRPr="001A7086">
            <w:rPr>
              <w:color w:val="2E74B5" w:themeColor="accent1" w:themeShade="BF"/>
              <w:sz w:val="16"/>
              <w:szCs w:val="16"/>
            </w:rPr>
            <w:t>: 10.07.2017</w:t>
          </w:r>
        </w:p>
        <w:p w:rsidR="00622F23" w:rsidRPr="001A7086" w:rsidRDefault="00622F23" w:rsidP="003640F4">
          <w:pPr>
            <w:pStyle w:val="stBilgi"/>
            <w:rPr>
              <w:color w:val="2E74B5" w:themeColor="accent1" w:themeShade="BF"/>
              <w:sz w:val="16"/>
              <w:szCs w:val="16"/>
            </w:rPr>
          </w:pPr>
          <w:r w:rsidRPr="001A7086">
            <w:rPr>
              <w:b/>
              <w:color w:val="2E74B5" w:themeColor="accent1" w:themeShade="BF"/>
              <w:sz w:val="16"/>
              <w:szCs w:val="16"/>
            </w:rPr>
            <w:t>Kabul Tarihi/Accepted</w:t>
          </w:r>
          <w:r w:rsidRPr="001A7086">
            <w:rPr>
              <w:color w:val="2E74B5" w:themeColor="accent1" w:themeShade="BF"/>
              <w:sz w:val="16"/>
              <w:szCs w:val="16"/>
            </w:rPr>
            <w:t>: 01.08.2017</w:t>
          </w:r>
        </w:p>
      </w:tc>
      <w:tc>
        <w:tcPr>
          <w:tcW w:w="4606" w:type="dxa"/>
          <w:shd w:val="clear" w:color="auto" w:fill="auto"/>
        </w:tcPr>
        <w:p w:rsidR="00622F23" w:rsidRPr="00942518" w:rsidRDefault="00622F23" w:rsidP="00BD23B2">
          <w:pPr>
            <w:pStyle w:val="AltBilgi"/>
            <w:rPr>
              <w:sz w:val="16"/>
              <w:szCs w:val="16"/>
            </w:rPr>
          </w:pPr>
        </w:p>
      </w:tc>
      <w:tc>
        <w:tcPr>
          <w:tcW w:w="4606" w:type="dxa"/>
          <w:shd w:val="clear" w:color="auto" w:fill="auto"/>
        </w:tcPr>
        <w:p w:rsidR="00622F23" w:rsidRPr="00942518" w:rsidRDefault="00622F23" w:rsidP="00BD23B2">
          <w:pPr>
            <w:pStyle w:val="stBilgi"/>
            <w:rPr>
              <w:sz w:val="16"/>
              <w:szCs w:val="16"/>
            </w:rPr>
          </w:pPr>
        </w:p>
      </w:tc>
    </w:tr>
  </w:tbl>
  <w:p w:rsidR="00622F23" w:rsidRDefault="00622F23">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36"/>
      <w:gridCol w:w="4536"/>
    </w:tblGrid>
    <w:tr w:rsidR="00622F23" w:rsidRPr="00942518" w:rsidTr="003D0FDD">
      <w:trPr>
        <w:trHeight w:val="1266"/>
      </w:trPr>
      <w:tc>
        <w:tcPr>
          <w:tcW w:w="4606" w:type="dxa"/>
          <w:shd w:val="clear" w:color="auto" w:fill="auto"/>
        </w:tcPr>
        <w:p w:rsidR="00622F23" w:rsidRPr="00942518" w:rsidRDefault="00622F23" w:rsidP="003D0FDD">
          <w:pPr>
            <w:pStyle w:val="AltBilgi"/>
            <w:rPr>
              <w:sz w:val="16"/>
              <w:szCs w:val="16"/>
            </w:rPr>
          </w:pPr>
        </w:p>
      </w:tc>
      <w:tc>
        <w:tcPr>
          <w:tcW w:w="4606" w:type="dxa"/>
          <w:shd w:val="clear" w:color="auto" w:fill="auto"/>
        </w:tcPr>
        <w:p w:rsidR="00622F23" w:rsidRPr="00942518" w:rsidRDefault="00622F23" w:rsidP="003D0FDD">
          <w:pPr>
            <w:pStyle w:val="stBilgi"/>
            <w:rPr>
              <w:sz w:val="16"/>
              <w:szCs w:val="16"/>
            </w:rPr>
          </w:pPr>
        </w:p>
      </w:tc>
    </w:tr>
  </w:tbl>
  <w:p w:rsidR="00622F23" w:rsidRDefault="00622F23">
    <w:pPr>
      <w:pStyle w:val="AltBilgi"/>
    </w:pPr>
  </w:p>
  <w:p w:rsidR="00622F23" w:rsidRDefault="00622F23">
    <w:pPr>
      <w:pStyle w:val="AltBilgi"/>
    </w:pPr>
  </w:p>
  <w:p w:rsidR="00622F23" w:rsidRDefault="00622F23">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AltBilgi"/>
    </w:pPr>
  </w:p>
  <w:p w:rsidR="00622F23" w:rsidRDefault="00622F23">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424" w:type="dxa"/>
      <w:tblLook w:val="04A0" w:firstRow="1" w:lastRow="0" w:firstColumn="1" w:lastColumn="0" w:noHBand="0" w:noVBand="1"/>
    </w:tblPr>
    <w:tblGrid>
      <w:gridCol w:w="4606"/>
      <w:gridCol w:w="4606"/>
      <w:gridCol w:w="4606"/>
      <w:gridCol w:w="4606"/>
    </w:tblGrid>
    <w:tr w:rsidR="00622F23" w:rsidRPr="00942518" w:rsidTr="00E04430">
      <w:trPr>
        <w:trHeight w:val="1266"/>
      </w:trPr>
      <w:tc>
        <w:tcPr>
          <w:tcW w:w="4606" w:type="dxa"/>
        </w:tcPr>
        <w:p w:rsidR="00622F23" w:rsidRPr="008C2FB4" w:rsidRDefault="00622F23" w:rsidP="00E629AF">
          <w:pPr>
            <w:pStyle w:val="stBilgi"/>
            <w:rPr>
              <w:b/>
              <w:color w:val="2E74B5" w:themeColor="accent1" w:themeShade="BF"/>
              <w:sz w:val="16"/>
              <w:szCs w:val="16"/>
            </w:rPr>
          </w:pPr>
          <w:r w:rsidRPr="008C2FB4">
            <w:rPr>
              <w:b/>
              <w:color w:val="2E74B5" w:themeColor="accent1" w:themeShade="BF"/>
              <w:sz w:val="16"/>
              <w:szCs w:val="16"/>
            </w:rPr>
            <w:t>İletişim/Correspondence:</w:t>
          </w:r>
        </w:p>
        <w:p w:rsidR="00622F23" w:rsidRPr="008C2FB4" w:rsidRDefault="00622F23" w:rsidP="00E629AF">
          <w:pPr>
            <w:pStyle w:val="AltBilgi"/>
            <w:rPr>
              <w:rFonts w:cstheme="minorHAnsi"/>
              <w:color w:val="2E74B5" w:themeColor="accent1" w:themeShade="BF"/>
              <w:sz w:val="16"/>
              <w:szCs w:val="16"/>
            </w:rPr>
          </w:pPr>
          <w:r w:rsidRPr="008C2FB4">
            <w:rPr>
              <w:rFonts w:cstheme="minorHAnsi"/>
              <w:color w:val="2E74B5" w:themeColor="accent1" w:themeShade="BF"/>
              <w:sz w:val="16"/>
              <w:szCs w:val="16"/>
            </w:rPr>
            <w:t>Gülderen YENTÜR</w:t>
          </w:r>
        </w:p>
        <w:p w:rsidR="00622F23" w:rsidRPr="008C2FB4" w:rsidRDefault="00622F23" w:rsidP="00E629AF">
          <w:pPr>
            <w:pStyle w:val="AltBilgi"/>
            <w:rPr>
              <w:rFonts w:cstheme="minorHAnsi"/>
              <w:color w:val="2E74B5" w:themeColor="accent1" w:themeShade="BF"/>
              <w:sz w:val="16"/>
              <w:szCs w:val="16"/>
            </w:rPr>
          </w:pPr>
          <w:r w:rsidRPr="008C2FB4">
            <w:rPr>
              <w:rFonts w:cstheme="minorHAnsi"/>
              <w:color w:val="2E74B5" w:themeColor="accent1" w:themeShade="BF"/>
              <w:sz w:val="16"/>
              <w:szCs w:val="16"/>
            </w:rPr>
            <w:t>Gazi Üniversitesi Eczacılık Fakültesi Eczacılık Temel Bilimleri Anabilim Dalı, ANKARA</w:t>
          </w:r>
        </w:p>
        <w:p w:rsidR="00622F23" w:rsidRPr="008C2FB4" w:rsidRDefault="00622F23" w:rsidP="00E629AF">
          <w:pPr>
            <w:pStyle w:val="AltBilgi"/>
            <w:rPr>
              <w:color w:val="2E74B5" w:themeColor="accent1" w:themeShade="BF"/>
              <w:sz w:val="16"/>
              <w:szCs w:val="16"/>
            </w:rPr>
          </w:pPr>
        </w:p>
      </w:tc>
      <w:tc>
        <w:tcPr>
          <w:tcW w:w="4606" w:type="dxa"/>
        </w:tcPr>
        <w:p w:rsidR="00622F23" w:rsidRPr="008C2FB4" w:rsidRDefault="00622F23" w:rsidP="00E629AF">
          <w:pPr>
            <w:pStyle w:val="stBilgi"/>
            <w:rPr>
              <w:color w:val="2E74B5" w:themeColor="accent1" w:themeShade="BF"/>
              <w:sz w:val="16"/>
              <w:szCs w:val="16"/>
            </w:rPr>
          </w:pPr>
          <w:r w:rsidRPr="008C2FB4">
            <w:rPr>
              <w:b/>
              <w:color w:val="2E74B5" w:themeColor="accent1" w:themeShade="BF"/>
              <w:sz w:val="16"/>
              <w:szCs w:val="16"/>
            </w:rPr>
            <w:t>E-posta</w:t>
          </w:r>
          <w:r w:rsidRPr="008C2FB4">
            <w:rPr>
              <w:color w:val="2E74B5" w:themeColor="accent1" w:themeShade="BF"/>
              <w:sz w:val="16"/>
              <w:szCs w:val="16"/>
            </w:rPr>
            <w:t>: yentür@gazi.edu.tr</w:t>
          </w:r>
        </w:p>
        <w:p w:rsidR="00622F23" w:rsidRPr="008C2FB4" w:rsidRDefault="00622F23" w:rsidP="00E629AF">
          <w:pPr>
            <w:pStyle w:val="stBilgi"/>
            <w:rPr>
              <w:color w:val="2E74B5" w:themeColor="accent1" w:themeShade="BF"/>
              <w:sz w:val="16"/>
              <w:szCs w:val="16"/>
            </w:rPr>
          </w:pPr>
          <w:r w:rsidRPr="008C2FB4">
            <w:rPr>
              <w:b/>
              <w:color w:val="2E74B5" w:themeColor="accent1" w:themeShade="BF"/>
              <w:sz w:val="16"/>
              <w:szCs w:val="16"/>
            </w:rPr>
            <w:t>Geliş tarihi/Received</w:t>
          </w:r>
          <w:r w:rsidRPr="008C2FB4">
            <w:rPr>
              <w:color w:val="2E74B5" w:themeColor="accent1" w:themeShade="BF"/>
              <w:sz w:val="16"/>
              <w:szCs w:val="16"/>
            </w:rPr>
            <w:t>: 08.06.2017</w:t>
          </w:r>
        </w:p>
        <w:p w:rsidR="00622F23" w:rsidRPr="008C2FB4" w:rsidRDefault="00622F23" w:rsidP="00577A68">
          <w:pPr>
            <w:pStyle w:val="stBilgi"/>
            <w:rPr>
              <w:color w:val="2E74B5" w:themeColor="accent1" w:themeShade="BF"/>
              <w:sz w:val="16"/>
              <w:szCs w:val="16"/>
            </w:rPr>
          </w:pPr>
          <w:r w:rsidRPr="008C2FB4">
            <w:rPr>
              <w:b/>
              <w:color w:val="2E74B5" w:themeColor="accent1" w:themeShade="BF"/>
              <w:sz w:val="16"/>
              <w:szCs w:val="16"/>
            </w:rPr>
            <w:t>Kabul Tarihi/Accepted</w:t>
          </w:r>
          <w:r w:rsidRPr="008C2FB4">
            <w:rPr>
              <w:color w:val="2E74B5" w:themeColor="accent1" w:themeShade="BF"/>
              <w:sz w:val="16"/>
              <w:szCs w:val="16"/>
            </w:rPr>
            <w:t>: 20.07.2017</w:t>
          </w:r>
        </w:p>
      </w:tc>
      <w:tc>
        <w:tcPr>
          <w:tcW w:w="4606" w:type="dxa"/>
          <w:shd w:val="clear" w:color="auto" w:fill="auto"/>
        </w:tcPr>
        <w:p w:rsidR="00622F23" w:rsidRPr="00942518" w:rsidRDefault="00622F23" w:rsidP="00E629AF">
          <w:pPr>
            <w:pStyle w:val="AltBilgi"/>
            <w:rPr>
              <w:sz w:val="16"/>
              <w:szCs w:val="16"/>
            </w:rPr>
          </w:pPr>
        </w:p>
      </w:tc>
      <w:tc>
        <w:tcPr>
          <w:tcW w:w="4606" w:type="dxa"/>
          <w:shd w:val="clear" w:color="auto" w:fill="auto"/>
        </w:tcPr>
        <w:p w:rsidR="00622F23" w:rsidRPr="00942518" w:rsidRDefault="00622F23" w:rsidP="00E629AF">
          <w:pPr>
            <w:pStyle w:val="stBilgi"/>
            <w:rPr>
              <w:sz w:val="16"/>
              <w:szCs w:val="16"/>
            </w:rPr>
          </w:pPr>
        </w:p>
      </w:tc>
    </w:tr>
  </w:tbl>
  <w:p w:rsidR="00622F23" w:rsidRDefault="00622F23">
    <w:pPr>
      <w:pStyle w:val="AltBilgi"/>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424" w:type="dxa"/>
      <w:tblLook w:val="04A0" w:firstRow="1" w:lastRow="0" w:firstColumn="1" w:lastColumn="0" w:noHBand="0" w:noVBand="1"/>
    </w:tblPr>
    <w:tblGrid>
      <w:gridCol w:w="4606"/>
      <w:gridCol w:w="4606"/>
      <w:gridCol w:w="4606"/>
      <w:gridCol w:w="4606"/>
    </w:tblGrid>
    <w:tr w:rsidR="00622F23" w:rsidRPr="00942518" w:rsidTr="00E04430">
      <w:trPr>
        <w:trHeight w:val="1266"/>
      </w:trPr>
      <w:tc>
        <w:tcPr>
          <w:tcW w:w="4606" w:type="dxa"/>
        </w:tcPr>
        <w:p w:rsidR="00622F23" w:rsidRPr="00942518" w:rsidRDefault="00622F23" w:rsidP="00E629AF">
          <w:pPr>
            <w:pStyle w:val="AltBilgi"/>
            <w:rPr>
              <w:sz w:val="16"/>
              <w:szCs w:val="16"/>
            </w:rPr>
          </w:pPr>
        </w:p>
      </w:tc>
      <w:tc>
        <w:tcPr>
          <w:tcW w:w="4606" w:type="dxa"/>
        </w:tcPr>
        <w:p w:rsidR="00622F23" w:rsidRPr="00942518" w:rsidRDefault="00622F23" w:rsidP="00E629AF">
          <w:pPr>
            <w:pStyle w:val="stBilgi"/>
            <w:rPr>
              <w:sz w:val="16"/>
              <w:szCs w:val="16"/>
            </w:rPr>
          </w:pPr>
        </w:p>
      </w:tc>
      <w:tc>
        <w:tcPr>
          <w:tcW w:w="4606" w:type="dxa"/>
          <w:shd w:val="clear" w:color="auto" w:fill="auto"/>
        </w:tcPr>
        <w:p w:rsidR="00622F23" w:rsidRPr="00942518" w:rsidRDefault="00622F23" w:rsidP="00E629AF">
          <w:pPr>
            <w:pStyle w:val="AltBilgi"/>
            <w:rPr>
              <w:sz w:val="16"/>
              <w:szCs w:val="16"/>
            </w:rPr>
          </w:pPr>
        </w:p>
      </w:tc>
      <w:tc>
        <w:tcPr>
          <w:tcW w:w="4606" w:type="dxa"/>
          <w:shd w:val="clear" w:color="auto" w:fill="auto"/>
        </w:tcPr>
        <w:p w:rsidR="00622F23" w:rsidRPr="00942518" w:rsidRDefault="00622F23" w:rsidP="00E629AF">
          <w:pPr>
            <w:pStyle w:val="stBilgi"/>
            <w:rPr>
              <w:sz w:val="16"/>
              <w:szCs w:val="16"/>
            </w:rPr>
          </w:pPr>
        </w:p>
      </w:tc>
    </w:tr>
  </w:tbl>
  <w:p w:rsidR="00622F23" w:rsidRDefault="00622F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90" w:rsidRDefault="001F5B90" w:rsidP="00622F23">
      <w:pPr>
        <w:spacing w:after="0" w:line="240" w:lineRule="auto"/>
      </w:pPr>
      <w:r>
        <w:separator/>
      </w:r>
    </w:p>
  </w:footnote>
  <w:footnote w:type="continuationSeparator" w:id="0">
    <w:p w:rsidR="001F5B90" w:rsidRDefault="001F5B90" w:rsidP="0062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A61E6F">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:1(1): 01-</w:t>
    </w:r>
    <w:r>
      <w:rPr>
        <w:color w:val="0070C0"/>
        <w:sz w:val="18"/>
        <w:szCs w:val="18"/>
      </w:rPr>
      <w:t>08</w:t>
    </w:r>
    <w:r w:rsidRPr="00A6107F">
      <w:rPr>
        <w:color w:val="0070C0"/>
        <w:sz w:val="18"/>
        <w:szCs w:val="18"/>
      </w:rPr>
      <w:tab/>
    </w:r>
    <w:r>
      <w:rPr>
        <w:sz w:val="18"/>
        <w:szCs w:val="18"/>
      </w:rPr>
      <w:tab/>
      <w:t xml:space="preserve">Er Demirhan ve ark. </w:t>
    </w:r>
  </w:p>
  <w:p w:rsidR="00622F23" w:rsidRDefault="00622F23">
    <w:pPr>
      <w:pStyle w:val="stBilgi"/>
    </w:pPr>
  </w:p>
  <w:p w:rsidR="00622F23" w:rsidRDefault="00622F23">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694778">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 xml:space="preserve">:1(1): </w:t>
    </w:r>
    <w:r>
      <w:rPr>
        <w:color w:val="0070C0"/>
        <w:sz w:val="18"/>
        <w:szCs w:val="18"/>
      </w:rPr>
      <w:t>28</w:t>
    </w:r>
    <w:r w:rsidRPr="00A6107F">
      <w:rPr>
        <w:color w:val="0070C0"/>
        <w:sz w:val="18"/>
        <w:szCs w:val="18"/>
      </w:rPr>
      <w:t>-</w:t>
    </w:r>
    <w:r>
      <w:rPr>
        <w:color w:val="0070C0"/>
        <w:sz w:val="18"/>
        <w:szCs w:val="18"/>
      </w:rPr>
      <w:t>35</w:t>
    </w:r>
    <w:r w:rsidRPr="00A6107F">
      <w:rPr>
        <w:color w:val="0070C0"/>
        <w:sz w:val="18"/>
        <w:szCs w:val="18"/>
      </w:rPr>
      <w:tab/>
    </w:r>
    <w:r>
      <w:rPr>
        <w:sz w:val="18"/>
        <w:szCs w:val="18"/>
      </w:rPr>
      <w:tab/>
      <w:t xml:space="preserve">Sönmez ve ark. </w:t>
    </w:r>
  </w:p>
  <w:p w:rsidR="00622F23" w:rsidRDefault="00622F23">
    <w:pPr>
      <w:pStyle w:val="stBilgi"/>
    </w:pPr>
  </w:p>
  <w:p w:rsidR="00622F23" w:rsidRDefault="00622F23">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867CFA">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 xml:space="preserve">:1(1): </w:t>
    </w:r>
    <w:r>
      <w:rPr>
        <w:color w:val="0070C0"/>
        <w:sz w:val="18"/>
        <w:szCs w:val="18"/>
      </w:rPr>
      <w:t>28</w:t>
    </w:r>
    <w:r w:rsidRPr="00A6107F">
      <w:rPr>
        <w:color w:val="0070C0"/>
        <w:sz w:val="18"/>
        <w:szCs w:val="18"/>
      </w:rPr>
      <w:t>-</w:t>
    </w:r>
    <w:r>
      <w:rPr>
        <w:color w:val="0070C0"/>
        <w:sz w:val="18"/>
        <w:szCs w:val="18"/>
      </w:rPr>
      <w:t>35</w:t>
    </w:r>
    <w:r w:rsidRPr="00A6107F">
      <w:rPr>
        <w:color w:val="0070C0"/>
        <w:sz w:val="18"/>
        <w:szCs w:val="18"/>
      </w:rPr>
      <w:tab/>
    </w:r>
    <w:r>
      <w:rPr>
        <w:sz w:val="18"/>
        <w:szCs w:val="18"/>
      </w:rPr>
      <w:tab/>
      <w:t>Araştırma</w:t>
    </w:r>
  </w:p>
  <w:p w:rsidR="00622F23" w:rsidRDefault="00622F23">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rsidP="00C7023C">
    <w:pPr>
      <w:pStyle w:val="a"/>
    </w:pPr>
    <w:r>
      <w:rPr>
        <w:color w:val="0070C0"/>
        <w:sz w:val="18"/>
        <w:szCs w:val="18"/>
      </w:rPr>
      <w:t xml:space="preserve">Gazi Sağlık Bilimleri Dergisi </w:t>
    </w:r>
    <w:r w:rsidRPr="00C7023C">
      <w:rPr>
        <w:color w:val="0070C0"/>
        <w:sz w:val="18"/>
        <w:szCs w:val="18"/>
      </w:rPr>
      <w:t xml:space="preserve">2017:1(1): </w:t>
    </w:r>
    <w:r>
      <w:rPr>
        <w:color w:val="0070C0"/>
        <w:sz w:val="18"/>
        <w:szCs w:val="18"/>
      </w:rPr>
      <w:t>36-47</w:t>
    </w:r>
    <w:r>
      <w:rPr>
        <w:sz w:val="18"/>
        <w:szCs w:val="18"/>
      </w:rPr>
      <w:tab/>
    </w:r>
    <w:r>
      <w:rPr>
        <w:sz w:val="18"/>
        <w:szCs w:val="18"/>
      </w:rPr>
      <w:tab/>
      <w:t xml:space="preserve">Aydın </w:t>
    </w:r>
  </w:p>
  <w:p w:rsidR="00622F23" w:rsidRDefault="00622F23">
    <w:pPr>
      <w:pStyle w:val="a"/>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rsidP="007606CE">
    <w:pPr>
      <w:pStyle w:val="a"/>
      <w:jc w:val="right"/>
    </w:pPr>
    <w:r>
      <w:rPr>
        <w:color w:val="0070C0"/>
        <w:sz w:val="18"/>
        <w:szCs w:val="18"/>
      </w:rPr>
      <w:t xml:space="preserve">Gazi Sağlık Bilimleri Dergisi </w:t>
    </w:r>
    <w:r w:rsidRPr="00C7023C">
      <w:rPr>
        <w:color w:val="0070C0"/>
        <w:sz w:val="18"/>
        <w:szCs w:val="18"/>
      </w:rPr>
      <w:t xml:space="preserve">2017:1(1): </w:t>
    </w:r>
    <w:r>
      <w:rPr>
        <w:color w:val="0070C0"/>
        <w:sz w:val="18"/>
        <w:szCs w:val="18"/>
      </w:rPr>
      <w:t>36-47</w:t>
    </w:r>
    <w:r w:rsidRPr="00A6107F">
      <w:rPr>
        <w:color w:val="0070C0"/>
        <w:sz w:val="18"/>
        <w:szCs w:val="18"/>
      </w:rPr>
      <w:tab/>
    </w:r>
    <w:r>
      <w:rPr>
        <w:sz w:val="18"/>
        <w:szCs w:val="18"/>
      </w:rPr>
      <w:tab/>
      <w:t>Araştırma</w:t>
    </w:r>
  </w:p>
  <w:p w:rsidR="00622F23" w:rsidRDefault="00622F23">
    <w:pPr>
      <w:pStyle w:val="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BD23B2">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:1(1): 01-</w:t>
    </w:r>
    <w:r>
      <w:rPr>
        <w:color w:val="0070C0"/>
        <w:sz w:val="18"/>
        <w:szCs w:val="18"/>
      </w:rPr>
      <w:t>08</w:t>
    </w:r>
    <w:r w:rsidRPr="00A6107F">
      <w:rPr>
        <w:color w:val="0070C0"/>
        <w:sz w:val="18"/>
        <w:szCs w:val="18"/>
      </w:rPr>
      <w:tab/>
    </w:r>
    <w:r>
      <w:rPr>
        <w:sz w:val="18"/>
        <w:szCs w:val="18"/>
      </w:rPr>
      <w:tab/>
      <w:t xml:space="preserve">Derleme </w:t>
    </w:r>
  </w:p>
  <w:p w:rsidR="00622F23" w:rsidRDefault="00622F2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rsidP="002E1B2B">
    <w:pPr>
      <w:pStyle w:val="a"/>
      <w:jc w:val="right"/>
    </w:pPr>
    <w:r>
      <w:rPr>
        <w:color w:val="0070C0"/>
        <w:sz w:val="18"/>
        <w:szCs w:val="18"/>
      </w:rPr>
      <w:t>Gazi Sağlık Bilimleri Dergisi</w:t>
    </w:r>
    <w:r w:rsidRPr="00A6107F">
      <w:rPr>
        <w:color w:val="0070C0"/>
        <w:sz w:val="18"/>
        <w:szCs w:val="18"/>
      </w:rPr>
      <w:t xml:space="preserve"> 201</w:t>
    </w:r>
    <w:r>
      <w:rPr>
        <w:color w:val="0070C0"/>
        <w:sz w:val="18"/>
        <w:szCs w:val="18"/>
      </w:rPr>
      <w:t>7:1(1): 09-17</w:t>
    </w:r>
    <w:r w:rsidRPr="00A6107F">
      <w:rPr>
        <w:color w:val="0070C0"/>
        <w:sz w:val="18"/>
        <w:szCs w:val="18"/>
      </w:rPr>
      <w:tab/>
    </w:r>
    <w:r>
      <w:rPr>
        <w:sz w:val="18"/>
        <w:szCs w:val="18"/>
      </w:rPr>
      <w:tab/>
      <w:t>Gölbaşı ve ark.</w:t>
    </w:r>
  </w:p>
  <w:p w:rsidR="00622F23" w:rsidRDefault="00622F23">
    <w:pPr>
      <w:pStyle w:val="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rsidP="00151F10">
    <w:pPr>
      <w:pStyle w:val="a"/>
      <w:jc w:val="right"/>
    </w:pPr>
    <w:r>
      <w:rPr>
        <w:color w:val="0070C0"/>
        <w:sz w:val="18"/>
        <w:szCs w:val="18"/>
      </w:rPr>
      <w:t>Gazi Sağlık Bilimleri Dergisi</w:t>
    </w:r>
    <w:r w:rsidRPr="00A6107F">
      <w:rPr>
        <w:color w:val="0070C0"/>
        <w:sz w:val="18"/>
        <w:szCs w:val="18"/>
      </w:rPr>
      <w:t xml:space="preserve"> 201</w:t>
    </w:r>
    <w:r>
      <w:rPr>
        <w:color w:val="0070C0"/>
        <w:sz w:val="18"/>
        <w:szCs w:val="18"/>
      </w:rPr>
      <w:t>7:1(1):09-17</w:t>
    </w:r>
    <w:r w:rsidRPr="00A6107F">
      <w:rPr>
        <w:color w:val="0070C0"/>
        <w:sz w:val="18"/>
        <w:szCs w:val="18"/>
      </w:rPr>
      <w:tab/>
    </w:r>
    <w:r>
      <w:rPr>
        <w:sz w:val="18"/>
        <w:szCs w:val="18"/>
      </w:rPr>
      <w:tab/>
      <w:t>Araştırma</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Default="00622F23" w:rsidP="00455A67">
    <w:pPr>
      <w:pStyle w:val="a"/>
    </w:pPr>
    <w:r>
      <w:rPr>
        <w:color w:val="0070C0"/>
        <w:sz w:val="18"/>
        <w:szCs w:val="18"/>
      </w:rPr>
      <w:t>Gazi Sağlık Bilimleri Dergisi</w:t>
    </w:r>
    <w:r w:rsidRPr="00A6107F">
      <w:rPr>
        <w:color w:val="0070C0"/>
        <w:sz w:val="18"/>
        <w:szCs w:val="18"/>
      </w:rPr>
      <w:t xml:space="preserve"> 201</w:t>
    </w:r>
    <w:r>
      <w:rPr>
        <w:color w:val="0070C0"/>
        <w:sz w:val="18"/>
        <w:szCs w:val="18"/>
      </w:rPr>
      <w:t>7:1(1): 09-17</w:t>
    </w:r>
    <w:r>
      <w:rPr>
        <w:sz w:val="18"/>
        <w:szCs w:val="18"/>
      </w:rPr>
      <w:tab/>
      <w:t xml:space="preserve">                                                     </w:t>
    </w:r>
    <w:r>
      <w:rPr>
        <w:sz w:val="18"/>
        <w:szCs w:val="18"/>
      </w:rPr>
      <w:tab/>
      <w:t xml:space="preserve">Gölbaşı ve ark.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622F23" w:rsidRDefault="00622F23" w:rsidP="00622F23">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A61E6F">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 xml:space="preserve">:1(1): </w:t>
    </w:r>
    <w:r>
      <w:rPr>
        <w:color w:val="0070C0"/>
        <w:sz w:val="18"/>
        <w:szCs w:val="18"/>
      </w:rPr>
      <w:t>18-27</w:t>
    </w:r>
    <w:r w:rsidRPr="00A6107F">
      <w:rPr>
        <w:color w:val="0070C0"/>
        <w:sz w:val="18"/>
        <w:szCs w:val="18"/>
      </w:rPr>
      <w:tab/>
    </w:r>
    <w:r>
      <w:rPr>
        <w:sz w:val="18"/>
        <w:szCs w:val="18"/>
      </w:rPr>
      <w:tab/>
      <w:t xml:space="preserve">Keser ve ark. </w:t>
    </w:r>
  </w:p>
  <w:p w:rsidR="00622F23" w:rsidRDefault="00622F23">
    <w:pPr>
      <w:pStyle w:val="stBilgi"/>
    </w:pPr>
  </w:p>
  <w:p w:rsidR="00622F23" w:rsidRDefault="00622F23">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23" w:rsidRPr="00472D86" w:rsidRDefault="00622F23" w:rsidP="00BD23B2">
    <w:pPr>
      <w:pStyle w:val="stBilgi"/>
      <w:jc w:val="right"/>
      <w:rPr>
        <w:sz w:val="18"/>
        <w:szCs w:val="18"/>
      </w:rPr>
    </w:pPr>
    <w:r>
      <w:rPr>
        <w:color w:val="0070C0"/>
        <w:sz w:val="18"/>
        <w:szCs w:val="18"/>
      </w:rPr>
      <w:t>Gazi Sağlık Bilimleri Dergisi</w:t>
    </w:r>
    <w:r w:rsidRPr="00A6107F">
      <w:rPr>
        <w:color w:val="0070C0"/>
        <w:sz w:val="18"/>
        <w:szCs w:val="18"/>
      </w:rPr>
      <w:t xml:space="preserve"> 201</w:t>
    </w:r>
    <w:r>
      <w:rPr>
        <w:color w:val="0070C0"/>
        <w:sz w:val="18"/>
        <w:szCs w:val="18"/>
      </w:rPr>
      <w:t>7</w:t>
    </w:r>
    <w:r w:rsidRPr="00A6107F">
      <w:rPr>
        <w:color w:val="0070C0"/>
        <w:sz w:val="18"/>
        <w:szCs w:val="18"/>
      </w:rPr>
      <w:t xml:space="preserve">:1(1): </w:t>
    </w:r>
    <w:r>
      <w:rPr>
        <w:color w:val="0070C0"/>
        <w:sz w:val="18"/>
        <w:szCs w:val="18"/>
      </w:rPr>
      <w:t>18-27</w:t>
    </w:r>
    <w:r w:rsidRPr="00A6107F">
      <w:rPr>
        <w:color w:val="0070C0"/>
        <w:sz w:val="18"/>
        <w:szCs w:val="18"/>
      </w:rPr>
      <w:tab/>
    </w:r>
    <w:r>
      <w:rPr>
        <w:sz w:val="18"/>
        <w:szCs w:val="18"/>
      </w:rPr>
      <w:tab/>
      <w:t>Araştırma</w:t>
    </w:r>
  </w:p>
  <w:p w:rsidR="00622F23" w:rsidRDefault="00622F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916"/>
    <w:multiLevelType w:val="hybridMultilevel"/>
    <w:tmpl w:val="B63EE81C"/>
    <w:lvl w:ilvl="0" w:tplc="E0D83A6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797FB2"/>
    <w:multiLevelType w:val="hybridMultilevel"/>
    <w:tmpl w:val="A1A82BDC"/>
    <w:lvl w:ilvl="0" w:tplc="B448D1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D693DF8"/>
    <w:multiLevelType w:val="hybridMultilevel"/>
    <w:tmpl w:val="3188B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AE5600"/>
    <w:multiLevelType w:val="hybridMultilevel"/>
    <w:tmpl w:val="3566F3CA"/>
    <w:lvl w:ilvl="0" w:tplc="17EE5576">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1F5D6D"/>
    <w:multiLevelType w:val="hybridMultilevel"/>
    <w:tmpl w:val="A080C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D9"/>
    <w:rsid w:val="001F5B90"/>
    <w:rsid w:val="002D1DDE"/>
    <w:rsid w:val="004B34C4"/>
    <w:rsid w:val="00523674"/>
    <w:rsid w:val="00622F23"/>
    <w:rsid w:val="009B15FD"/>
    <w:rsid w:val="00BC4204"/>
    <w:rsid w:val="00BE28D9"/>
    <w:rsid w:val="00BF6CB0"/>
    <w:rsid w:val="00D45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C17E"/>
  <w15:chartTrackingRefBased/>
  <w15:docId w15:val="{57456982-334F-4192-A545-3BD64EEC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23"/>
  </w:style>
  <w:style w:type="paragraph" w:styleId="Balk1">
    <w:name w:val="heading 1"/>
    <w:basedOn w:val="Normal1"/>
    <w:next w:val="Normal1"/>
    <w:link w:val="Balk1Char"/>
    <w:rsid w:val="00622F23"/>
    <w:pPr>
      <w:keepNext/>
      <w:keepLines/>
      <w:spacing w:before="400" w:after="120"/>
      <w:contextualSpacing/>
      <w:outlineLvl w:val="0"/>
    </w:pPr>
    <w:rPr>
      <w:sz w:val="40"/>
      <w:szCs w:val="40"/>
    </w:rPr>
  </w:style>
  <w:style w:type="paragraph" w:styleId="Balk2">
    <w:name w:val="heading 2"/>
    <w:basedOn w:val="Normal1"/>
    <w:next w:val="Normal1"/>
    <w:link w:val="Balk2Char"/>
    <w:rsid w:val="00622F23"/>
    <w:pPr>
      <w:keepNext/>
      <w:keepLines/>
      <w:spacing w:before="360" w:after="120"/>
      <w:contextualSpacing/>
      <w:outlineLvl w:val="1"/>
    </w:pPr>
    <w:rPr>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2F23"/>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622F23"/>
    <w:rPr>
      <w:rFonts w:ascii="Calibri" w:eastAsia="Calibri" w:hAnsi="Calibri" w:cs="Times New Roman"/>
    </w:rPr>
  </w:style>
  <w:style w:type="paragraph" w:customStyle="1" w:styleId="Default">
    <w:name w:val="Default"/>
    <w:rsid w:val="00622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baslk">
    <w:name w:val="1-baslk"/>
    <w:basedOn w:val="Normal"/>
    <w:rsid w:val="00622F23"/>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customStyle="1" w:styleId="fontstyle01">
    <w:name w:val="fontstyle01"/>
    <w:rsid w:val="00622F23"/>
    <w:rPr>
      <w:rFonts w:ascii="TT1D2o00" w:eastAsia="TT1D2o00" w:hint="eastAsia"/>
      <w:b w:val="0"/>
      <w:bCs w:val="0"/>
      <w:i w:val="0"/>
      <w:iCs w:val="0"/>
      <w:color w:val="000000"/>
      <w:sz w:val="22"/>
      <w:szCs w:val="22"/>
    </w:rPr>
  </w:style>
  <w:style w:type="character" w:customStyle="1" w:styleId="fontstyle21">
    <w:name w:val="fontstyle21"/>
    <w:rsid w:val="00622F23"/>
    <w:rPr>
      <w:rFonts w:ascii="TT1D3o00" w:hAnsi="TT1D3o00" w:hint="default"/>
      <w:b w:val="0"/>
      <w:bCs w:val="0"/>
      <w:i w:val="0"/>
      <w:iCs w:val="0"/>
      <w:color w:val="000000"/>
      <w:sz w:val="22"/>
      <w:szCs w:val="22"/>
    </w:rPr>
  </w:style>
  <w:style w:type="character" w:styleId="Kpr">
    <w:name w:val="Hyperlink"/>
    <w:uiPriority w:val="99"/>
    <w:unhideWhenUsed/>
    <w:rsid w:val="00622F23"/>
    <w:rPr>
      <w:color w:val="0000FF"/>
      <w:u w:val="single"/>
    </w:rPr>
  </w:style>
  <w:style w:type="character" w:customStyle="1" w:styleId="apple-converted-space">
    <w:name w:val="apple-converted-space"/>
    <w:basedOn w:val="VarsaylanParagrafYazTipi"/>
    <w:rsid w:val="00622F23"/>
  </w:style>
  <w:style w:type="paragraph" w:styleId="ListeParagraf">
    <w:name w:val="List Paragraph"/>
    <w:basedOn w:val="Normal"/>
    <w:uiPriority w:val="34"/>
    <w:qFormat/>
    <w:rsid w:val="00622F23"/>
    <w:pPr>
      <w:spacing w:line="256" w:lineRule="auto"/>
      <w:ind w:left="720"/>
      <w:contextualSpacing/>
    </w:pPr>
    <w:rPr>
      <w:rFonts w:ascii="Calibri" w:eastAsia="Calibri" w:hAnsi="Calibri" w:cs="Times New Roman"/>
      <w:lang w:val="en-US"/>
    </w:rPr>
  </w:style>
  <w:style w:type="paragraph" w:styleId="AltBilgi">
    <w:name w:val="footer"/>
    <w:basedOn w:val="Normal"/>
    <w:link w:val="AltBilgiChar"/>
    <w:uiPriority w:val="99"/>
    <w:unhideWhenUsed/>
    <w:rsid w:val="00622F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2F23"/>
  </w:style>
  <w:style w:type="paragraph" w:customStyle="1" w:styleId="a">
    <w:basedOn w:val="Normal"/>
    <w:next w:val="AltBilgi"/>
    <w:link w:val="AltbilgiChar0"/>
    <w:uiPriority w:val="99"/>
    <w:unhideWhenUsed/>
    <w:rsid w:val="00622F23"/>
    <w:pPr>
      <w:tabs>
        <w:tab w:val="center" w:pos="4536"/>
        <w:tab w:val="right" w:pos="9072"/>
      </w:tabs>
      <w:spacing w:after="0" w:line="240" w:lineRule="auto"/>
    </w:pPr>
  </w:style>
  <w:style w:type="character" w:customStyle="1" w:styleId="stbilgiChar0">
    <w:name w:val="Üstbilgi Char"/>
    <w:uiPriority w:val="99"/>
    <w:rsid w:val="00622F23"/>
    <w:rPr>
      <w:sz w:val="22"/>
      <w:szCs w:val="22"/>
      <w:lang w:eastAsia="en-US"/>
    </w:rPr>
  </w:style>
  <w:style w:type="character" w:customStyle="1" w:styleId="AltbilgiChar0">
    <w:name w:val="Altbilgi Char"/>
    <w:link w:val="a"/>
    <w:uiPriority w:val="99"/>
    <w:rsid w:val="00622F23"/>
  </w:style>
  <w:style w:type="character" w:customStyle="1" w:styleId="Balk1Char">
    <w:name w:val="Başlık 1 Char"/>
    <w:basedOn w:val="VarsaylanParagrafYazTipi"/>
    <w:link w:val="Balk1"/>
    <w:rsid w:val="00622F23"/>
    <w:rPr>
      <w:rFonts w:ascii="Arial" w:eastAsia="Arial" w:hAnsi="Arial" w:cs="Arial"/>
      <w:color w:val="000000"/>
      <w:sz w:val="40"/>
      <w:szCs w:val="40"/>
      <w:lang w:eastAsia="tr-TR"/>
    </w:rPr>
  </w:style>
  <w:style w:type="character" w:customStyle="1" w:styleId="Balk2Char">
    <w:name w:val="Başlık 2 Char"/>
    <w:basedOn w:val="VarsaylanParagrafYazTipi"/>
    <w:link w:val="Balk2"/>
    <w:rsid w:val="00622F23"/>
    <w:rPr>
      <w:rFonts w:ascii="Arial" w:eastAsia="Arial" w:hAnsi="Arial" w:cs="Arial"/>
      <w:color w:val="000000"/>
      <w:sz w:val="32"/>
      <w:szCs w:val="32"/>
      <w:lang w:eastAsia="tr-TR"/>
    </w:rPr>
  </w:style>
  <w:style w:type="paragraph" w:customStyle="1" w:styleId="Normal1">
    <w:name w:val="Normal1"/>
    <w:rsid w:val="00622F23"/>
    <w:pPr>
      <w:spacing w:after="0" w:line="276" w:lineRule="auto"/>
    </w:pPr>
    <w:rPr>
      <w:rFonts w:ascii="Arial" w:eastAsia="Arial" w:hAnsi="Arial" w:cs="Arial"/>
      <w:color w:val="000000"/>
      <w:lang w:eastAsia="tr-TR"/>
    </w:rPr>
  </w:style>
  <w:style w:type="paragraph" w:customStyle="1" w:styleId="EndNoteBibliography">
    <w:name w:val="EndNote Bibliography"/>
    <w:basedOn w:val="Normal"/>
    <w:link w:val="EndNoteBibliographyChar"/>
    <w:rsid w:val="00622F23"/>
    <w:pPr>
      <w:spacing w:after="200" w:line="240" w:lineRule="auto"/>
    </w:pPr>
    <w:rPr>
      <w:rFonts w:ascii="Arial" w:hAnsi="Arial" w:cs="Arial"/>
      <w:noProof/>
      <w:lang w:val="en-US"/>
    </w:rPr>
  </w:style>
  <w:style w:type="character" w:customStyle="1" w:styleId="EndNoteBibliographyChar">
    <w:name w:val="EndNote Bibliography Char"/>
    <w:basedOn w:val="VarsaylanParagrafYazTipi"/>
    <w:link w:val="EndNoteBibliography"/>
    <w:rsid w:val="00622F23"/>
    <w:rPr>
      <w:rFonts w:ascii="Arial" w:hAnsi="Arial" w:cs="Arial"/>
      <w:noProof/>
      <w:lang w:val="en-US"/>
    </w:rPr>
  </w:style>
  <w:style w:type="table" w:styleId="TabloKlavuzu">
    <w:name w:val="Table Grid"/>
    <w:basedOn w:val="NormalTablo"/>
    <w:uiPriority w:val="59"/>
    <w:rsid w:val="00622F23"/>
    <w:pPr>
      <w:spacing w:after="0" w:line="240" w:lineRule="auto"/>
    </w:pPr>
    <w:rPr>
      <w:rFonts w:ascii="Arial" w:eastAsia="Arial" w:hAnsi="Arial" w:cs="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VarsaylanParagrafYazTipi"/>
    <w:rsid w:val="00622F23"/>
  </w:style>
  <w:style w:type="character" w:styleId="Vurgu">
    <w:name w:val="Emphasis"/>
    <w:uiPriority w:val="20"/>
    <w:qFormat/>
    <w:rsid w:val="00622F23"/>
    <w:rPr>
      <w:b/>
      <w:bCs/>
      <w:i w:val="0"/>
      <w:iCs w:val="0"/>
    </w:rPr>
  </w:style>
  <w:style w:type="character" w:customStyle="1" w:styleId="hps">
    <w:name w:val="hps"/>
    <w:basedOn w:val="VarsaylanParagrafYazTipi"/>
    <w:rsid w:val="00622F23"/>
  </w:style>
  <w:style w:type="character" w:customStyle="1" w:styleId="st1">
    <w:name w:val="st1"/>
    <w:basedOn w:val="VarsaylanParagrafYazTipi"/>
    <w:rsid w:val="00622F23"/>
  </w:style>
  <w:style w:type="paragraph" w:customStyle="1" w:styleId="metinnn">
    <w:name w:val="metinnn"/>
    <w:basedOn w:val="ListeParagraf"/>
    <w:qFormat/>
    <w:rsid w:val="00622F23"/>
    <w:pPr>
      <w:shd w:val="clear" w:color="auto" w:fill="FFFFFF"/>
      <w:tabs>
        <w:tab w:val="left" w:pos="426"/>
      </w:tabs>
      <w:spacing w:after="0" w:line="360" w:lineRule="auto"/>
      <w:ind w:left="0" w:firstLine="709"/>
      <w:jc w:val="both"/>
    </w:pPr>
    <w:rPr>
      <w:rFonts w:ascii="Times New Roman" w:hAnsi="Times New Roman"/>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yperlink" Target="https://www.ncbi.nlm.nih.gov/pubmed/17326582" TargetMode="Externa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yperlink" Target="https://www.ncbi.nlm.nih.gov/pubmed/24299250" TargetMode="External"/><Relationship Id="rId47" Type="http://schemas.openxmlformats.org/officeDocument/2006/relationships/hyperlink" Target="https://www.ncbi.nlm.nih.gov/pubmed/16887238"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footer" Target="footer10.xml"/><Relationship Id="rId37" Type="http://schemas.openxmlformats.org/officeDocument/2006/relationships/hyperlink" Target="https://www.ncbi.nlm.nih.gov/pubmed/16115512" TargetMode="External"/><Relationship Id="rId40" Type="http://schemas.openxmlformats.org/officeDocument/2006/relationships/hyperlink" Target="https://www.ncbi.nlm.nih.gov/pubmed/19269071" TargetMode="External"/><Relationship Id="rId45" Type="http://schemas.openxmlformats.org/officeDocument/2006/relationships/hyperlink" Target="https://www.ncbi.nlm.nih.gov/pubmed/24666351"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s://www.ncbi.nlm.nih.gov/pubmed/18314229" TargetMode="Externa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yperlink" Target="https://www.ncbi.nlm.nih.gov/pubmed/2337939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yperlink" Target="https://www.ncbi.nlm.nih.gov/pubmed/8514938" TargetMode="External"/><Relationship Id="rId43" Type="http://schemas.openxmlformats.org/officeDocument/2006/relationships/hyperlink" Target="https://www.ncbi.nlm.nih.gov/pubmed/24299250"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ncbi.nlm.nih.gov/pubmed/27747874" TargetMode="Externa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yperlink" Target="https://www.ncbi.nlm.nih.gov/pubmed/8830131" TargetMode="External"/><Relationship Id="rId46" Type="http://schemas.openxmlformats.org/officeDocument/2006/relationships/hyperlink" Target="https://www.ncbi.nlm.nih.gov/pubmed/23247678" TargetMode="External"/><Relationship Id="rId20" Type="http://schemas.openxmlformats.org/officeDocument/2006/relationships/header" Target="header9.xml"/><Relationship Id="rId41" Type="http://schemas.openxmlformats.org/officeDocument/2006/relationships/hyperlink" Target="https://www.ncbi.nlm.nih.gov/pubmed/20392548"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C8-4D82-B74C-448476561F6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C8-4D82-B74C-448476561F67}"/>
              </c:ext>
            </c:extLst>
          </c:dPt>
          <c:dLbls>
            <c:spPr>
              <a:noFill/>
              <a:ln>
                <a:noFill/>
              </a:ln>
              <a:effectLst/>
            </c:sp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Sayfa1!$A$2:$A$3</c:f>
              <c:strCache>
                <c:ptCount val="2"/>
                <c:pt idx="0">
                  <c:v>Yatan Hastalara Verilen Fizyoterapi Hizmeti (n=277)</c:v>
                </c:pt>
                <c:pt idx="1">
                  <c:v>Dış Hastalara Verilen Fizyoterapi Hizmeti (n=231)</c:v>
                </c:pt>
              </c:strCache>
            </c:strRef>
          </c:cat>
          <c:val>
            <c:numRef>
              <c:f>Sayfa1!$B$2:$B$3</c:f>
              <c:numCache>
                <c:formatCode>0.00%</c:formatCode>
                <c:ptCount val="2"/>
                <c:pt idx="0">
                  <c:v>0.54500000000000004</c:v>
                </c:pt>
                <c:pt idx="1">
                  <c:v>0.45500000000000002</c:v>
                </c:pt>
              </c:numCache>
            </c:numRef>
          </c:val>
          <c:extLst>
            <c:ext xmlns:c16="http://schemas.microsoft.com/office/drawing/2014/chart" uri="{C3380CC4-5D6E-409C-BE32-E72D297353CC}">
              <c16:uniqueId val="{00000004-5EC8-4D82-B74C-448476561F67}"/>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22898</Words>
  <Characters>130524</Characters>
  <Application>Microsoft Office Word</Application>
  <DocSecurity>0</DocSecurity>
  <Lines>1087</Lines>
  <Paragraphs>306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Depo</dc:creator>
  <cp:keywords/>
  <dc:description/>
  <cp:lastModifiedBy>Gazi Depo</cp:lastModifiedBy>
  <cp:revision>3</cp:revision>
  <dcterms:created xsi:type="dcterms:W3CDTF">2017-08-07T13:34:00Z</dcterms:created>
  <dcterms:modified xsi:type="dcterms:W3CDTF">2017-08-09T12:03:00Z</dcterms:modified>
</cp:coreProperties>
</file>