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3C" w:rsidRPr="00C66127" w:rsidRDefault="00F60E3C" w:rsidP="00F60E3C">
      <w:pPr>
        <w:jc w:val="center"/>
        <w:rPr>
          <w:rFonts w:ascii="Gentium Plus" w:eastAsia="Calibri" w:hAnsi="Gentium Plus" w:cs="Gentium Plus"/>
          <w:b/>
          <w:bCs/>
          <w:sz w:val="20"/>
          <w:szCs w:val="20"/>
        </w:rPr>
      </w:pPr>
      <w:r w:rsidRPr="00C66127">
        <w:rPr>
          <w:rFonts w:ascii="Gentium Plus" w:eastAsia="Calibri" w:hAnsi="Gentium Plus" w:cs="Gentium Plus"/>
          <w:b/>
          <w:bCs/>
          <w:sz w:val="20"/>
          <w:szCs w:val="20"/>
        </w:rPr>
        <w:t>MAKALE YAZIM ŞABLONU</w:t>
      </w:r>
    </w:p>
    <w:p w:rsidR="00F60E3C" w:rsidRPr="006A70D6" w:rsidRDefault="00F60E3C" w:rsidP="00F60E3C">
      <w:pPr>
        <w:rPr>
          <w:rFonts w:ascii="Gentium Plus" w:eastAsia="Calibri" w:hAnsi="Gentium Plus" w:cs="Gentium Plus"/>
          <w:b/>
          <w:bCs/>
          <w:color w:val="FF0000"/>
          <w:sz w:val="18"/>
          <w:szCs w:val="18"/>
        </w:rPr>
      </w:pPr>
      <w:r w:rsidRPr="006A70D6">
        <w:rPr>
          <w:rFonts w:ascii="Gentium Plus" w:eastAsia="Calibri" w:hAnsi="Gentium Plus" w:cs="Gentium Plus"/>
          <w:b/>
          <w:bCs/>
          <w:color w:val="FF0000"/>
          <w:sz w:val="18"/>
          <w:szCs w:val="18"/>
        </w:rPr>
        <w:t>AÇIKLAMALAR:</w:t>
      </w:r>
    </w:p>
    <w:p w:rsidR="00EB0661" w:rsidRPr="006A70D6" w:rsidRDefault="00F60E3C" w:rsidP="00EB0661">
      <w:pPr>
        <w:rPr>
          <w:rFonts w:ascii="Gentium Plus" w:eastAsia="Calibri" w:hAnsi="Gentium Plus" w:cs="Gentium Plus"/>
          <w:color w:val="FF0000"/>
          <w:sz w:val="18"/>
          <w:szCs w:val="18"/>
        </w:rPr>
      </w:pPr>
      <w:r w:rsidRPr="006A70D6">
        <w:rPr>
          <w:rFonts w:ascii="Gentium Plus" w:eastAsia="Calibri" w:hAnsi="Gentium Plus" w:cs="Gentium Plus"/>
          <w:color w:val="FF0000"/>
          <w:sz w:val="18"/>
          <w:szCs w:val="18"/>
        </w:rPr>
        <w:t xml:space="preserve">Metin: </w:t>
      </w:r>
      <w:proofErr w:type="spellStart"/>
      <w:r w:rsidRPr="006A70D6">
        <w:rPr>
          <w:rFonts w:ascii="Gentium Plus" w:eastAsia="Calibri" w:hAnsi="Gentium Plus" w:cs="Gentium Plus"/>
          <w:color w:val="FF0000"/>
          <w:sz w:val="18"/>
          <w:szCs w:val="18"/>
        </w:rPr>
        <w:t>Gentium</w:t>
      </w:r>
      <w:proofErr w:type="spellEnd"/>
      <w:r w:rsidRPr="006A70D6">
        <w:rPr>
          <w:rFonts w:ascii="Gentium Plus" w:eastAsia="Calibri" w:hAnsi="Gentium Plus" w:cs="Gentium Plus"/>
          <w:color w:val="FF0000"/>
          <w:sz w:val="18"/>
          <w:szCs w:val="18"/>
        </w:rPr>
        <w:t xml:space="preserve"> Plus, </w:t>
      </w:r>
      <w:r w:rsidRPr="006A70D6">
        <w:rPr>
          <w:rFonts w:ascii="Gentium Plus" w:eastAsia="MP TNR Trans" w:hAnsi="Gentium Plus" w:cs="Gentium Plus"/>
          <w:color w:val="FF0000"/>
          <w:sz w:val="18"/>
          <w:szCs w:val="18"/>
        </w:rPr>
        <w:t>1</w:t>
      </w:r>
      <w:r>
        <w:rPr>
          <w:rFonts w:ascii="Gentium Plus" w:eastAsia="MP TNR Trans" w:hAnsi="Gentium Plus" w:cs="Gentium Plus"/>
          <w:color w:val="FF0000"/>
          <w:sz w:val="18"/>
          <w:szCs w:val="18"/>
        </w:rPr>
        <w:t>1</w:t>
      </w:r>
      <w:r w:rsidRPr="006A70D6">
        <w:rPr>
          <w:rFonts w:ascii="Gentium Plus" w:eastAsia="MP TNR Trans" w:hAnsi="Gentium Plus" w:cs="Gentium Plus"/>
          <w:color w:val="FF0000"/>
          <w:sz w:val="18"/>
          <w:szCs w:val="18"/>
        </w:rPr>
        <w:t xml:space="preserve"> punto.</w:t>
      </w:r>
      <w:r w:rsidR="00EB0661">
        <w:rPr>
          <w:rFonts w:ascii="Gentium Plus" w:eastAsia="MP TNR Trans" w:hAnsi="Gentium Plus" w:cs="Gentium Plus"/>
          <w:color w:val="FF0000"/>
          <w:sz w:val="18"/>
          <w:szCs w:val="18"/>
        </w:rPr>
        <w:t xml:space="preserve"> </w:t>
      </w:r>
      <w:r w:rsidR="00EB0661" w:rsidRPr="006A70D6">
        <w:rPr>
          <w:rFonts w:ascii="Gentium Plus" w:eastAsia="MP TNR Trans" w:hAnsi="Gentium Plus" w:cs="Gentium Plus"/>
          <w:color w:val="FF0000"/>
          <w:sz w:val="18"/>
          <w:szCs w:val="18"/>
        </w:rPr>
        <w:t>Paragraf Başı: 1 cm içerden</w:t>
      </w:r>
    </w:p>
    <w:p w:rsidR="00F60E3C" w:rsidRPr="00C07D7D" w:rsidRDefault="00F60E3C" w:rsidP="00F60E3C">
      <w:pPr>
        <w:rPr>
          <w:rFonts w:ascii="Gentium Plus" w:eastAsia="Calibri" w:hAnsi="Gentium Plus" w:cs="Gentium Plus"/>
          <w:sz w:val="18"/>
          <w:szCs w:val="18"/>
        </w:rPr>
      </w:pPr>
      <w:r>
        <w:rPr>
          <w:noProof/>
          <w:lang w:eastAsia="tr-TR"/>
        </w:rPr>
        <w:drawing>
          <wp:inline distT="0" distB="0" distL="0" distR="0" wp14:anchorId="7B8D5EAD" wp14:editId="79760855">
            <wp:extent cx="3811816" cy="26574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5050" cy="2666701"/>
                    </a:xfrm>
                    <a:prstGeom prst="rect">
                      <a:avLst/>
                    </a:prstGeom>
                    <a:noFill/>
                    <a:ln>
                      <a:noFill/>
                    </a:ln>
                  </pic:spPr>
                </pic:pic>
              </a:graphicData>
            </a:graphic>
          </wp:inline>
        </w:drawing>
      </w:r>
    </w:p>
    <w:p w:rsidR="00F60E3C" w:rsidRDefault="00F60E3C" w:rsidP="00F60E3C">
      <w:pPr>
        <w:rPr>
          <w:rFonts w:ascii="Gentium Plus" w:eastAsia="Calibri" w:hAnsi="Gentium Plus" w:cs="Gentium Plus"/>
          <w:sz w:val="18"/>
          <w:szCs w:val="18"/>
        </w:rPr>
      </w:pPr>
    </w:p>
    <w:p w:rsidR="00F60E3C" w:rsidRPr="006A70D6" w:rsidRDefault="00F60E3C" w:rsidP="00EB0661">
      <w:pPr>
        <w:rPr>
          <w:rFonts w:ascii="Gentium Plus" w:eastAsia="Calibri" w:hAnsi="Gentium Plus" w:cs="Gentium Plus"/>
          <w:color w:val="FF0000"/>
          <w:sz w:val="18"/>
          <w:szCs w:val="18"/>
        </w:rPr>
      </w:pPr>
      <w:r w:rsidRPr="006A70D6">
        <w:rPr>
          <w:rFonts w:ascii="Gentium Plus" w:eastAsia="Calibri" w:hAnsi="Gentium Plus" w:cs="Gentium Plus"/>
          <w:color w:val="FF0000"/>
          <w:sz w:val="18"/>
          <w:szCs w:val="18"/>
        </w:rPr>
        <w:t xml:space="preserve">Dipnotlar: </w:t>
      </w:r>
      <w:proofErr w:type="spellStart"/>
      <w:r w:rsidRPr="006A70D6">
        <w:rPr>
          <w:rFonts w:ascii="Gentium Plus" w:eastAsia="Calibri" w:hAnsi="Gentium Plus" w:cs="Gentium Plus"/>
          <w:color w:val="FF0000"/>
          <w:sz w:val="18"/>
          <w:szCs w:val="18"/>
        </w:rPr>
        <w:t>Gentium</w:t>
      </w:r>
      <w:proofErr w:type="spellEnd"/>
      <w:r w:rsidRPr="006A70D6">
        <w:rPr>
          <w:rFonts w:ascii="Gentium Plus" w:eastAsia="Calibri" w:hAnsi="Gentium Plus" w:cs="Gentium Plus"/>
          <w:color w:val="FF0000"/>
          <w:sz w:val="18"/>
          <w:szCs w:val="18"/>
        </w:rPr>
        <w:t xml:space="preserve"> Plus, </w:t>
      </w:r>
      <w:r w:rsidR="00EB0661">
        <w:rPr>
          <w:rFonts w:ascii="Gentium Plus" w:eastAsia="Calibri" w:hAnsi="Gentium Plus" w:cs="Gentium Plus"/>
          <w:color w:val="FF0000"/>
          <w:sz w:val="18"/>
          <w:szCs w:val="18"/>
        </w:rPr>
        <w:t>9</w:t>
      </w:r>
      <w:r w:rsidRPr="006A70D6">
        <w:rPr>
          <w:rFonts w:ascii="Gentium Plus" w:eastAsia="Calibri" w:hAnsi="Gentium Plus" w:cs="Gentium Plus"/>
          <w:color w:val="FF0000"/>
          <w:sz w:val="18"/>
          <w:szCs w:val="18"/>
        </w:rPr>
        <w:t xml:space="preserve"> punto, tek sat</w:t>
      </w:r>
      <w:r w:rsidRPr="006A70D6">
        <w:rPr>
          <w:rFonts w:ascii="Gentium Plus" w:eastAsia="MP TNR Trans" w:hAnsi="Gentium Plus" w:cs="Gentium Plus"/>
          <w:color w:val="FF0000"/>
          <w:sz w:val="18"/>
          <w:szCs w:val="18"/>
        </w:rPr>
        <w:t>ır aralığı.</w:t>
      </w:r>
    </w:p>
    <w:p w:rsidR="00F60E3C" w:rsidRPr="006A70D6" w:rsidRDefault="00F60E3C" w:rsidP="00EB0661">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Dipnotlar: 0,</w:t>
      </w:r>
      <w:r w:rsidR="00EB0661">
        <w:rPr>
          <w:rFonts w:ascii="Gentium Plus" w:eastAsia="MP TNR Trans" w:hAnsi="Gentium Plus" w:cs="Gentium Plus"/>
          <w:color w:val="FF0000"/>
          <w:sz w:val="18"/>
          <w:szCs w:val="18"/>
        </w:rPr>
        <w:t>4</w:t>
      </w:r>
      <w:r w:rsidRPr="006A70D6">
        <w:rPr>
          <w:rFonts w:ascii="Gentium Plus" w:eastAsia="MP TNR Trans" w:hAnsi="Gentium Plus" w:cs="Gentium Plus"/>
          <w:color w:val="FF0000"/>
          <w:sz w:val="18"/>
          <w:szCs w:val="18"/>
        </w:rPr>
        <w:t xml:space="preserve"> cm asılı</w:t>
      </w:r>
    </w:p>
    <w:p w:rsidR="00F60E3C" w:rsidRPr="00C07D7D" w:rsidRDefault="00EB0661" w:rsidP="00F60E3C">
      <w:pPr>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extent cx="3811270" cy="2704504"/>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058" cy="2720674"/>
                    </a:xfrm>
                    <a:prstGeom prst="rect">
                      <a:avLst/>
                    </a:prstGeom>
                    <a:noFill/>
                    <a:ln>
                      <a:noFill/>
                    </a:ln>
                  </pic:spPr>
                </pic:pic>
              </a:graphicData>
            </a:graphic>
          </wp:inline>
        </w:drawing>
      </w:r>
    </w:p>
    <w:p w:rsidR="00F60E3C" w:rsidRPr="00D056C0" w:rsidRDefault="00F60E3C" w:rsidP="00D056C0">
      <w:pPr>
        <w:rPr>
          <w:rStyle w:val="Kpr"/>
          <w:rFonts w:ascii="Gentium Plus" w:eastAsia="MP TNR Trans" w:hAnsi="Gentium Plus" w:cs="Gentium Plus"/>
          <w:color w:val="0070C0"/>
          <w:sz w:val="18"/>
          <w:szCs w:val="18"/>
        </w:rPr>
      </w:pPr>
      <w:r w:rsidRPr="006A70D6">
        <w:rPr>
          <w:rFonts w:ascii="Gentium Plus" w:eastAsia="MP TNR Trans" w:hAnsi="Gentium Plus" w:cs="Gentium Plus"/>
          <w:color w:val="FF0000"/>
          <w:sz w:val="18"/>
          <w:szCs w:val="18"/>
        </w:rPr>
        <w:t xml:space="preserve">Dipnot ve kaynakça yazımında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kullanılmalıdır: </w:t>
      </w:r>
      <w:hyperlink r:id="rId8" w:history="1">
        <w:r w:rsidR="00D056C0" w:rsidRPr="00D056C0">
          <w:rPr>
            <w:rStyle w:val="Kpr"/>
            <w:rFonts w:ascii="Gentium Plus" w:hAnsi="Gentium Plus" w:cs="Gentium Plus"/>
            <w:sz w:val="18"/>
            <w:szCs w:val="18"/>
          </w:rPr>
          <w:t>https://www.isnadsistemi.org/section/isnad2/</w:t>
        </w:r>
      </w:hyperlink>
    </w:p>
    <w:p w:rsidR="00EB0661" w:rsidRDefault="00EB0661" w:rsidP="00EB0661">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w:t>
      </w:r>
      <w:proofErr w:type="spellStart"/>
      <w:r w:rsidRPr="006A70D6">
        <w:rPr>
          <w:rFonts w:ascii="Gentium Plus" w:eastAsia="MP TNR Trans" w:hAnsi="Gentium Plus" w:cs="Gentium Plus"/>
          <w:color w:val="FF0000"/>
          <w:sz w:val="18"/>
          <w:szCs w:val="18"/>
        </w:rPr>
        <w:t>Gentium</w:t>
      </w:r>
      <w:proofErr w:type="spellEnd"/>
      <w:r w:rsidRPr="006A70D6">
        <w:rPr>
          <w:rFonts w:ascii="Gentium Plus" w:eastAsia="MP TNR Trans" w:hAnsi="Gentium Plus" w:cs="Gentium Plus"/>
          <w:color w:val="FF0000"/>
          <w:sz w:val="18"/>
          <w:szCs w:val="18"/>
        </w:rPr>
        <w:t xml:space="preserve"> Plus yazı tipi dosyası,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web </w:t>
      </w:r>
      <w:proofErr w:type="spellStart"/>
      <w:r w:rsidRPr="006A70D6">
        <w:rPr>
          <w:rFonts w:ascii="Gentium Plus" w:eastAsia="MP TNR Trans" w:hAnsi="Gentium Plus" w:cs="Gentium Plus"/>
          <w:color w:val="FF0000"/>
          <w:sz w:val="18"/>
          <w:szCs w:val="18"/>
        </w:rPr>
        <w:t>sayfasıdan</w:t>
      </w:r>
      <w:proofErr w:type="spellEnd"/>
      <w:r w:rsidRPr="006A70D6">
        <w:rPr>
          <w:rFonts w:ascii="Gentium Plus" w:eastAsia="MP TNR Trans" w:hAnsi="Gentium Plus" w:cs="Gentium Plus"/>
          <w:color w:val="FF0000"/>
          <w:sz w:val="18"/>
          <w:szCs w:val="18"/>
        </w:rPr>
        <w:t xml:space="preserve"> indirilebilir</w:t>
      </w:r>
      <w:r>
        <w:rPr>
          <w:rFonts w:ascii="Gentium Plus" w:eastAsia="MP TNR Trans" w:hAnsi="Gentium Plus" w:cs="Gentium Plus"/>
          <w:color w:val="FF0000"/>
          <w:sz w:val="18"/>
          <w:szCs w:val="18"/>
        </w:rPr>
        <w:t xml:space="preserve">: </w:t>
      </w:r>
      <w:hyperlink r:id="rId9" w:history="1">
        <w:r w:rsidRPr="00972E2D">
          <w:rPr>
            <w:rStyle w:val="Kpr"/>
            <w:rFonts w:ascii="Gentium Plus" w:eastAsia="MP TNR Trans" w:hAnsi="Gentium Plus" w:cs="Gentium Plus"/>
            <w:sz w:val="18"/>
            <w:szCs w:val="18"/>
          </w:rPr>
          <w:t>http://www.isnadsistemi.org/indirmeler/</w:t>
        </w:r>
      </w:hyperlink>
    </w:p>
    <w:p w:rsidR="00EB0661" w:rsidRDefault="00EB0661" w:rsidP="00F60E3C">
      <w:pPr>
        <w:rPr>
          <w:rStyle w:val="Kpr"/>
          <w:rFonts w:ascii="Gentium Plus" w:eastAsia="MP TNR Trans" w:hAnsi="Gentium Plus" w:cs="Gentium Plus"/>
          <w:color w:val="FF0000"/>
          <w:sz w:val="18"/>
          <w:szCs w:val="18"/>
        </w:rPr>
      </w:pPr>
    </w:p>
    <w:p w:rsidR="00D056C0" w:rsidRDefault="00D056C0" w:rsidP="00F60E3C">
      <w:pPr>
        <w:rPr>
          <w:rStyle w:val="Kpr"/>
          <w:rFonts w:ascii="Gentium Plus" w:eastAsia="MP TNR Trans" w:hAnsi="Gentium Plus" w:cs="Gentium Plus"/>
          <w:color w:val="FF0000"/>
          <w:sz w:val="18"/>
          <w:szCs w:val="18"/>
        </w:rPr>
      </w:pPr>
    </w:p>
    <w:p w:rsidR="00D056C0" w:rsidRDefault="00D056C0" w:rsidP="00F60E3C">
      <w:pPr>
        <w:rPr>
          <w:rStyle w:val="Kpr"/>
          <w:rFonts w:ascii="Gentium Plus" w:eastAsia="MP TNR Trans" w:hAnsi="Gentium Plus" w:cs="Gentium Plus"/>
          <w:color w:val="FF0000"/>
          <w:sz w:val="18"/>
          <w:szCs w:val="18"/>
        </w:rPr>
      </w:pPr>
    </w:p>
    <w:p w:rsidR="00F60E3C" w:rsidRDefault="00F60E3C" w:rsidP="00D056C0">
      <w:pPr>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lastRenderedPageBreak/>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(T</w:t>
      </w:r>
      <w:r w:rsidR="00D056C0">
        <w:rPr>
          <w:rFonts w:ascii="Gentium Plus" w:eastAsia="MP TNR Trans" w:hAnsi="Gentium Plus" w:cs="Gentium Plus"/>
          <w:b/>
          <w:bCs/>
          <w:color w:val="FF0000"/>
          <w:sz w:val="20"/>
          <w:szCs w:val="20"/>
        </w:rPr>
        <w:t>ürkçe Başlık)</w:t>
      </w:r>
    </w:p>
    <w:p w:rsidR="00D056C0" w:rsidRDefault="00D056C0" w:rsidP="00D056C0">
      <w:pPr>
        <w:spacing w:before="60" w:after="60"/>
        <w:jc w:val="center"/>
        <w:outlineLvl w:val="0"/>
        <w:rPr>
          <w:rFonts w:ascii="Gentium Plus" w:eastAsia="MP TNR Trans" w:hAnsi="Gentium Plus" w:cs="Gentium Plus"/>
          <w:color w:val="FF0000"/>
          <w:sz w:val="20"/>
          <w:szCs w:val="20"/>
        </w:rPr>
      </w:pPr>
    </w:p>
    <w:p w:rsidR="00F60E3C" w:rsidRPr="00C66127" w:rsidRDefault="00F60E3C" w:rsidP="00F60E3C">
      <w:pPr>
        <w:jc w:val="center"/>
        <w:rPr>
          <w:rFonts w:ascii="Gentium Plus" w:hAnsi="Gentium Plus" w:cs="Gentium Plus"/>
          <w:b/>
          <w:bCs/>
          <w:sz w:val="20"/>
          <w:szCs w:val="20"/>
        </w:rPr>
      </w:pPr>
      <w:r w:rsidRPr="00C66127">
        <w:rPr>
          <w:rFonts w:ascii="Gentium Plus" w:eastAsia="Calibri" w:hAnsi="Gentium Plus" w:cs="Gentium Plus"/>
          <w:b/>
          <w:bCs/>
          <w:sz w:val="20"/>
          <w:szCs w:val="20"/>
        </w:rPr>
        <w:t>Ad</w:t>
      </w:r>
      <w:r w:rsidRPr="00C66127">
        <w:rPr>
          <w:rFonts w:ascii="Gentium Plus" w:eastAsia="MP TNR Trans" w:hAnsi="Gentium Plus" w:cs="Gentium Plus"/>
          <w:b/>
          <w:bCs/>
          <w:sz w:val="20"/>
          <w:szCs w:val="20"/>
        </w:rPr>
        <w:t xml:space="preserve"> </w:t>
      </w:r>
      <w:proofErr w:type="spellStart"/>
      <w:r w:rsidRPr="00C66127">
        <w:rPr>
          <w:rFonts w:ascii="Gentium Plus" w:eastAsia="MP TNR Trans" w:hAnsi="Gentium Plus" w:cs="Gentium Plus"/>
          <w:b/>
          <w:bCs/>
          <w:sz w:val="20"/>
          <w:szCs w:val="20"/>
        </w:rPr>
        <w:t>Soyad</w:t>
      </w:r>
      <w:proofErr w:type="spellEnd"/>
    </w:p>
    <w:p w:rsidR="00D056C0" w:rsidRPr="00D056C0" w:rsidRDefault="00D056C0" w:rsidP="00D056C0">
      <w:pPr>
        <w:widowControl w:val="0"/>
        <w:adjustRightInd w:val="0"/>
        <w:spacing w:after="0" w:line="240" w:lineRule="auto"/>
        <w:jc w:val="center"/>
        <w:rPr>
          <w:rFonts w:ascii="Gentium Plus" w:hAnsi="Gentium Plus" w:cs="Gentium Plus"/>
          <w:sz w:val="20"/>
          <w:szCs w:val="20"/>
        </w:rPr>
      </w:pPr>
      <w:r w:rsidRPr="00D056C0">
        <w:rPr>
          <w:rFonts w:ascii="Gentium Plus" w:hAnsi="Gentium Plus" w:cs="Gentium Plus"/>
          <w:sz w:val="20"/>
          <w:szCs w:val="20"/>
        </w:rPr>
        <w:t>Doç. Dr</w:t>
      </w:r>
      <w:proofErr w:type="gramStart"/>
      <w:r w:rsidRPr="00D056C0">
        <w:rPr>
          <w:rFonts w:ascii="Gentium Plus" w:hAnsi="Gentium Plus" w:cs="Gentium Plus"/>
          <w:sz w:val="20"/>
          <w:szCs w:val="20"/>
        </w:rPr>
        <w:t>.,</w:t>
      </w:r>
      <w:proofErr w:type="gramEnd"/>
      <w:r w:rsidRPr="00D056C0">
        <w:rPr>
          <w:rFonts w:ascii="Gentium Plus" w:hAnsi="Gentium Plus" w:cs="Gentium Plus"/>
          <w:sz w:val="20"/>
          <w:szCs w:val="20"/>
        </w:rPr>
        <w:t xml:space="preserve"> İnönü Üniversitesi İlahiyat Fakültesi, Malatya/Türkiye</w:t>
      </w:r>
    </w:p>
    <w:p w:rsidR="00D056C0" w:rsidRPr="00D056C0" w:rsidRDefault="00D056C0" w:rsidP="00D056C0">
      <w:pPr>
        <w:widowControl w:val="0"/>
        <w:adjustRightInd w:val="0"/>
        <w:spacing w:after="0" w:line="240" w:lineRule="auto"/>
        <w:jc w:val="center"/>
        <w:rPr>
          <w:rFonts w:ascii="Gentium Plus" w:hAnsi="Gentium Plus" w:cs="Gentium Plus"/>
          <w:sz w:val="20"/>
          <w:szCs w:val="20"/>
        </w:rPr>
      </w:pPr>
      <w:proofErr w:type="spellStart"/>
      <w:r w:rsidRPr="00D056C0">
        <w:rPr>
          <w:rFonts w:ascii="Gentium Plus" w:hAnsi="Gentium Plus" w:cs="Gentium Plus"/>
          <w:sz w:val="20"/>
          <w:szCs w:val="20"/>
        </w:rPr>
        <w:t>Assoc</w:t>
      </w:r>
      <w:proofErr w:type="spellEnd"/>
      <w:r w:rsidRPr="00D056C0">
        <w:rPr>
          <w:rFonts w:ascii="Gentium Plus" w:hAnsi="Gentium Plus" w:cs="Gentium Plus"/>
          <w:sz w:val="20"/>
          <w:szCs w:val="20"/>
        </w:rPr>
        <w:t>. Prof. Dr</w:t>
      </w:r>
      <w:proofErr w:type="gramStart"/>
      <w:r w:rsidRPr="00D056C0">
        <w:rPr>
          <w:rFonts w:ascii="Gentium Plus" w:hAnsi="Gentium Plus" w:cs="Gentium Plus"/>
          <w:sz w:val="20"/>
          <w:szCs w:val="20"/>
        </w:rPr>
        <w:t>.,</w:t>
      </w:r>
      <w:proofErr w:type="gramEnd"/>
      <w:r w:rsidRPr="00D056C0">
        <w:rPr>
          <w:rFonts w:ascii="Gentium Plus" w:hAnsi="Gentium Plus" w:cs="Gentium Plus"/>
          <w:sz w:val="20"/>
          <w:szCs w:val="20"/>
        </w:rPr>
        <w:t xml:space="preserve"> </w:t>
      </w:r>
      <w:proofErr w:type="spellStart"/>
      <w:r w:rsidRPr="00D056C0">
        <w:rPr>
          <w:rFonts w:ascii="Gentium Plus" w:hAnsi="Gentium Plus" w:cs="Gentium Plus"/>
          <w:sz w:val="20"/>
          <w:szCs w:val="20"/>
        </w:rPr>
        <w:t>Inonu</w:t>
      </w:r>
      <w:proofErr w:type="spellEnd"/>
      <w:r w:rsidRPr="00D056C0">
        <w:rPr>
          <w:rFonts w:ascii="Gentium Plus" w:hAnsi="Gentium Plus" w:cs="Gentium Plus"/>
          <w:sz w:val="20"/>
          <w:szCs w:val="20"/>
        </w:rPr>
        <w:t xml:space="preserve"> </w:t>
      </w:r>
      <w:proofErr w:type="spellStart"/>
      <w:r w:rsidRPr="00D056C0">
        <w:rPr>
          <w:rFonts w:ascii="Gentium Plus" w:hAnsi="Gentium Plus" w:cs="Gentium Plus"/>
          <w:sz w:val="20"/>
          <w:szCs w:val="20"/>
        </w:rPr>
        <w:t>University</w:t>
      </w:r>
      <w:proofErr w:type="spellEnd"/>
      <w:r w:rsidRPr="00D056C0">
        <w:rPr>
          <w:rFonts w:ascii="Gentium Plus" w:hAnsi="Gentium Plus" w:cs="Gentium Plus"/>
          <w:sz w:val="20"/>
          <w:szCs w:val="20"/>
        </w:rPr>
        <w:t xml:space="preserve">, </w:t>
      </w:r>
      <w:proofErr w:type="spellStart"/>
      <w:r w:rsidRPr="00D056C0">
        <w:rPr>
          <w:rFonts w:ascii="Gentium Plus" w:hAnsi="Gentium Plus" w:cs="Gentium Plus"/>
          <w:sz w:val="20"/>
          <w:szCs w:val="20"/>
        </w:rPr>
        <w:t>Faculty</w:t>
      </w:r>
      <w:proofErr w:type="spellEnd"/>
      <w:r w:rsidRPr="00D056C0">
        <w:rPr>
          <w:rFonts w:ascii="Gentium Plus" w:hAnsi="Gentium Plus" w:cs="Gentium Plus"/>
          <w:sz w:val="20"/>
          <w:szCs w:val="20"/>
        </w:rPr>
        <w:t xml:space="preserve"> of </w:t>
      </w:r>
      <w:proofErr w:type="spellStart"/>
      <w:r w:rsidRPr="00D056C0">
        <w:rPr>
          <w:rFonts w:ascii="Gentium Plus" w:hAnsi="Gentium Plus" w:cs="Gentium Plus"/>
          <w:sz w:val="20"/>
          <w:szCs w:val="20"/>
        </w:rPr>
        <w:t>Theology</w:t>
      </w:r>
      <w:proofErr w:type="spellEnd"/>
      <w:r w:rsidRPr="00D056C0">
        <w:rPr>
          <w:rFonts w:ascii="Gentium Plus" w:hAnsi="Gentium Plus" w:cs="Gentium Plus"/>
          <w:sz w:val="20"/>
          <w:szCs w:val="20"/>
        </w:rPr>
        <w:t>, Malatya/</w:t>
      </w:r>
      <w:proofErr w:type="spellStart"/>
      <w:r w:rsidRPr="00D056C0">
        <w:rPr>
          <w:rFonts w:ascii="Gentium Plus" w:hAnsi="Gentium Plus" w:cs="Gentium Plus"/>
          <w:sz w:val="20"/>
          <w:szCs w:val="20"/>
        </w:rPr>
        <w:t>Turkey</w:t>
      </w:r>
      <w:proofErr w:type="spellEnd"/>
    </w:p>
    <w:p w:rsidR="00D056C0" w:rsidRPr="00D056C0" w:rsidRDefault="00D056C0" w:rsidP="00D056C0">
      <w:pPr>
        <w:widowControl w:val="0"/>
        <w:adjustRightInd w:val="0"/>
        <w:spacing w:after="0" w:line="240" w:lineRule="auto"/>
        <w:jc w:val="center"/>
        <w:rPr>
          <w:rFonts w:ascii="Gentium Plus" w:hAnsi="Gentium Plus" w:cs="Gentium Plus"/>
          <w:sz w:val="20"/>
          <w:szCs w:val="20"/>
          <w:rtl/>
        </w:rPr>
      </w:pPr>
      <w:r w:rsidRPr="00D056C0">
        <w:rPr>
          <w:rFonts w:ascii="Gentium Plus" w:hAnsi="Gentium Plus" w:cs="Gentium Plus"/>
          <w:sz w:val="20"/>
          <w:szCs w:val="20"/>
        </w:rPr>
        <w:t>veysel.ozdemir@inonu.edu.tr</w:t>
      </w:r>
    </w:p>
    <w:p w:rsidR="00D056C0" w:rsidRPr="00D056C0" w:rsidRDefault="00D056C0" w:rsidP="00D056C0">
      <w:pPr>
        <w:widowControl w:val="0"/>
        <w:adjustRightInd w:val="0"/>
        <w:spacing w:after="0" w:line="240" w:lineRule="auto"/>
        <w:jc w:val="center"/>
        <w:rPr>
          <w:rFonts w:ascii="Gentium Plus" w:hAnsi="Gentium Plus" w:cs="Gentium Plus"/>
          <w:sz w:val="20"/>
          <w:szCs w:val="20"/>
          <w:bdr w:val="none" w:sz="0" w:space="0" w:color="auto" w:frame="1"/>
          <w:shd w:val="clear" w:color="auto" w:fill="FFFFFF"/>
        </w:rPr>
      </w:pPr>
      <w:r w:rsidRPr="00D056C0">
        <w:rPr>
          <w:rFonts w:ascii="Gentium Plus" w:hAnsi="Gentium Plus" w:cs="Gentium Plus"/>
          <w:sz w:val="20"/>
          <w:szCs w:val="20"/>
          <w:bdr w:val="none" w:sz="0" w:space="0" w:color="auto" w:frame="1"/>
          <w:shd w:val="clear" w:color="auto" w:fill="FFFFFF"/>
        </w:rPr>
        <w:t>ORCID ID: https://orcid.org/0000-0001-6324-0675</w:t>
      </w:r>
    </w:p>
    <w:p w:rsidR="00D056C0" w:rsidRPr="00C66127" w:rsidRDefault="00D056C0" w:rsidP="00F60E3C">
      <w:pPr>
        <w:jc w:val="center"/>
        <w:rPr>
          <w:rFonts w:ascii="Gentium Plus" w:hAnsi="Gentium Plus" w:cs="Gentium Plus"/>
          <w:sz w:val="20"/>
          <w:szCs w:val="20"/>
        </w:rPr>
      </w:pPr>
    </w:p>
    <w:p w:rsidR="00F60E3C" w:rsidRPr="00C66127" w:rsidRDefault="00F60E3C" w:rsidP="00F60E3C">
      <w:pPr>
        <w:rPr>
          <w:rFonts w:ascii="Gentium Plus" w:hAnsi="Gentium Plus" w:cs="Gentium Plus"/>
          <w:sz w:val="20"/>
          <w:szCs w:val="20"/>
        </w:rPr>
      </w:pPr>
    </w:p>
    <w:p w:rsidR="00F60E3C" w:rsidRDefault="00F60E3C" w:rsidP="00F60E3C">
      <w:pPr>
        <w:pStyle w:val="Balk1"/>
        <w:ind w:firstLine="0"/>
        <w:rPr>
          <w:rFonts w:eastAsia="MP TNR Trans" w:cs="Gentium Plus"/>
          <w:b w:val="0"/>
          <w:bCs w:val="0"/>
          <w:sz w:val="20"/>
        </w:rPr>
      </w:pPr>
      <w:r w:rsidRPr="00C66127">
        <w:rPr>
          <w:rFonts w:eastAsia="MP TNR Trans" w:cs="Gentium Plus"/>
          <w:sz w:val="20"/>
        </w:rPr>
        <w:t xml:space="preserve">Öz: </w:t>
      </w:r>
    </w:p>
    <w:p w:rsidR="00F60E3C" w:rsidRPr="00C66127" w:rsidRDefault="00F60E3C" w:rsidP="00F510C1">
      <w:pPr>
        <w:spacing w:after="40" w:line="240" w:lineRule="auto"/>
        <w:jc w:val="both"/>
        <w:rPr>
          <w:rFonts w:ascii="Gentium Plus" w:hAnsi="Gentium Plus" w:cs="Gentium Plus"/>
          <w:bCs/>
          <w:sz w:val="20"/>
          <w:szCs w:val="20"/>
        </w:rPr>
      </w:pPr>
      <w:proofErr w:type="spellStart"/>
      <w:proofErr w:type="gram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w:t>
      </w:r>
      <w:bookmarkStart w:id="0" w:name="_GoBack"/>
      <w:bookmarkEnd w:id="0"/>
      <w:r w:rsidRPr="00EB0661">
        <w:rPr>
          <w:rFonts w:ascii="Gentium Plus" w:eastAsia="Calibri" w:hAnsi="Gentium Plus" w:cs="Times New Roman"/>
          <w:i/>
          <w:iCs/>
          <w:color w:val="000000"/>
          <w:sz w:val="20"/>
          <w:szCs w:val="20"/>
        </w:rPr>
        <w:t>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r w:rsidR="00F510C1">
        <w:rPr>
          <w:rFonts w:ascii="Gentium Plus" w:hAnsi="Gentium Plus" w:cs="Gentium Plus"/>
          <w:bCs/>
          <w:color w:val="FF0000"/>
          <w:sz w:val="20"/>
          <w:szCs w:val="20"/>
        </w:rPr>
        <w:t>(Tek paragraf halinde yazılmalı ve</w:t>
      </w:r>
      <w:r w:rsidRPr="004A1C64">
        <w:rPr>
          <w:rFonts w:ascii="Gentium Plus" w:hAnsi="Gentium Plus" w:cs="Gentium Plus"/>
          <w:bCs/>
          <w:color w:val="FF0000"/>
          <w:sz w:val="20"/>
          <w:szCs w:val="20"/>
        </w:rPr>
        <w:t xml:space="preserve"> 150-200 kelimelik olmalı).</w:t>
      </w:r>
      <w:proofErr w:type="gramEnd"/>
    </w:p>
    <w:p w:rsidR="00F60E3C" w:rsidRDefault="00F60E3C" w:rsidP="00F60E3C">
      <w:pPr>
        <w:pStyle w:val="Balk1"/>
        <w:ind w:firstLine="0"/>
        <w:rPr>
          <w:rFonts w:cs="Gentium Plus"/>
          <w:b w:val="0"/>
          <w:bCs w:val="0"/>
          <w:sz w:val="20"/>
        </w:rPr>
      </w:pPr>
      <w:r w:rsidRPr="00C66127">
        <w:rPr>
          <w:rFonts w:cs="Gentium Plus"/>
          <w:sz w:val="20"/>
        </w:rPr>
        <w:t>Anahtar Kelimeler:</w:t>
      </w:r>
    </w:p>
    <w:p w:rsidR="00A8314E" w:rsidRPr="00F510C1" w:rsidRDefault="00F60E3C" w:rsidP="00A8314E">
      <w:pPr>
        <w:jc w:val="both"/>
        <w:rPr>
          <w:rFonts w:ascii="Gentium Plus" w:hAnsi="Gentium Plus" w:cs="Gentium Plus"/>
          <w:color w:val="FF0000"/>
          <w:sz w:val="20"/>
          <w:szCs w:val="20"/>
        </w:rPr>
      </w:pP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Xxxxxx</w:t>
      </w:r>
      <w:proofErr w:type="spellEnd"/>
      <w:r w:rsidRPr="00C66127">
        <w:rPr>
          <w:rFonts w:ascii="Gentium Plus" w:hAnsi="Gentium Plus" w:cs="Gentium Plus"/>
          <w:sz w:val="20"/>
          <w:szCs w:val="20"/>
        </w:rPr>
        <w:t xml:space="preserve"> </w:t>
      </w:r>
      <w:proofErr w:type="gramStart"/>
      <w:r w:rsidRPr="004A1C64">
        <w:rPr>
          <w:rFonts w:ascii="Gentium Plus" w:hAnsi="Gentium Plus" w:cs="Gentium Plus"/>
          <w:color w:val="FF0000"/>
          <w:sz w:val="20"/>
          <w:szCs w:val="20"/>
        </w:rPr>
        <w:t>(</w:t>
      </w:r>
      <w:proofErr w:type="gramEnd"/>
      <w:r w:rsidRPr="004A1C64">
        <w:rPr>
          <w:rFonts w:ascii="Gentium Plus" w:hAnsi="Gentium Plus" w:cs="Gentium Plus"/>
          <w:color w:val="FF0000"/>
          <w:sz w:val="20"/>
          <w:szCs w:val="20"/>
        </w:rPr>
        <w:t>5 Kavram genelden özele sıralanarak yazılmalı, ilk ka</w:t>
      </w:r>
      <w:r w:rsidR="00CB0A54">
        <w:rPr>
          <w:rFonts w:ascii="Gentium Plus" w:hAnsi="Gentium Plus" w:cs="Gentium Plus"/>
          <w:color w:val="FF0000"/>
          <w:sz w:val="20"/>
          <w:szCs w:val="20"/>
        </w:rPr>
        <w:t xml:space="preserve">vram bilim dalı adı olmalı. Bk. </w:t>
      </w:r>
      <w:hyperlink r:id="rId10" w:history="1">
        <w:r w:rsidR="00CB0A54" w:rsidRPr="00F510C1">
          <w:rPr>
            <w:rStyle w:val="Kpr"/>
            <w:rFonts w:ascii="Gentium Plus" w:hAnsi="Gentium Plus" w:cs="Gentium Plus"/>
            <w:color w:val="FF0000"/>
            <w:sz w:val="20"/>
            <w:szCs w:val="20"/>
          </w:rPr>
          <w:t>https://www.isnadsistemi.org/guide/5-anahtar-kelimelerin-secimi/</w:t>
        </w:r>
      </w:hyperlink>
      <w:proofErr w:type="gramStart"/>
      <w:r w:rsidR="00CB0A54" w:rsidRPr="00F510C1">
        <w:rPr>
          <w:rFonts w:ascii="Gentium Plus" w:hAnsi="Gentium Plus" w:cs="Gentium Plus"/>
          <w:color w:val="FF0000"/>
          <w:sz w:val="20"/>
          <w:szCs w:val="20"/>
        </w:rPr>
        <w:t>)</w:t>
      </w:r>
      <w:proofErr w:type="gramEnd"/>
    </w:p>
    <w:p w:rsidR="00F60E3C" w:rsidRPr="00C66127" w:rsidRDefault="00F60E3C" w:rsidP="00F60E3C">
      <w:pPr>
        <w:spacing w:before="60" w:after="60"/>
        <w:jc w:val="center"/>
        <w:outlineLvl w:val="0"/>
        <w:rPr>
          <w:rFonts w:ascii="Gentium Plus" w:eastAsia="Calibri" w:hAnsi="Gentium Plus" w:cs="Gentium Plus"/>
          <w:b/>
          <w:bCs/>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r w:rsidRPr="004A1C64">
        <w:rPr>
          <w:rFonts w:ascii="Gentium Plus" w:eastAsia="MP TNR Trans" w:hAnsi="Gentium Plus" w:cs="Gentium Plus"/>
          <w:b/>
          <w:bCs/>
          <w:color w:val="FF0000"/>
          <w:sz w:val="20"/>
          <w:szCs w:val="20"/>
        </w:rPr>
        <w:t>İngilizce Başlık)</w:t>
      </w:r>
    </w:p>
    <w:p w:rsidR="00F60E3C" w:rsidRDefault="00F60E3C" w:rsidP="00F60E3C">
      <w:pPr>
        <w:pStyle w:val="Balk1"/>
        <w:ind w:firstLine="0"/>
        <w:rPr>
          <w:rFonts w:cs="Gentium Plus"/>
          <w:b w:val="0"/>
          <w:bCs w:val="0"/>
          <w:sz w:val="20"/>
        </w:rPr>
      </w:pPr>
      <w:proofErr w:type="spellStart"/>
      <w:r w:rsidRPr="00C66127">
        <w:rPr>
          <w:rFonts w:cs="Gentium Plus"/>
          <w:sz w:val="20"/>
        </w:rPr>
        <w:t>Abstract</w:t>
      </w:r>
      <w:proofErr w:type="spellEnd"/>
      <w:r w:rsidRPr="00C66127">
        <w:rPr>
          <w:rFonts w:cs="Gentium Plus"/>
          <w:sz w:val="20"/>
        </w:rPr>
        <w:t>:</w:t>
      </w:r>
    </w:p>
    <w:p w:rsidR="00A8314E" w:rsidRPr="00C66127" w:rsidRDefault="00A8314E" w:rsidP="00A8314E">
      <w:pPr>
        <w:spacing w:after="40" w:line="240" w:lineRule="auto"/>
        <w:jc w:val="both"/>
        <w:rPr>
          <w:rFonts w:ascii="Gentium Plus" w:hAnsi="Gentium Plus" w:cs="Gentium Plus"/>
          <w:bCs/>
          <w:sz w:val="20"/>
          <w:szCs w:val="20"/>
        </w:rPr>
      </w:pP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r w:rsidRPr="004A1C64">
        <w:rPr>
          <w:rFonts w:ascii="Gentium Plus" w:hAnsi="Gentium Plus" w:cs="Gentium Plus"/>
          <w:bCs/>
          <w:color w:val="FF0000"/>
          <w:sz w:val="20"/>
          <w:szCs w:val="20"/>
        </w:rPr>
        <w:t>(</w:t>
      </w:r>
      <w:proofErr w:type="spellStart"/>
      <w:r w:rsidRPr="00A8314E">
        <w:rPr>
          <w:rFonts w:ascii="Gentium Plus" w:hAnsi="Gentium Plus" w:cs="Gentium Plus"/>
          <w:bCs/>
          <w:color w:val="FF0000"/>
          <w:sz w:val="20"/>
          <w:szCs w:val="20"/>
        </w:rPr>
        <w:t>The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abstract</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w:t>
      </w:r>
      <w:proofErr w:type="spellStart"/>
      <w:r w:rsidRPr="00A8314E">
        <w:rPr>
          <w:rFonts w:ascii="Gentium Plus" w:hAnsi="Gentium Plus" w:cs="Gentium Plus"/>
          <w:bCs/>
          <w:color w:val="FF0000"/>
          <w:sz w:val="20"/>
          <w:szCs w:val="20"/>
        </w:rPr>
        <w:t>written</w:t>
      </w:r>
      <w:proofErr w:type="spellEnd"/>
      <w:r w:rsidRPr="00A8314E">
        <w:rPr>
          <w:rFonts w:ascii="Gentium Plus" w:hAnsi="Gentium Plus" w:cs="Gentium Plus"/>
          <w:bCs/>
          <w:color w:val="FF0000"/>
          <w:sz w:val="20"/>
          <w:szCs w:val="20"/>
        </w:rPr>
        <w:t xml:space="preserve"> in </w:t>
      </w:r>
      <w:proofErr w:type="spellStart"/>
      <w:r w:rsidRPr="00A8314E">
        <w:rPr>
          <w:rFonts w:ascii="Gentium Plus" w:hAnsi="Gentium Plus" w:cs="Gentium Plus"/>
          <w:bCs/>
          <w:color w:val="FF0000"/>
          <w:sz w:val="20"/>
          <w:szCs w:val="20"/>
        </w:rPr>
        <w:t>one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paragraph</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and</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150-200 </w:t>
      </w:r>
      <w:proofErr w:type="spellStart"/>
      <w:r w:rsidRPr="00A8314E">
        <w:rPr>
          <w:rFonts w:ascii="Gentium Plus" w:hAnsi="Gentium Plus" w:cs="Gentium Plus"/>
          <w:bCs/>
          <w:color w:val="FF0000"/>
          <w:sz w:val="20"/>
          <w:szCs w:val="20"/>
        </w:rPr>
        <w:t>words</w:t>
      </w:r>
      <w:proofErr w:type="spellEnd"/>
      <w:r w:rsidRPr="00A8314E">
        <w:rPr>
          <w:rFonts w:ascii="Gentium Plus" w:hAnsi="Gentium Plus" w:cs="Gentium Plus"/>
          <w:bCs/>
          <w:color w:val="FF0000"/>
          <w:sz w:val="20"/>
          <w:szCs w:val="20"/>
        </w:rPr>
        <w:t>.</w:t>
      </w:r>
      <w:r w:rsidRPr="004A1C64">
        <w:rPr>
          <w:rFonts w:ascii="Gentium Plus" w:hAnsi="Gentium Plus" w:cs="Gentium Plus"/>
          <w:bCs/>
          <w:color w:val="FF0000"/>
          <w:sz w:val="20"/>
          <w:szCs w:val="20"/>
        </w:rPr>
        <w:t>)</w:t>
      </w:r>
    </w:p>
    <w:p w:rsidR="00F60E3C" w:rsidRDefault="00F60E3C" w:rsidP="00F60E3C">
      <w:pPr>
        <w:spacing w:before="60" w:after="60"/>
        <w:outlineLvl w:val="0"/>
        <w:rPr>
          <w:rFonts w:ascii="Gentium Plus" w:hAnsi="Gentium Plus" w:cs="Gentium Plus"/>
          <w:b/>
          <w:bCs/>
          <w:sz w:val="20"/>
          <w:szCs w:val="20"/>
        </w:rPr>
      </w:pPr>
      <w:proofErr w:type="spellStart"/>
      <w:r w:rsidRPr="00C66127">
        <w:rPr>
          <w:rFonts w:ascii="Gentium Plus" w:hAnsi="Gentium Plus" w:cs="Gentium Plus"/>
          <w:b/>
          <w:bCs/>
          <w:sz w:val="20"/>
          <w:szCs w:val="20"/>
        </w:rPr>
        <w:t>Keywords</w:t>
      </w:r>
      <w:proofErr w:type="spellEnd"/>
      <w:r w:rsidRPr="00C66127">
        <w:rPr>
          <w:rFonts w:ascii="Gentium Plus" w:hAnsi="Gentium Plus" w:cs="Gentium Plus"/>
          <w:b/>
          <w:bCs/>
          <w:sz w:val="20"/>
          <w:szCs w:val="20"/>
        </w:rPr>
        <w:t xml:space="preserve">: </w:t>
      </w:r>
    </w:p>
    <w:p w:rsidR="00F60E3C" w:rsidRPr="00C66127" w:rsidRDefault="00F60E3C" w:rsidP="00F510C1">
      <w:pPr>
        <w:jc w:val="both"/>
        <w:rPr>
          <w:rFonts w:ascii="Gentium Plus" w:hAnsi="Gentium Plus" w:cs="Gentium Plus"/>
          <w:sz w:val="20"/>
          <w:szCs w:val="20"/>
        </w:rPr>
      </w:pP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Xxxxxx</w:t>
      </w:r>
      <w:proofErr w:type="spellEnd"/>
      <w:r w:rsidRPr="00C66127">
        <w:rPr>
          <w:rFonts w:ascii="Gentium Plus" w:hAnsi="Gentium Plus" w:cs="Gentium Plus"/>
          <w:sz w:val="20"/>
          <w:szCs w:val="20"/>
        </w:rPr>
        <w:t xml:space="preserve"> </w:t>
      </w:r>
      <w:r w:rsidRPr="004A1C64">
        <w:rPr>
          <w:rFonts w:ascii="Gentium Plus" w:hAnsi="Gentium Plus" w:cs="Gentium Plus"/>
          <w:color w:val="FF0000"/>
          <w:sz w:val="20"/>
          <w:szCs w:val="20"/>
        </w:rPr>
        <w:t xml:space="preserve"> </w:t>
      </w:r>
      <w:proofErr w:type="gramStart"/>
      <w:r w:rsidRPr="004A1C64">
        <w:rPr>
          <w:rFonts w:ascii="Gentium Plus" w:hAnsi="Gentium Plus" w:cs="Gentium Plus"/>
          <w:color w:val="FF0000"/>
          <w:sz w:val="20"/>
          <w:szCs w:val="20"/>
        </w:rPr>
        <w:t>(</w:t>
      </w:r>
      <w:proofErr w:type="gramEnd"/>
      <w:r w:rsidRPr="004A1C64">
        <w:rPr>
          <w:rFonts w:ascii="Gentium Plus" w:hAnsi="Gentium Plus" w:cs="Gentium Plus"/>
          <w:color w:val="FF0000"/>
          <w:sz w:val="20"/>
          <w:szCs w:val="20"/>
        </w:rPr>
        <w:t xml:space="preserve">5 Kavram genelden özele sıralanarak yazılmalı, ilk kavram bilim dalı adı olmalı. Şahıs ismi, eser adı ve kavramlar İngilizce İslam Ansiklopedisi’nin 3. baskısına uygun olmalıdır. Bk. </w:t>
      </w:r>
      <w:hyperlink r:id="rId11" w:history="1">
        <w:r w:rsidRPr="004A1C64">
          <w:rPr>
            <w:rStyle w:val="Kpr"/>
            <w:rFonts w:ascii="Gentium Plus" w:hAnsi="Gentium Plus" w:cs="Gentium Plus"/>
            <w:color w:val="FF0000"/>
            <w:sz w:val="20"/>
            <w:szCs w:val="20"/>
          </w:rPr>
          <w:t>http://referenceworks.brillonline.com/browse/encyclopaedia-of-islam-3</w:t>
        </w:r>
      </w:hyperlink>
      <w:proofErr w:type="gramStart"/>
      <w:r w:rsidR="00F510C1">
        <w:rPr>
          <w:rStyle w:val="Kpr"/>
          <w:rFonts w:ascii="Gentium Plus" w:hAnsi="Gentium Plus" w:cs="Gentium Plus"/>
          <w:color w:val="FF0000"/>
          <w:sz w:val="20"/>
          <w:szCs w:val="20"/>
        </w:rPr>
        <w:t>)</w:t>
      </w:r>
      <w:proofErr w:type="gramEnd"/>
    </w:p>
    <w:p w:rsidR="00F60E3C" w:rsidRDefault="00F60E3C" w:rsidP="00F60E3C"/>
    <w:p w:rsidR="00F60E3C" w:rsidRDefault="00F60E3C" w:rsidP="00F60E3C"/>
    <w:p w:rsidR="00F60E3C" w:rsidRDefault="00F60E3C" w:rsidP="00F60E3C"/>
    <w:p w:rsidR="00F60E3C" w:rsidRDefault="00F60E3C" w:rsidP="00F60E3C"/>
    <w:p w:rsidR="00F60E3C" w:rsidRDefault="00F60E3C" w:rsidP="00F60E3C">
      <w:pPr>
        <w:pStyle w:val="Balk1"/>
        <w:rPr>
          <w:rFonts w:cs="Gentium Plus"/>
        </w:rPr>
      </w:pPr>
      <w:r w:rsidRPr="00996309">
        <w:rPr>
          <w:rFonts w:cs="Gentium Plus"/>
        </w:rPr>
        <w:lastRenderedPageBreak/>
        <w:t xml:space="preserve">Giriş </w:t>
      </w:r>
    </w:p>
    <w:p w:rsidR="00F60E3C" w:rsidRDefault="00F60E3C" w:rsidP="00F60E3C">
      <w:pPr>
        <w:pStyle w:val="Paragraf"/>
      </w:pPr>
      <w:proofErr w:type="spellStart"/>
      <w:proofErr w:type="gram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rsidRPr="00AF16DF">
        <w:rPr>
          <w:rStyle w:val="DipnotBavurusu"/>
        </w:rPr>
        <w:footnoteReference w:id="1"/>
      </w:r>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rsidRPr="00AF16DF">
        <w:rPr>
          <w:rStyle w:val="DipnotBavurusu"/>
        </w:rPr>
        <w:footnoteReference w:id="2"/>
      </w:r>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rsidRPr="00AF16DF">
        <w:rPr>
          <w:rStyle w:val="DipnotBavurusu"/>
        </w:rPr>
        <w:footnoteReference w:id="3"/>
      </w:r>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rsidRPr="00AF16DF">
        <w:rPr>
          <w:rStyle w:val="DipnotBavurusu"/>
        </w:rPr>
        <w:footnoteReference w:id="4"/>
      </w:r>
      <w:proofErr w:type="gramEnd"/>
    </w:p>
    <w:p w:rsidR="00F60E3C" w:rsidRPr="00E21B57" w:rsidRDefault="00F60E3C" w:rsidP="00F60E3C">
      <w:pPr>
        <w:pStyle w:val="Balk1"/>
      </w:pPr>
      <w:r>
        <w:t xml:space="preserve">1. </w:t>
      </w:r>
      <w:proofErr w:type="spellStart"/>
      <w:r w:rsidRPr="00E21B57">
        <w:t>İrsâl</w:t>
      </w:r>
      <w:proofErr w:type="spellEnd"/>
      <w:r w:rsidRPr="00E21B57">
        <w:t xml:space="preserve"> ve </w:t>
      </w:r>
      <w:proofErr w:type="spellStart"/>
      <w:r w:rsidRPr="00E21B57">
        <w:t>Tedlîs</w:t>
      </w:r>
      <w:proofErr w:type="spellEnd"/>
      <w:r w:rsidRPr="00E21B57">
        <w:t xml:space="preserve"> Kavramlarının Tanımı</w:t>
      </w:r>
    </w:p>
    <w:p w:rsidR="00F60E3C" w:rsidRDefault="00F60E3C" w:rsidP="00F60E3C">
      <w:pPr>
        <w:pStyle w:val="Paragraf"/>
      </w:pPr>
      <w:proofErr w:type="spellStart"/>
      <w:proofErr w:type="gram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lastRenderedPageBreak/>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roofErr w:type="gramEnd"/>
    </w:p>
    <w:p w:rsidR="00F60E3C" w:rsidRPr="00E21B57" w:rsidRDefault="00F60E3C" w:rsidP="00F60E3C">
      <w:pPr>
        <w:pStyle w:val="Balk1"/>
      </w:pPr>
      <w:r>
        <w:t xml:space="preserve">2.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rsidR="00F60E3C" w:rsidRDefault="00F60E3C" w:rsidP="00F60E3C">
      <w:pPr>
        <w:pStyle w:val="Paragraf"/>
      </w:pPr>
      <w:proofErr w:type="spellStart"/>
      <w:proofErr w:type="gram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roofErr w:type="gramEnd"/>
    </w:p>
    <w:p w:rsidR="00F60E3C" w:rsidRPr="00E21B57" w:rsidRDefault="00F60E3C" w:rsidP="00F60E3C">
      <w:pPr>
        <w:pStyle w:val="Balk1"/>
      </w:pPr>
      <w:r>
        <w:t xml:space="preserve">2.1.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p>
    <w:p w:rsidR="00F60E3C" w:rsidRDefault="00F60E3C" w:rsidP="00F60E3C">
      <w:pPr>
        <w:pStyle w:val="Paragraf"/>
      </w:pPr>
      <w:proofErr w:type="spellStart"/>
      <w:proofErr w:type="gram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w:t>
      </w:r>
      <w:proofErr w:type="gramEnd"/>
    </w:p>
    <w:p w:rsidR="00F60E3C" w:rsidRDefault="00F60E3C" w:rsidP="00F60E3C">
      <w:pPr>
        <w:pStyle w:val="Balk1"/>
      </w:pPr>
      <w:r>
        <w:t>3. Sonuç</w:t>
      </w:r>
    </w:p>
    <w:p w:rsidR="00F60E3C" w:rsidRDefault="00F60E3C" w:rsidP="00F60E3C">
      <w:pPr>
        <w:pStyle w:val="Paragraf"/>
      </w:pPr>
      <w:proofErr w:type="spellStart"/>
      <w:proofErr w:type="gram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lastRenderedPageBreak/>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gramEnd"/>
    </w:p>
    <w:p w:rsidR="00F60E3C" w:rsidRPr="002A181F" w:rsidRDefault="00F60E3C" w:rsidP="00F60E3C">
      <w:pPr>
        <w:pStyle w:val="Paragraf"/>
      </w:pPr>
    </w:p>
    <w:p w:rsidR="00F60E3C" w:rsidRDefault="00F60E3C" w:rsidP="00F60E3C">
      <w:pPr>
        <w:pStyle w:val="Balk1"/>
        <w:ind w:firstLine="0"/>
      </w:pPr>
      <w:r>
        <w:t>Kaynaklar</w:t>
      </w:r>
    </w:p>
    <w:p w:rsidR="00F60E3C" w:rsidRDefault="00F60E3C" w:rsidP="00F60E3C">
      <w:pPr>
        <w:pStyle w:val="Kaynaka"/>
      </w:pPr>
      <w:r w:rsidRPr="00E21B57">
        <w:rPr>
          <w:rFonts w:cs="Gentium Plus"/>
        </w:rPr>
        <w:fldChar w:fldCharType="begin"/>
      </w:r>
      <w:r>
        <w:rPr>
          <w:rFonts w:cs="Gentium Plus"/>
        </w:rPr>
        <w:instrText xml:space="preserve"> ADDIN ZOTERO_BIBL {"uncited":[],"omitted":[],"custom":[]} CSL_BIBLIOGRAPHY </w:instrText>
      </w:r>
      <w:r w:rsidRPr="00E21B57">
        <w:rPr>
          <w:rFonts w:cs="Gentium Plus"/>
        </w:rPr>
        <w:fldChar w:fldCharType="separate"/>
      </w:r>
      <w:r>
        <w:t xml:space="preserve">Alâî, Salahuddîn Ebî Sa’îd b. Halîl. </w:t>
      </w:r>
      <w:r>
        <w:rPr>
          <w:i/>
          <w:iCs/>
        </w:rPr>
        <w:t>Câmi’u’t-tahsîl fî ahkâmi’l-merâsîl</w:t>
      </w:r>
      <w:r>
        <w:t>. Thk. Hamdî Abdulmecîd es-Selefî. Beyrut: ’Âlemu’l-Kutub, 2005.</w:t>
      </w:r>
    </w:p>
    <w:p w:rsidR="00F60E3C" w:rsidRDefault="00F60E3C" w:rsidP="00F60E3C">
      <w:pPr>
        <w:pStyle w:val="Kaynaka"/>
      </w:pPr>
      <w:r>
        <w:t xml:space="preserve">Ali b. el-Medînî. </w:t>
      </w:r>
      <w:r>
        <w:rPr>
          <w:i/>
          <w:iCs/>
        </w:rPr>
        <w:t>el-’İlel ve ma’rifetü’r-ricâl</w:t>
      </w:r>
      <w:r>
        <w:t>. Thk. Ebu Ömer Muhammed b. Ali el-Ezherî. Kâhire: el-Fâruku’l-Hadîse, 2005.</w:t>
      </w:r>
    </w:p>
    <w:p w:rsidR="00F60E3C" w:rsidRDefault="00F60E3C" w:rsidP="00F60E3C">
      <w:pPr>
        <w:pStyle w:val="Kaynaka"/>
      </w:pPr>
      <w:r>
        <w:t xml:space="preserve">Arslantaş, Nuh. </w:t>
      </w:r>
      <w:r>
        <w:rPr>
          <w:i/>
          <w:iCs/>
        </w:rPr>
        <w:t>Emeviler Döneminde Yahudiler</w:t>
      </w:r>
      <w:r>
        <w:t>. İstanbul: Gökkubbe Yayınları, 2005.</w:t>
      </w:r>
    </w:p>
    <w:p w:rsidR="00F60E3C" w:rsidRDefault="00F60E3C" w:rsidP="00F60E3C">
      <w:pPr>
        <w:pStyle w:val="Kaynaka"/>
      </w:pPr>
      <w:r>
        <w:t xml:space="preserve">Avcı, Casim. “Kûfe”. </w:t>
      </w:r>
      <w:r>
        <w:rPr>
          <w:i/>
          <w:iCs/>
        </w:rPr>
        <w:t>Türkiye Diyanet Vakfı İslâm Ansiklopedisi</w:t>
      </w:r>
      <w:r>
        <w:t>. 26: 339-342. Ankara: TDV Yayınları, 2002.</w:t>
      </w:r>
    </w:p>
    <w:p w:rsidR="00F60E3C" w:rsidRDefault="00F60E3C" w:rsidP="00F60E3C">
      <w:pPr>
        <w:pStyle w:val="Kaynaka"/>
      </w:pPr>
      <w:r>
        <w:t xml:space="preserve">Avcı, Casim. “Medâin”. </w:t>
      </w:r>
      <w:r>
        <w:rPr>
          <w:i/>
          <w:iCs/>
        </w:rPr>
        <w:t>Türkiye Diyanet Vakfı İslâm Ansiklopedisi</w:t>
      </w:r>
      <w:r>
        <w:t>. 28: 289-291. Ankara: TDV Yayınları, 2003.</w:t>
      </w:r>
    </w:p>
    <w:p w:rsidR="00F60E3C" w:rsidRDefault="00F60E3C" w:rsidP="00F60E3C">
      <w:pPr>
        <w:pStyle w:val="Kaynaka"/>
      </w:pPr>
      <w:r>
        <w:t xml:space="preserve">Aycan, İrfan. “Haccâc b. Yûsuf b. Matar”. </w:t>
      </w:r>
      <w:r>
        <w:rPr>
          <w:i/>
          <w:iCs/>
        </w:rPr>
        <w:t>Türkiye Diyanet Vakfı İslâm Ansiklopedisi</w:t>
      </w:r>
      <w:r>
        <w:t>. 14: 427-428. Türkiye Diyanet Vakfı Yayınları, 1996.</w:t>
      </w:r>
    </w:p>
    <w:p w:rsidR="00F60E3C" w:rsidRDefault="00F60E3C" w:rsidP="00F60E3C">
      <w:pPr>
        <w:pStyle w:val="Kaynaka"/>
      </w:pPr>
      <w:r>
        <w:t xml:space="preserve">Aycan, İrfan. “Mus’ab b. Zübeyr”. </w:t>
      </w:r>
      <w:r>
        <w:rPr>
          <w:i/>
          <w:iCs/>
        </w:rPr>
        <w:t>Türkiye Diyanet Vakfı İslâm Ansiklopedisi</w:t>
      </w:r>
      <w:r>
        <w:t>. 31: 227. İstanbul: TDV Yayınları, 2006.</w:t>
      </w:r>
    </w:p>
    <w:p w:rsidR="00F60E3C" w:rsidRDefault="00F60E3C" w:rsidP="00F60E3C">
      <w:pPr>
        <w:pStyle w:val="Kaynaka"/>
      </w:pPr>
      <w:r>
        <w:t xml:space="preserve">Belâzürî, Ebü’l-Hasen Ahmed b. Yahyâ. </w:t>
      </w:r>
      <w:r>
        <w:rPr>
          <w:i/>
          <w:iCs/>
        </w:rPr>
        <w:t>Ensâbu’l-eşrâf</w:t>
      </w:r>
      <w:r>
        <w:t>. Thk. Süheyl ez-Zekkâr - ve Riyâd ez-Ziriklî. Beyrut: Dâru’l-Fikr, 1996.</w:t>
      </w:r>
    </w:p>
    <w:p w:rsidR="00F60E3C" w:rsidRDefault="00F60E3C" w:rsidP="00F60E3C">
      <w:pPr>
        <w:pStyle w:val="Kaynaka"/>
      </w:pPr>
      <w:r>
        <w:t xml:space="preserve">Belâzurî, Ebü’l-Hasen Ahmed b. Yahyâ. </w:t>
      </w:r>
      <w:r>
        <w:rPr>
          <w:i/>
          <w:iCs/>
        </w:rPr>
        <w:t>Fütûhu’l-büldân</w:t>
      </w:r>
      <w:r>
        <w:t>. Beyrut: Mektebetü’l-Hilâl, 1988.</w:t>
      </w:r>
    </w:p>
    <w:p w:rsidR="00F60E3C" w:rsidRDefault="00F60E3C" w:rsidP="00F60E3C">
      <w:pPr>
        <w:pStyle w:val="Kaynaka"/>
      </w:pPr>
      <w:r>
        <w:t xml:space="preserve">Canan, İbrahim. “Enes b. Mâlik”. </w:t>
      </w:r>
      <w:r>
        <w:rPr>
          <w:i/>
          <w:iCs/>
        </w:rPr>
        <w:t>Türkiye Diyanet Vakfı İslâm Ansiklopedisi</w:t>
      </w:r>
      <w:r>
        <w:t>. İstanbul: Türkiye Diyanet Vakfı Yayınları, 1995.</w:t>
      </w:r>
    </w:p>
    <w:p w:rsidR="00F60E3C" w:rsidRDefault="00F60E3C" w:rsidP="00F60E3C">
      <w:pPr>
        <w:pStyle w:val="Kaynaka"/>
      </w:pPr>
      <w:r>
        <w:t xml:space="preserve">Dârîmî, Ebu Muhammed Abdullah b. Abdirrahman. </w:t>
      </w:r>
      <w:r>
        <w:rPr>
          <w:i/>
          <w:iCs/>
        </w:rPr>
        <w:t>Sünen</w:t>
      </w:r>
      <w:r>
        <w:t>. Thk. ‘Imadu’t-Tayyâr - ve ‘Izzuddîn Dali. Beyrut: Müessesetü’r-Risâle Nâşirûn, 2017.</w:t>
      </w:r>
    </w:p>
    <w:p w:rsidR="00D5015B" w:rsidRDefault="00F60E3C" w:rsidP="00F60E3C">
      <w:r w:rsidRPr="00E21B57">
        <w:rPr>
          <w:rFonts w:cs="Gentium Plus"/>
        </w:rPr>
        <w:fldChar w:fldCharType="end"/>
      </w:r>
    </w:p>
    <w:sectPr w:rsidR="00D501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73" w:rsidRDefault="00AC2573" w:rsidP="00F60E3C">
      <w:pPr>
        <w:spacing w:after="0" w:line="240" w:lineRule="auto"/>
      </w:pPr>
      <w:r>
        <w:separator/>
      </w:r>
    </w:p>
  </w:endnote>
  <w:endnote w:type="continuationSeparator" w:id="0">
    <w:p w:rsidR="00AC2573" w:rsidRDefault="00AC2573" w:rsidP="00F6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P TNR Trans">
    <w:altName w:val="Times New Roman"/>
    <w:charset w:val="00"/>
    <w:family w:val="roman"/>
    <w:pitch w:val="variable"/>
    <w:sig w:usb0="A0002AFF" w:usb1="D00078FB" w:usb2="00000008"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73" w:rsidRDefault="00AC2573" w:rsidP="00F60E3C">
      <w:pPr>
        <w:spacing w:after="0" w:line="240" w:lineRule="auto"/>
      </w:pPr>
      <w:r>
        <w:separator/>
      </w:r>
    </w:p>
  </w:footnote>
  <w:footnote w:type="continuationSeparator" w:id="0">
    <w:p w:rsidR="00AC2573" w:rsidRDefault="00AC2573" w:rsidP="00F60E3C">
      <w:pPr>
        <w:spacing w:after="0" w:line="240" w:lineRule="auto"/>
      </w:pPr>
      <w:r>
        <w:continuationSeparator/>
      </w:r>
    </w:p>
  </w:footnote>
  <w:footnote w:id="1">
    <w:p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{"citationID":"fDqebYBH","properties":{"formattedCitation":"Eb\\uc0\\u252{}\\uc0\\u8217{}l-H\\uc0\\u252{}seyn M\\uc0\\u252{}slim b. el-Hacc\\uc0\\u226{}c M\\uc0\\u252{}slim, {\\i{}Sah\\uc0\\u238{}h}, thk. Y\\uc0\\u226{}sir Hasen v.d\\uc0\\u287{}r. (Beyrut: M\\uc0\\u252{}esseset\\uc0\\u252{}\\uc0\\u8217{}r-Ris\\uc0\\u226{}le N\\uc0\\u226{}\\uc0\\u351{}ir\\uc0\\u251{}n, 2016), \\uc0\\u8220{}Mukaddime\\uc0\\u8221{}, 7.","plainCitation":"Ebü’l-Hüseyn Müslim b. el-Haccâc Müslim, Sahîh, thk. Yâsir Hasen v.dğr. (Beyrut: Müessesetü’r-Risâle Nâşirûn, 2016), “Mukaddime”, 7.","dontUpdate":true,"noteIndex":1},"citationItems":[{"id":114,"uris":["http://zotero.org/users/6213152/items/D6VIHDIL"],"uri":["http://zotero.org/users/6213152/items/D6VIHDIL"],"itemData":{"id":114,"type":"book","event-place":"Beyrut","publisher":"Müessesetü'r-Risâle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7"}],"schema":"https://github.com/citation-style-language/schema/raw/master/csl-citation.json"} </w:instrText>
      </w:r>
      <w:r w:rsidRPr="00A363C6">
        <w:rPr>
          <w:rFonts w:cs="Gentium Plus"/>
        </w:rPr>
        <w:fldChar w:fldCharType="separate"/>
      </w:r>
      <w:r w:rsidRPr="00A363C6">
        <w:rPr>
          <w:rFonts w:cs="Gentium Plus"/>
          <w:szCs w:val="24"/>
        </w:rPr>
        <w:t>Eb</w:t>
      </w:r>
      <w:r>
        <w:rPr>
          <w:rFonts w:cs="Gentium Plus"/>
          <w:szCs w:val="24"/>
        </w:rPr>
        <w:t>u</w:t>
      </w:r>
      <w:r w:rsidRPr="00A363C6">
        <w:rPr>
          <w:rFonts w:cs="Gentium Plus"/>
          <w:szCs w:val="24"/>
        </w:rPr>
        <w:t xml:space="preserve">’l-Hüseyn Müslim b. el-Haccâc Müslim, </w:t>
      </w:r>
      <w:r w:rsidRPr="00A363C6">
        <w:rPr>
          <w:rFonts w:cs="Gentium Plus"/>
          <w:i/>
          <w:iCs/>
          <w:szCs w:val="24"/>
        </w:rPr>
        <w:t>Sahîh</w:t>
      </w:r>
      <w:r w:rsidRPr="00A363C6">
        <w:rPr>
          <w:rFonts w:cs="Gentium Plus"/>
          <w:szCs w:val="24"/>
        </w:rPr>
        <w:t>, thk. Yâsir Hasen v.dğr. (Beyrut: Müessesetü’r-Risâle Nâşirûn, 2016), “Mukaddime”, 7.</w:t>
      </w:r>
      <w:r w:rsidRPr="00A363C6">
        <w:rPr>
          <w:rFonts w:cs="Gentium Plus"/>
        </w:rPr>
        <w:fldChar w:fldCharType="end"/>
      </w:r>
    </w:p>
  </w:footnote>
  <w:footnote w:id="2">
    <w:p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{"citationID":"uutFlMQT","properties":{"formattedCitation":"\\uc0\\u8220{}\\uc0\\u214{}nceleri isn\\uc0\\u226{}d sormazlard\\uc0\\u305{}. Ne zaman ki fitne vuk\\uc0\\u251{} buldu, \\uc0\\u8216{}(had\\uc0\\u238{}si riv\\uc0\\u226{}yet etti\\uc0\\u287{}iniz) r\\uc0\\u226{}v\\uc0\\u238{}lerinizin isimlerini bize s\\uc0\\u246{}yleyin\\uc0\\u8217{} demeye ba\\uc0\\u351{}lad\\uc0\\u305{}lar. B\\uc0\\u246{}ylelikle r\\uc0\\u226{}v\\uc0\\u238{}ler s\\uc0\\u252{}nnet ehlinden iseler had\\uc0\\u238{}sleri al\\uc0\\u305{}n\\uc0\\u305{}r, bid\\uc0\\u8217{}at ehlinden iseler had\\uc0\\u238{}sleri al\\uc0\\u305{}nmaz oldu.\\uc0\\u8221{} M\\uc0\\u252{}slim, {\\i{}Sah\\uc0\\u238{}h}, \\uc0\\u8220{}Mukaddime\\uc0\\u8221{}, 5.","plainCitation":"“Önceleri isnâd sormazlardı. Ne zaman ki fitne vukû buldu, ‘(hadîsi rivâyet ettiğiniz) râvîlerinizin isimlerini bize söyleyin’ demeye başladılar. Böylelikle râvîler sünnet ehlinden iseler hadîsleri alınır, bid’at ehlinden iseler hadîsleri alınmaz oldu.” Müslim, Sahîh, “Mukaddime”, 5.","noteIndex":2},"citationItems":[{"id":114,"uris":["http://zotero.org/users/6213152/items/D6VIHDIL"],"uri":["http://zotero.org/users/6213152/items/D6VIHDIL"],"itemData":{"id":114,"type":"book","event-place":"Beyrut","publisher":"Müessesetü'r-Risâle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5","prefix":"“Önceleri isnâd sormazlardı. Ne zaman ki fitne vukû buldu, ‘(hadîsi rivâyet ettiğiniz) râvîlerinizin isimlerini bize söyleyin’ demeye başladılar. Böylelikle râvîler sünnet ehlinden iseler hadîsleri alınır, bid’at ehlinden iseler hadîsleri alınmaz oldu.”"}],"schema":"https://github.com/citation-style-language/schema/raw/master/csl-citation.json"} </w:instrText>
      </w:r>
      <w:r w:rsidRPr="00A363C6">
        <w:rPr>
          <w:rFonts w:cs="Gentium Plus"/>
        </w:rPr>
        <w:fldChar w:fldCharType="separate"/>
      </w:r>
      <w:r w:rsidRPr="00A363C6">
        <w:rPr>
          <w:rFonts w:cs="Gentium Plus"/>
          <w:szCs w:val="24"/>
        </w:rPr>
        <w:t xml:space="preserve">“Önceleri isnâd sormazlardı. Ne zaman ki fitne vukû buldu, ‘(hadîsi rivâyet ettiğiniz) râvîlerinizin isimlerini bize söyleyin’ demeye başladılar. Böylelikle râvîler sünnet ehlinden iseler hadîsleri alınır, bid’at ehlinden iseler hadîsleri alınmaz oldu.” Müslim, </w:t>
      </w:r>
      <w:r w:rsidRPr="00A363C6">
        <w:rPr>
          <w:rFonts w:cs="Gentium Plus"/>
          <w:i/>
          <w:iCs/>
          <w:szCs w:val="24"/>
        </w:rPr>
        <w:t>Sahîh</w:t>
      </w:r>
      <w:r w:rsidRPr="00A363C6">
        <w:rPr>
          <w:rFonts w:cs="Gentium Plus"/>
          <w:szCs w:val="24"/>
        </w:rPr>
        <w:t>, “Mukaddime”, 5.</w:t>
      </w:r>
      <w:r w:rsidRPr="00A363C6">
        <w:rPr>
          <w:rFonts w:cs="Gentium Plus"/>
        </w:rPr>
        <w:fldChar w:fldCharType="end"/>
      </w:r>
    </w:p>
  </w:footnote>
  <w:footnote w:id="3">
    <w:p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{"citationID":"ITaXWBVL","properties":{"formattedCitation":"\\uc0\\u8220{}Biz Basra\\uc0\\u8217{}da Resulullah (s.a.s.)\\uc0\\u8217{}in ashab\\uc0\\u305{}ndan nakledilen rivayetler i\\uc0\\u351{}itirdik; Medine\\uc0\\u8217{}ye gidip bizzat bunlar\\uc0\\u305{} ravilerinden sem\\uc0\\u226{}\\uc0\\u8216{} etmeden rahat etmezdik\\uc0\\u8221{} Ahmed b. Al\\uc0\\u238{} Eb\\uc0\\u251{} Bekr Hat\\uc0\\u238{}b el-Ba\\uc0\\u287{}d\\uc0\\u226{}d\\uc0\\u238{}, {\\i{}el-Kif\\uc0\\u226{}ye f\\uc0\\u238{} ilmi\\uc0\\u8217{}r-riv\\uc0\\u226{}ye}, thk. Eb\\uc0\\u251{} \\uc0\\u304{}sh\\uc0\\u226{}k \\uc0\\u304{}brahim b. Mustafa (M\\uc0\\u305{}s\\uc0\\u305{}r: Mektebet\\uc0\\u252{} \\uc0\\u304{}bni Abb\\uc0\\u226{}s, 2002), 2: 469; \\uc0\\u8220{}Biz bir ki\\uc0\\u351{}inin hadisini almak i\\uc0\\u231{}in geldi\\uc0\\u287{}imizde, onun namaz\\uc0\\u305{}na bakard\\uc0\\u305{}k. \\uc0\\u350{}ayet namaz\\uc0\\u305{} s\\uc0\\u226{}lih ise rivayetini al\\uc0\\u305{}r; k\\uc0\\u246{}t\\uc0\\u252{}yse almazd\\uc0\\u305{}k.\\uc0\\u8221{} Hasen b. Abdirrahm\\uc0\\u226{}n er-R\\uc0\\u226{}mehurm\\uc0\\u251{}z\\uc0\\u238{}, {\\i{}el-Muhaddisu\\uc0\\u8217{}l-f\\uc0\\u226{}s\\uc0\\u305{}l beyne\\uc0\\u8217{}r-r\\uc0\\u226{}v\\uc0\\u238{} ve\\uc0\\u8217{}l-v\\uc0\\u226{}\\uc0\\u238{}\\uc0\\u8217{}}, thk. Muhammed Acc\\uc0\\u226{}c el-Hat\\uc0\\u238{}b (Beyrut: D\\uc0\\u226{}ru\\uc0\\u8217{}l-Fikr, 1971), 409.","plainCitation":"“Biz Basra’da Resulullah (s.a.s.)’in ashabından nakledilen rivayetler işitirdik; Medine’ye gidip bizzat bunları ravilerinden semâ‘ etmeden rahat etmezdik” Ahmed b. Alî Ebû Bekr Hatîb el-Bağdâdî, el-Kifâye fî ilmi’r-rivâye, thk. Ebû İshâk İbrahim b. Mustafa (Mısır: Mektebetü İbni Abbâs, 2002), 2: 469; “Biz bir kişinin hadisini almak için geldiğimizde, onun namazına bakardık. Şayet namazı sâlih ise rivayetini alır; kötüyse almazdık.” Hasen b. Abdirrahmân er-Râmehurmûzî, el-Muhaddisu’l-fâsıl beyne’r-râvî ve’l-vâî’, thk. Muhammed Accâc el-Hatîb (Beyrut: Dâru’l-Fikr, 1971), 409.","dontUpdate":true,"noteIndex":3},"citationItems":[{"id":195,"uris":["http://zotero.org/users/6213152/items/6VYF4KVK"],"uri":["http://zotero.org/users/6213152/items/6VYF4KVK"],"itemData":{"id":195,"type":"book","event-place":"Mısır","publisher":"Mektebetü İbni Abbâs","publisher-place":"Mısır","title":"el-Kifâye fî ilmi’r-rivâye","author":[{"family":"Hatîb el-Bağdâdî","given":"Ahmed b. Alî Ebû Bekr"}],"collection-editor":[{"family":"Ebû İshâk İbrahim b. Mustafa","given":""}],"issued":{"date-parts":[["2002"]]}},"locator":"2: 469","prefix":"“Biz Basra’da Resulullah (s.a.s.)’in ashabından nakledilen rivayetler işitirdik; Medine’ye gidip bizzat bunları ravilerinden semâ‘ etmeden rahat etmezdik”"},{"id":272,"uris":["http://zotero.org/users/6213152/items/YZ9PDI5Q"],"uri":["http://zotero.org/users/6213152/items/YZ9PDI5Q"],"itemData":{"id":272,"type":"book","event-place":"Beyrut","publisher":"Dâru'l-Fikr","publisher-place":"Beyrut","title":"el-Muhaddisu’l-fâsıl beyne’r-râvî ve’l-vâî'","author":[{"family":"Râmehurmûzî","given":"Hasen b. Abdirrahmân","dropping-particle":"er-"}],"collection-editor":[{"family":"Muhammed Accâc el-Hatîb","given":""}],"issued":{"date-parts":[["1971"]]}},"locator":"409","prefix":"“Biz bir kişinin hadisini almak için geldiğimizde, onun namazına bakardık. Şayet namazı sâlih ise rivayetini alır; kötüyse almazdık.”"}],"schema":"https://github.com/citation-style-language/schema/raw/master/csl-citation.json"} </w:instrText>
      </w:r>
      <w:r w:rsidRPr="00A363C6">
        <w:rPr>
          <w:rFonts w:cs="Gentium Plus"/>
        </w:rPr>
        <w:fldChar w:fldCharType="separate"/>
      </w:r>
      <w:r w:rsidRPr="00A363C6">
        <w:rPr>
          <w:rFonts w:cs="Gentium Plus"/>
          <w:szCs w:val="24"/>
        </w:rPr>
        <w:t xml:space="preserve">“Biz Basra’da Resulullah (s.a.s.)’in ashabından nakledilen rivâyetler işitirdik; Medine’ye gidip bizzat bunları ravilerinden semâ‘ etmeden rahat etmezdik” Ahmed b. Alî Ebû Bekr Hatîb el-Bağdâdî, </w:t>
      </w:r>
      <w:r w:rsidRPr="00A363C6">
        <w:rPr>
          <w:rFonts w:cs="Gentium Plus"/>
          <w:i/>
          <w:iCs/>
          <w:szCs w:val="24"/>
        </w:rPr>
        <w:t>el-Kifâye fî ilmi’r-rivâye</w:t>
      </w:r>
      <w:r w:rsidRPr="00A363C6">
        <w:rPr>
          <w:rFonts w:cs="Gentium Plus"/>
          <w:szCs w:val="24"/>
        </w:rPr>
        <w:t xml:space="preserve">, thk. Ebû İshâk İbrahim b. Mustafa (Mısır: Mektebetü İbni Abbâs, 2002), 2: 469; “Biz bir kişinin hadisini almak için geldiğimizde, onun namazına bakardık. Şayet namazı sâlih ise rivâyetini alır; kötüyse almazdık.” Hasen b. Abdirrahmân er-Râmehurmûzî, </w:t>
      </w:r>
      <w:r w:rsidRPr="00A363C6">
        <w:rPr>
          <w:rFonts w:cs="Gentium Plus"/>
          <w:i/>
          <w:iCs/>
          <w:szCs w:val="24"/>
        </w:rPr>
        <w:t>el-Muhaddisu’l-fâsıl beyne’r-râvî ve’l-vâî’</w:t>
      </w:r>
      <w:r w:rsidRPr="00A363C6">
        <w:rPr>
          <w:rFonts w:cs="Gentium Plus"/>
          <w:szCs w:val="24"/>
        </w:rPr>
        <w:t>, thk. Muhammed Accâc el-Hatîb (Beyrut: Dâru’l-Fikr, 1971), 409.</w:t>
      </w:r>
      <w:r w:rsidRPr="00A363C6">
        <w:rPr>
          <w:rFonts w:cs="Gentium Plus"/>
        </w:rPr>
        <w:fldChar w:fldCharType="end"/>
      </w:r>
    </w:p>
  </w:footnote>
  <w:footnote w:id="4">
    <w:p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{"citationID":"wzlF0D06","properties":{"formattedCitation":"\\uc0\\u8220{}\\uc0\\u194{}limler, bir ki\\uc0\\u351{}iden hadis alaca\\uc0\\u287{}\\uc0\\u305{} zaman onun namaz\\uc0\\u305{}na ve genel durumuna bakarlard\\uc0\\u305{}.\\uc0\\u8221{} Ebu Muhammed Abdurrahman b. Muhammed \\uc0\\u304{}bn Eb\\uc0\\u238{} H\\uc0\\u226{}tim, {\\i{}el-Cerh ve\\uc0\\u8217{}t-Ta\\uc0\\u8216{}d\\uc0\\u238{}l} (Beyrut: D\\uc0\\u226{}ru \\uc0\\u304{}hy\\uc0\\u226{}i\\uc0\\u8217{}t-Tur\\uc0\\u226{}si\\uc0\\u8217{}l-Arab\\uc0\\u238{}, 1952), 2: 16; Ebu Muhammed Abdullah b. Abdirrahman D\\uc0\\u226{}r\\uc0\\u238{}m\\uc0\\u238{}, {\\i{}S\\uc0\\u252{}nen}, thk. \\uc0\\u8216{}Imadu\\uc0\\u8217{}t-Tayy\\uc0\\u226{}r ve \\uc0\\u8216{}Izzudd\\uc0\\u238{}n Dali (Beyrut: M\\uc0\\u252{}esseset\\uc0\\u252{}\\uc0\\u8217{}r-Ris\\uc0\\u226{}le N\\uc0\\u226{}\\uc0\\u351{}ir\\uc0\\u251{}n, 2017), \\uc0\\u8220{}\\uc0\\u304{}lim\\uc0\\u8221{}, 22.","plainCitation":"“Âlimler, bir kişiden hadis alacağı zaman onun namazına ve genel durumuna bakarlardı.” Ebu Muhammed Abdurrahman b. Muhammed İbn Ebî Hâtim, el-Cerh ve’t-Ta‘dîl (Beyrut: Dâru İhyâi’t-Turâsi’l-Arabî, 1952), 2: 16; Ebu Muhammed Abdullah b. Abdirrahman Dârîmî, Sünen, thk. ‘Imadu’t-Tayyâr ve ‘Izzuddîn Dali (Beyrut: Müessesetü’r-Risâle Nâşirûn, 2017), “İlim”, 22.","noteIndex":4},"citationItems":[{"id":271,"uris":["http://zotero.org/users/6213152/items/VVMYYNM3"],"uri":["http://zotero.org/users/6213152/items/VVMYYNM3"],"itemData":{"id":271,"type":"book","event-place":"Beyrut","publisher":"Dâru İhyâi't-Turâsi'l-Arabî","publisher-place":"Beyrut","title":"el-Cerh ve't-Ta‘dîl","author":[{"family":"İbn Ebî Hâtim","given":"Ebu Muhammed Abdurrahman b. Muhammed"}],"issued":{"date-parts":[["1952"]]}},"locator":"2: 16","prefix":"“Âlimler, bir kişiden hadis alacağı zaman onun namazına ve genel durumuna bakarlardı.”"},{"id":273,"uris":["http://zotero.org/users/6213152/items/XRBAP758"],"uri":["http://zotero.org/users/6213152/items/XRBAP758"],"itemData":{"id":273,"type":"book","event-place":"Beyrut","publisher":"Müessesetü'r-Risâle Nâşirûn","publisher-place":"Beyrut","title":"Sünen","author":[{"family":"Dârîmî","given":"Ebu Muhammed Abdullah b. Abdirrahman"}],"collection-editor":[{"family":"‘Imadu’t-Tayyâr","given":""},{"family":"Dali","given":"‘Izzuddîn"}],"issued":{"date-parts":[["2017"]]}},"locator":"\"İlim\", 22"}],"schema":"https://github.com/citation-style-language/schema/raw/master/csl-citation.json"} </w:instrText>
      </w:r>
      <w:r w:rsidRPr="00A363C6">
        <w:rPr>
          <w:rFonts w:cs="Gentium Plus"/>
        </w:rPr>
        <w:fldChar w:fldCharType="separate"/>
      </w:r>
      <w:r w:rsidRPr="00A363C6">
        <w:rPr>
          <w:rFonts w:cs="Gentium Plus"/>
          <w:szCs w:val="24"/>
        </w:rPr>
        <w:t xml:space="preserve">“Âlimler, bir kişiden hadis alacağı zaman onun namazına ve genel durumuna bakarlardı.” Ebu Muhammed Abdurrahman b. Muhammed İbn Ebî Hâtim, </w:t>
      </w:r>
      <w:r w:rsidRPr="00A363C6">
        <w:rPr>
          <w:rFonts w:cs="Gentium Plus"/>
          <w:i/>
          <w:iCs/>
          <w:szCs w:val="24"/>
        </w:rPr>
        <w:t>el-Cerh ve’t-Ta‘dîl</w:t>
      </w:r>
      <w:r w:rsidRPr="00A363C6">
        <w:rPr>
          <w:rFonts w:cs="Gentium Plus"/>
          <w:szCs w:val="24"/>
        </w:rPr>
        <w:t xml:space="preserve"> (Beyrut: Dâru İhyâi’t-Turâsi’l-Arabî, 1952), 2: 16; Ebu Muhammed Abdullah b. Abdirrahman Dârîmî, </w:t>
      </w:r>
      <w:r w:rsidRPr="00A363C6">
        <w:rPr>
          <w:rFonts w:cs="Gentium Plus"/>
          <w:i/>
          <w:iCs/>
          <w:szCs w:val="24"/>
        </w:rPr>
        <w:t>Sünen</w:t>
      </w:r>
      <w:r w:rsidRPr="00A363C6">
        <w:rPr>
          <w:rFonts w:cs="Gentium Plus"/>
          <w:szCs w:val="24"/>
        </w:rPr>
        <w:t>, thk. ‘Imadu’t-Tayyâr ve ‘Izzuddîn Dali (Beyrut: Müessesetü’r-Risâle Nâşirûn, 2017), “İlim”, 22.</w:t>
      </w:r>
      <w:r w:rsidRPr="00A363C6">
        <w:rPr>
          <w:rFonts w:cs="Gentium Plus"/>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15"/>
    <w:rsid w:val="002F1A4F"/>
    <w:rsid w:val="00395515"/>
    <w:rsid w:val="00A8314E"/>
    <w:rsid w:val="00AC2573"/>
    <w:rsid w:val="00C97D5E"/>
    <w:rsid w:val="00CB0A54"/>
    <w:rsid w:val="00D056C0"/>
    <w:rsid w:val="00D5015B"/>
    <w:rsid w:val="00EB0661"/>
    <w:rsid w:val="00F510C1"/>
    <w:rsid w:val="00F60E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4E5C5-D230-4975-838A-8D1FAF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60E3C"/>
    <w:pPr>
      <w:tabs>
        <w:tab w:val="left" w:pos="426"/>
      </w:tabs>
      <w:spacing w:before="240" w:after="0" w:line="240" w:lineRule="auto"/>
      <w:ind w:firstLine="567"/>
      <w:outlineLvl w:val="0"/>
    </w:pPr>
    <w:rPr>
      <w:rFonts w:ascii="Gentium Plus" w:eastAsia="Times New Roman" w:hAnsi="Gentium Plus" w:cs="Times New Roman"/>
      <w:b/>
      <w:bCs/>
      <w:szCs w:val="20"/>
    </w:rPr>
  </w:style>
  <w:style w:type="paragraph" w:styleId="Balk2">
    <w:name w:val="heading 2"/>
    <w:basedOn w:val="Normal"/>
    <w:next w:val="Normal"/>
    <w:link w:val="Balk2Char"/>
    <w:uiPriority w:val="9"/>
    <w:semiHidden/>
    <w:unhideWhenUsed/>
    <w:qFormat/>
    <w:rsid w:val="00F60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E3C"/>
    <w:rPr>
      <w:rFonts w:ascii="Gentium Plus" w:eastAsia="Times New Roman" w:hAnsi="Gentium Plus" w:cs="Times New Roman"/>
      <w:b/>
      <w:bCs/>
      <w:szCs w:val="20"/>
    </w:rPr>
  </w:style>
  <w:style w:type="character" w:styleId="DipnotBavurusu">
    <w:name w:val="footnote reference"/>
    <w:basedOn w:val="VarsaylanParagrafYazTipi"/>
    <w:uiPriority w:val="99"/>
    <w:rsid w:val="00F60E3C"/>
    <w:rPr>
      <w:vertAlign w:val="superscript"/>
    </w:rPr>
  </w:style>
  <w:style w:type="paragraph" w:customStyle="1" w:styleId="Paragraf">
    <w:name w:val="Paragraf"/>
    <w:basedOn w:val="Normal"/>
    <w:link w:val="ParagrafChar"/>
    <w:qFormat/>
    <w:rsid w:val="00F60E3C"/>
    <w:pPr>
      <w:spacing w:before="60" w:after="60" w:line="276" w:lineRule="auto"/>
      <w:ind w:firstLine="567"/>
      <w:jc w:val="both"/>
    </w:pPr>
    <w:rPr>
      <w:rFonts w:ascii="Gentium Plus" w:eastAsia="Times New Roman" w:hAnsi="Gentium Plus" w:cs="Times New Roman"/>
      <w:szCs w:val="20"/>
    </w:rPr>
  </w:style>
  <w:style w:type="character" w:customStyle="1" w:styleId="ParagrafChar">
    <w:name w:val="Paragraf Char"/>
    <w:basedOn w:val="VarsaylanParagrafYazTipi"/>
    <w:link w:val="Paragraf"/>
    <w:rsid w:val="00F60E3C"/>
    <w:rPr>
      <w:rFonts w:ascii="Gentium Plus" w:eastAsia="Times New Roman" w:hAnsi="Gentium Plus" w:cs="Times New Roman"/>
      <w:szCs w:val="20"/>
    </w:rPr>
  </w:style>
  <w:style w:type="paragraph" w:customStyle="1" w:styleId="Dipnot">
    <w:name w:val="Dipnot"/>
    <w:basedOn w:val="DipnotMetni"/>
    <w:link w:val="DipnotChar"/>
    <w:qFormat/>
    <w:rsid w:val="00F60E3C"/>
    <w:pPr>
      <w:tabs>
        <w:tab w:val="left" w:pos="227"/>
      </w:tabs>
      <w:spacing w:after="40"/>
      <w:ind w:left="227" w:hanging="227"/>
      <w:jc w:val="both"/>
    </w:pPr>
    <w:rPr>
      <w:rFonts w:ascii="Gentium Plus" w:eastAsia="Times New Roman" w:hAnsi="Gentium Plus" w:cs="Traditional Arabic"/>
      <w:sz w:val="18"/>
      <w:szCs w:val="16"/>
      <w:lang w:val="en-US" w:eastAsia="ko-KR"/>
    </w:rPr>
  </w:style>
  <w:style w:type="character" w:customStyle="1" w:styleId="DipnotChar">
    <w:name w:val="Dipnot Char"/>
    <w:basedOn w:val="VarsaylanParagrafYazTipi"/>
    <w:link w:val="Dipnot"/>
    <w:rsid w:val="00F60E3C"/>
    <w:rPr>
      <w:rFonts w:ascii="Gentium Plus" w:eastAsia="Times New Roman" w:hAnsi="Gentium Plus" w:cs="Traditional Arabic"/>
      <w:sz w:val="18"/>
      <w:szCs w:val="16"/>
      <w:lang w:val="en-US" w:eastAsia="ko-KR"/>
    </w:rPr>
  </w:style>
  <w:style w:type="paragraph" w:styleId="DipnotMetni">
    <w:name w:val="footnote text"/>
    <w:basedOn w:val="Normal"/>
    <w:link w:val="DipnotMetniChar"/>
    <w:uiPriority w:val="99"/>
    <w:semiHidden/>
    <w:unhideWhenUsed/>
    <w:rsid w:val="00F60E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0E3C"/>
    <w:rPr>
      <w:sz w:val="20"/>
      <w:szCs w:val="20"/>
    </w:rPr>
  </w:style>
  <w:style w:type="character" w:customStyle="1" w:styleId="Balk2Char">
    <w:name w:val="Başlık 2 Char"/>
    <w:basedOn w:val="VarsaylanParagrafYazTipi"/>
    <w:link w:val="Balk2"/>
    <w:uiPriority w:val="9"/>
    <w:semiHidden/>
    <w:rsid w:val="00F60E3C"/>
    <w:rPr>
      <w:rFonts w:asciiTheme="majorHAnsi" w:eastAsiaTheme="majorEastAsia" w:hAnsiTheme="majorHAnsi" w:cstheme="majorBidi"/>
      <w:color w:val="2E74B5" w:themeColor="accent1" w:themeShade="BF"/>
      <w:sz w:val="26"/>
      <w:szCs w:val="26"/>
    </w:rPr>
  </w:style>
  <w:style w:type="paragraph" w:customStyle="1" w:styleId="Kaynaka">
    <w:name w:val="Kaynakça"/>
    <w:basedOn w:val="Normal"/>
    <w:link w:val="KaynakaChar"/>
    <w:qFormat/>
    <w:rsid w:val="00F60E3C"/>
    <w:pPr>
      <w:spacing w:after="120" w:line="240" w:lineRule="auto"/>
      <w:ind w:left="567" w:hanging="567"/>
      <w:jc w:val="both"/>
    </w:pPr>
    <w:rPr>
      <w:rFonts w:ascii="Gentium Plus" w:eastAsia="Times New Roman" w:hAnsi="Gentium Plus" w:cs="Times New Roman"/>
      <w:sz w:val="20"/>
      <w:szCs w:val="20"/>
    </w:rPr>
  </w:style>
  <w:style w:type="character" w:customStyle="1" w:styleId="KaynakaChar">
    <w:name w:val="Kaynakça Char"/>
    <w:basedOn w:val="VarsaylanParagrafYazTipi"/>
    <w:link w:val="Kaynaka"/>
    <w:rsid w:val="00F60E3C"/>
    <w:rPr>
      <w:rFonts w:ascii="Gentium Plus" w:eastAsia="Times New Roman" w:hAnsi="Gentium Plus" w:cs="Times New Roman"/>
      <w:sz w:val="20"/>
      <w:szCs w:val="20"/>
    </w:rPr>
  </w:style>
  <w:style w:type="character" w:styleId="Kpr">
    <w:name w:val="Hyperlink"/>
    <w:basedOn w:val="VarsaylanParagrafYazTipi"/>
    <w:rsid w:val="00F60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section/isnad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eferenceworks.brillonline.com/browse/encyclopaedia-of-islam-3" TargetMode="External"/><Relationship Id="rId5" Type="http://schemas.openxmlformats.org/officeDocument/2006/relationships/endnotes" Target="endnotes.xml"/><Relationship Id="rId10" Type="http://schemas.openxmlformats.org/officeDocument/2006/relationships/hyperlink" Target="https://www.isnadsistemi.org/guide/5-anahtar-kelimelerin-secimi/" TargetMode="External"/><Relationship Id="rId4" Type="http://schemas.openxmlformats.org/officeDocument/2006/relationships/footnotes" Target="footnotes.xml"/><Relationship Id="rId9" Type="http://schemas.openxmlformats.org/officeDocument/2006/relationships/hyperlink" Target="http://www.isnadsistemi.org/indirm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1284</Words>
  <Characters>7324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veyselozdemir</dc:creator>
  <cp:keywords/>
  <dc:description/>
  <cp:lastModifiedBy>veyselozdemir</cp:lastModifiedBy>
  <cp:revision>5</cp:revision>
  <dcterms:created xsi:type="dcterms:W3CDTF">2020-01-15T07:58:00Z</dcterms:created>
  <dcterms:modified xsi:type="dcterms:W3CDTF">2020-01-16T06:20:00Z</dcterms:modified>
</cp:coreProperties>
</file>