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A7579" w14:textId="77777777" w:rsidR="00BC7C0E" w:rsidRDefault="00BC7C0E" w:rsidP="00E06088">
      <w:pPr>
        <w:jc w:val="center"/>
        <w:rPr>
          <w:rFonts w:ascii="Gentium Plus" w:eastAsia="Calibri" w:hAnsi="Gentium Plus" w:cs="Gentium Plus"/>
          <w:b/>
          <w:bCs/>
          <w:sz w:val="20"/>
          <w:szCs w:val="20"/>
        </w:rPr>
      </w:pPr>
      <w:r>
        <w:rPr>
          <w:rFonts w:ascii="Gentium Plus" w:eastAsia="Calibri" w:hAnsi="Gentium Plus" w:cs="Gentium Plus"/>
          <w:b/>
          <w:bCs/>
          <w:sz w:val="20"/>
          <w:szCs w:val="20"/>
        </w:rPr>
        <w:t xml:space="preserve">ARTICLE </w:t>
      </w:r>
      <w:r w:rsidR="00E06088">
        <w:rPr>
          <w:rFonts w:ascii="Gentium Plus" w:eastAsia="Calibri" w:hAnsi="Gentium Plus" w:cs="Gentium Plus"/>
          <w:b/>
          <w:bCs/>
          <w:sz w:val="20"/>
          <w:szCs w:val="20"/>
        </w:rPr>
        <w:t>FORMATTING</w:t>
      </w:r>
      <w:r w:rsidRPr="00BC7C0E">
        <w:rPr>
          <w:rFonts w:ascii="Gentium Plus" w:eastAsia="Calibri" w:hAnsi="Gentium Plus" w:cs="Gentium Plus"/>
          <w:b/>
          <w:bCs/>
          <w:sz w:val="20"/>
          <w:szCs w:val="20"/>
        </w:rPr>
        <w:t xml:space="preserve"> TEMPLATE</w:t>
      </w:r>
    </w:p>
    <w:p w14:paraId="7FD98BC7" w14:textId="77777777" w:rsidR="00351CC1" w:rsidRPr="00C66127" w:rsidRDefault="00351CC1" w:rsidP="00F60E3C">
      <w:pPr>
        <w:jc w:val="center"/>
        <w:rPr>
          <w:rFonts w:ascii="Gentium Plus" w:eastAsia="Calibri" w:hAnsi="Gentium Plus" w:cs="Gentium Plus"/>
          <w:b/>
          <w:bCs/>
          <w:sz w:val="20"/>
          <w:szCs w:val="20"/>
        </w:rPr>
      </w:pPr>
    </w:p>
    <w:p w14:paraId="57D455EA" w14:textId="77777777" w:rsidR="00F60E3C" w:rsidRPr="006A70D6" w:rsidRDefault="00E06088" w:rsidP="00F60E3C">
      <w:pPr>
        <w:rPr>
          <w:rFonts w:ascii="Gentium Plus" w:eastAsia="Calibri" w:hAnsi="Gentium Plus" w:cs="Gentium Plus"/>
          <w:b/>
          <w:bCs/>
          <w:color w:val="FF0000"/>
          <w:sz w:val="18"/>
          <w:szCs w:val="18"/>
        </w:rPr>
      </w:pPr>
      <w:r>
        <w:rPr>
          <w:rFonts w:ascii="Gentium Plus" w:eastAsia="Calibri" w:hAnsi="Gentium Plus" w:cs="Gentium Plus"/>
          <w:b/>
          <w:bCs/>
          <w:color w:val="FF0000"/>
          <w:sz w:val="18"/>
          <w:szCs w:val="18"/>
        </w:rPr>
        <w:t>GENERAL GUIDELINES</w:t>
      </w:r>
      <w:r w:rsidR="00F60E3C" w:rsidRPr="006A70D6">
        <w:rPr>
          <w:rFonts w:ascii="Gentium Plus" w:eastAsia="Calibri" w:hAnsi="Gentium Plus" w:cs="Gentium Plus"/>
          <w:b/>
          <w:bCs/>
          <w:color w:val="FF0000"/>
          <w:sz w:val="18"/>
          <w:szCs w:val="18"/>
        </w:rPr>
        <w:t>:</w:t>
      </w:r>
    </w:p>
    <w:p w14:paraId="07F0DF55" w14:textId="51DEE9E4" w:rsidR="00EB0661" w:rsidRPr="006A70D6" w:rsidRDefault="00BC7C0E" w:rsidP="00BC7C0E">
      <w:pPr>
        <w:rPr>
          <w:rFonts w:ascii="Gentium Plus" w:eastAsia="Calibri" w:hAnsi="Gentium Plus" w:cs="Gentium Plus"/>
          <w:color w:val="FF0000"/>
          <w:sz w:val="18"/>
          <w:szCs w:val="18"/>
        </w:rPr>
      </w:pPr>
      <w:proofErr w:type="spellStart"/>
      <w:r>
        <w:rPr>
          <w:rFonts w:ascii="Gentium Plus" w:eastAsia="Calibri" w:hAnsi="Gentium Plus" w:cs="Gentium Plus"/>
          <w:color w:val="FF0000"/>
          <w:sz w:val="18"/>
          <w:szCs w:val="18"/>
        </w:rPr>
        <w:t>Text</w:t>
      </w:r>
      <w:proofErr w:type="spellEnd"/>
      <w:r w:rsidR="00E06088">
        <w:rPr>
          <w:rFonts w:ascii="Gentium Plus" w:eastAsia="Calibri" w:hAnsi="Gentium Plus" w:cs="Gentium Plus"/>
          <w:color w:val="FF0000"/>
          <w:sz w:val="18"/>
          <w:szCs w:val="18"/>
        </w:rPr>
        <w:t xml:space="preserve">: </w:t>
      </w:r>
      <w:proofErr w:type="spellStart"/>
      <w:r w:rsidR="00E06088">
        <w:rPr>
          <w:rFonts w:ascii="Gentium Plus" w:eastAsia="Calibri" w:hAnsi="Gentium Plus" w:cs="Gentium Plus"/>
          <w:color w:val="FF0000"/>
          <w:sz w:val="18"/>
          <w:szCs w:val="18"/>
        </w:rPr>
        <w:t>Gentium</w:t>
      </w:r>
      <w:proofErr w:type="spellEnd"/>
      <w:r w:rsidR="00E06088">
        <w:rPr>
          <w:rFonts w:ascii="Gentium Plus" w:eastAsia="Calibri" w:hAnsi="Gentium Plus" w:cs="Gentium Plus"/>
          <w:color w:val="FF0000"/>
          <w:sz w:val="18"/>
          <w:szCs w:val="18"/>
        </w:rPr>
        <w:t xml:space="preserve"> Plus </w:t>
      </w:r>
      <w:r w:rsidR="00F60E3C" w:rsidRPr="006A70D6">
        <w:rPr>
          <w:rFonts w:ascii="Gentium Plus" w:eastAsia="MP TNR Trans" w:hAnsi="Gentium Plus" w:cs="Gentium Plus"/>
          <w:color w:val="FF0000"/>
          <w:sz w:val="18"/>
          <w:szCs w:val="18"/>
        </w:rPr>
        <w:t>1</w:t>
      </w:r>
      <w:r w:rsidR="00F60E3C">
        <w:rPr>
          <w:rFonts w:ascii="Gentium Plus" w:eastAsia="MP TNR Trans" w:hAnsi="Gentium Plus" w:cs="Gentium Plus"/>
          <w:color w:val="FF0000"/>
          <w:sz w:val="18"/>
          <w:szCs w:val="18"/>
        </w:rPr>
        <w:t>1</w:t>
      </w:r>
      <w:r w:rsidR="00E06088">
        <w:rPr>
          <w:rFonts w:ascii="Gentium Plus" w:eastAsia="MP TNR Trans" w:hAnsi="Gentium Plus" w:cs="Gentium Plus"/>
          <w:color w:val="FF0000"/>
          <w:sz w:val="18"/>
          <w:szCs w:val="18"/>
        </w:rPr>
        <w:t>-</w:t>
      </w:r>
      <w:r>
        <w:rPr>
          <w:rFonts w:ascii="Gentium Plus" w:eastAsia="MP TNR Trans" w:hAnsi="Gentium Plus" w:cs="Gentium Plus"/>
          <w:color w:val="FF0000"/>
          <w:sz w:val="18"/>
          <w:szCs w:val="18"/>
        </w:rPr>
        <w:t>point</w:t>
      </w:r>
      <w:r w:rsidR="00E06088">
        <w:rPr>
          <w:rFonts w:ascii="Gentium Plus" w:eastAsia="MP TNR Trans" w:hAnsi="Gentium Plus" w:cs="Gentium Plus"/>
          <w:color w:val="FF0000"/>
          <w:sz w:val="18"/>
          <w:szCs w:val="18"/>
        </w:rPr>
        <w:t xml:space="preserve"> font</w:t>
      </w:r>
      <w:r w:rsidR="00871F9E">
        <w:rPr>
          <w:rFonts w:ascii="Gentium Plus" w:eastAsia="MP TNR Trans" w:hAnsi="Gentium Plus" w:cs="Gentium Plus"/>
          <w:color w:val="FF0000"/>
          <w:sz w:val="18"/>
          <w:szCs w:val="18"/>
        </w:rPr>
        <w:t xml:space="preserve">, </w:t>
      </w:r>
      <w:r w:rsidRPr="00BC7C0E">
        <w:rPr>
          <w:rFonts w:ascii="Gentium Plus" w:eastAsia="MP TNR Trans" w:hAnsi="Gentium Plus" w:cs="Gentium Plus"/>
          <w:color w:val="FF0000"/>
          <w:sz w:val="18"/>
          <w:szCs w:val="18"/>
        </w:rPr>
        <w:t xml:space="preserve">Top of </w:t>
      </w:r>
      <w:proofErr w:type="spellStart"/>
      <w:r w:rsidRPr="00BC7C0E">
        <w:rPr>
          <w:rFonts w:ascii="Gentium Plus" w:eastAsia="MP TNR Trans" w:hAnsi="Gentium Plus" w:cs="Gentium Plus"/>
          <w:color w:val="FF0000"/>
          <w:sz w:val="18"/>
          <w:szCs w:val="18"/>
        </w:rPr>
        <w:t>Paragraph</w:t>
      </w:r>
      <w:proofErr w:type="spellEnd"/>
      <w:r w:rsidR="00EB0661" w:rsidRPr="006A70D6">
        <w:rPr>
          <w:rFonts w:ascii="Gentium Plus" w:eastAsia="MP TNR Trans" w:hAnsi="Gentium Plus" w:cs="Gentium Plus"/>
          <w:color w:val="FF0000"/>
          <w:sz w:val="18"/>
          <w:szCs w:val="18"/>
        </w:rPr>
        <w:t xml:space="preserve">: </w:t>
      </w:r>
      <w:r w:rsidRPr="00BC7C0E">
        <w:rPr>
          <w:rFonts w:ascii="Gentium Plus" w:eastAsia="MP TNR Trans" w:hAnsi="Gentium Plus" w:cs="Gentium Plus"/>
          <w:color w:val="FF0000"/>
          <w:sz w:val="18"/>
          <w:szCs w:val="18"/>
        </w:rPr>
        <w:t xml:space="preserve">1 cm </w:t>
      </w:r>
      <w:proofErr w:type="spellStart"/>
      <w:r w:rsidRPr="00BC7C0E">
        <w:rPr>
          <w:rFonts w:ascii="Gentium Plus" w:eastAsia="MP TNR Trans" w:hAnsi="Gentium Plus" w:cs="Gentium Plus"/>
          <w:color w:val="FF0000"/>
          <w:sz w:val="18"/>
          <w:szCs w:val="18"/>
        </w:rPr>
        <w:t>from</w:t>
      </w:r>
      <w:proofErr w:type="spellEnd"/>
      <w:r w:rsidRPr="00BC7C0E">
        <w:rPr>
          <w:rFonts w:ascii="Gentium Plus" w:eastAsia="MP TNR Trans" w:hAnsi="Gentium Plus" w:cs="Gentium Plus"/>
          <w:color w:val="FF0000"/>
          <w:sz w:val="18"/>
          <w:szCs w:val="18"/>
        </w:rPr>
        <w:t xml:space="preserve"> </w:t>
      </w:r>
      <w:proofErr w:type="spellStart"/>
      <w:r w:rsidRPr="00BC7C0E">
        <w:rPr>
          <w:rFonts w:ascii="Gentium Plus" w:eastAsia="MP TNR Trans" w:hAnsi="Gentium Plus" w:cs="Gentium Plus"/>
          <w:color w:val="FF0000"/>
          <w:sz w:val="18"/>
          <w:szCs w:val="18"/>
        </w:rPr>
        <w:t>the</w:t>
      </w:r>
      <w:proofErr w:type="spellEnd"/>
      <w:r w:rsidRPr="00BC7C0E">
        <w:rPr>
          <w:rFonts w:ascii="Gentium Plus" w:eastAsia="MP TNR Trans" w:hAnsi="Gentium Plus" w:cs="Gentium Plus"/>
          <w:color w:val="FF0000"/>
          <w:sz w:val="18"/>
          <w:szCs w:val="18"/>
        </w:rPr>
        <w:t xml:space="preserve"> inside</w:t>
      </w:r>
    </w:p>
    <w:p w14:paraId="3EB473E1" w14:textId="5250E14E" w:rsidR="00F60E3C" w:rsidRPr="006A70D6" w:rsidRDefault="00351CC1" w:rsidP="00351CC1">
      <w:pPr>
        <w:rPr>
          <w:rFonts w:ascii="Gentium Plus" w:eastAsia="MP TNR Trans" w:hAnsi="Gentium Plus" w:cs="Gentium Plus"/>
          <w:color w:val="FF0000"/>
          <w:sz w:val="18"/>
          <w:szCs w:val="18"/>
        </w:rPr>
      </w:pPr>
      <w:proofErr w:type="spellStart"/>
      <w:r w:rsidRPr="00351CC1">
        <w:rPr>
          <w:rFonts w:ascii="Gentium Plus" w:eastAsia="Calibri" w:hAnsi="Gentium Plus" w:cs="Gentium Plus"/>
          <w:color w:val="FF0000"/>
          <w:sz w:val="18"/>
          <w:szCs w:val="18"/>
        </w:rPr>
        <w:t>Footnotes</w:t>
      </w:r>
      <w:proofErr w:type="spellEnd"/>
      <w:r w:rsidRPr="00351CC1">
        <w:rPr>
          <w:rFonts w:ascii="Gentium Plus" w:eastAsia="Calibri" w:hAnsi="Gentium Plus" w:cs="Gentium Plus"/>
          <w:color w:val="FF0000"/>
          <w:sz w:val="18"/>
          <w:szCs w:val="18"/>
        </w:rPr>
        <w:t xml:space="preserve">: </w:t>
      </w:r>
      <w:proofErr w:type="spellStart"/>
      <w:r w:rsidRPr="00351CC1">
        <w:rPr>
          <w:rFonts w:ascii="Gentium Plus" w:eastAsia="Calibri" w:hAnsi="Gentium Plus" w:cs="Gentium Plus"/>
          <w:color w:val="FF0000"/>
          <w:sz w:val="18"/>
          <w:szCs w:val="18"/>
        </w:rPr>
        <w:t>Gentium</w:t>
      </w:r>
      <w:proofErr w:type="spellEnd"/>
      <w:r w:rsidRPr="00351CC1">
        <w:rPr>
          <w:rFonts w:ascii="Gentium Plus" w:eastAsia="Calibri" w:hAnsi="Gentium Plus" w:cs="Gentium Plus"/>
          <w:color w:val="FF0000"/>
          <w:sz w:val="18"/>
          <w:szCs w:val="18"/>
        </w:rPr>
        <w:t xml:space="preserve"> Plus</w:t>
      </w:r>
      <w:r w:rsidR="00C859B8">
        <w:rPr>
          <w:rFonts w:ascii="Gentium Plus" w:eastAsia="Calibri" w:hAnsi="Gentium Plus" w:cs="Gentium Plus"/>
          <w:color w:val="FF0000"/>
          <w:sz w:val="18"/>
          <w:szCs w:val="18"/>
        </w:rPr>
        <w:t xml:space="preserve">, 9 </w:t>
      </w:r>
      <w:proofErr w:type="spellStart"/>
      <w:r w:rsidR="00C859B8">
        <w:rPr>
          <w:rFonts w:ascii="Gentium Plus" w:eastAsia="Calibri" w:hAnsi="Gentium Plus" w:cs="Gentium Plus"/>
          <w:color w:val="FF0000"/>
          <w:sz w:val="18"/>
          <w:szCs w:val="18"/>
        </w:rPr>
        <w:t>point</w:t>
      </w:r>
      <w:proofErr w:type="spellEnd"/>
      <w:r w:rsidR="00C859B8">
        <w:rPr>
          <w:rFonts w:ascii="Gentium Plus" w:eastAsia="Calibri" w:hAnsi="Gentium Plus" w:cs="Gentium Plus"/>
          <w:color w:val="FF0000"/>
          <w:sz w:val="18"/>
          <w:szCs w:val="18"/>
        </w:rPr>
        <w:t>-font</w:t>
      </w:r>
      <w:r>
        <w:rPr>
          <w:rFonts w:ascii="Gentium Plus" w:eastAsia="Calibri" w:hAnsi="Gentium Plus" w:cs="Gentium Plus"/>
          <w:color w:val="FF0000"/>
          <w:sz w:val="18"/>
          <w:szCs w:val="18"/>
        </w:rPr>
        <w:t xml:space="preserve">, </w:t>
      </w:r>
      <w:proofErr w:type="spellStart"/>
      <w:r>
        <w:rPr>
          <w:rFonts w:ascii="Gentium Plus" w:eastAsia="Calibri" w:hAnsi="Gentium Plus" w:cs="Gentium Plus"/>
          <w:color w:val="FF0000"/>
          <w:sz w:val="18"/>
          <w:szCs w:val="18"/>
        </w:rPr>
        <w:t>single</w:t>
      </w:r>
      <w:proofErr w:type="spellEnd"/>
      <w:r>
        <w:rPr>
          <w:rFonts w:ascii="Gentium Plus" w:eastAsia="Calibri" w:hAnsi="Gentium Plus" w:cs="Gentium Plus"/>
          <w:color w:val="FF0000"/>
          <w:sz w:val="18"/>
          <w:szCs w:val="18"/>
        </w:rPr>
        <w:t xml:space="preserve"> </w:t>
      </w:r>
      <w:proofErr w:type="spellStart"/>
      <w:r>
        <w:rPr>
          <w:rFonts w:ascii="Gentium Plus" w:eastAsia="Calibri" w:hAnsi="Gentium Plus" w:cs="Gentium Plus"/>
          <w:color w:val="FF0000"/>
          <w:sz w:val="18"/>
          <w:szCs w:val="18"/>
        </w:rPr>
        <w:t>line</w:t>
      </w:r>
      <w:proofErr w:type="spellEnd"/>
      <w:r>
        <w:rPr>
          <w:rFonts w:ascii="Gentium Plus" w:eastAsia="Calibri" w:hAnsi="Gentium Plus" w:cs="Gentium Plus"/>
          <w:color w:val="FF0000"/>
          <w:sz w:val="18"/>
          <w:szCs w:val="18"/>
        </w:rPr>
        <w:t xml:space="preserve"> </w:t>
      </w:r>
      <w:proofErr w:type="spellStart"/>
      <w:r>
        <w:rPr>
          <w:rFonts w:ascii="Gentium Plus" w:eastAsia="Calibri" w:hAnsi="Gentium Plus" w:cs="Gentium Plus"/>
          <w:color w:val="FF0000"/>
          <w:sz w:val="18"/>
          <w:szCs w:val="18"/>
        </w:rPr>
        <w:t>spacing</w:t>
      </w:r>
      <w:proofErr w:type="spellEnd"/>
      <w:r>
        <w:rPr>
          <w:rFonts w:ascii="Gentium Plus" w:eastAsia="Calibri" w:hAnsi="Gentium Plus" w:cs="Gentium Plus"/>
          <w:color w:val="FF0000"/>
          <w:sz w:val="18"/>
          <w:szCs w:val="18"/>
        </w:rPr>
        <w:t xml:space="preserve">, </w:t>
      </w:r>
      <w:proofErr w:type="gramStart"/>
      <w:r w:rsidRPr="00351CC1">
        <w:rPr>
          <w:rFonts w:ascii="Gentium Plus" w:eastAsia="MP TNR Trans" w:hAnsi="Gentium Plus" w:cs="Gentium Plus"/>
          <w:color w:val="FF0000"/>
          <w:sz w:val="18"/>
          <w:szCs w:val="18"/>
        </w:rPr>
        <w:t>0.4</w:t>
      </w:r>
      <w:proofErr w:type="gramEnd"/>
      <w:r w:rsidRPr="00351CC1">
        <w:rPr>
          <w:rFonts w:ascii="Gentium Plus" w:eastAsia="MP TNR Trans" w:hAnsi="Gentium Plus" w:cs="Gentium Plus"/>
          <w:color w:val="FF0000"/>
          <w:sz w:val="18"/>
          <w:szCs w:val="18"/>
        </w:rPr>
        <w:t xml:space="preserve"> cm </w:t>
      </w:r>
      <w:proofErr w:type="spellStart"/>
      <w:r w:rsidRPr="00351CC1">
        <w:rPr>
          <w:rFonts w:ascii="Gentium Plus" w:eastAsia="MP TNR Trans" w:hAnsi="Gentium Plus" w:cs="Gentium Plus"/>
          <w:color w:val="FF0000"/>
          <w:sz w:val="18"/>
          <w:szCs w:val="18"/>
        </w:rPr>
        <w:t>hanging</w:t>
      </w:r>
      <w:proofErr w:type="spellEnd"/>
      <w:r>
        <w:rPr>
          <w:rFonts w:ascii="Gentium Plus" w:eastAsia="MP TNR Trans" w:hAnsi="Gentium Plus" w:cs="Gentium Plus"/>
          <w:color w:val="FF0000"/>
          <w:sz w:val="18"/>
          <w:szCs w:val="18"/>
        </w:rPr>
        <w:t>.</w:t>
      </w:r>
    </w:p>
    <w:p w14:paraId="2BCE5AD4" w14:textId="77777777" w:rsidR="00F60E3C" w:rsidRPr="00D056C0" w:rsidRDefault="00351CC1" w:rsidP="00D056C0">
      <w:pPr>
        <w:rPr>
          <w:rStyle w:val="Kpr"/>
          <w:rFonts w:ascii="Gentium Plus" w:eastAsia="MP TNR Trans" w:hAnsi="Gentium Plus" w:cs="Gentium Plus"/>
          <w:color w:val="0070C0"/>
          <w:sz w:val="18"/>
          <w:szCs w:val="18"/>
        </w:rPr>
      </w:pPr>
      <w:proofErr w:type="spellStart"/>
      <w:r w:rsidRPr="00351CC1">
        <w:rPr>
          <w:rFonts w:ascii="Gentium Plus" w:eastAsia="MP TNR Trans" w:hAnsi="Gentium Plus" w:cs="Gentium Plus"/>
          <w:color w:val="FF0000"/>
          <w:sz w:val="18"/>
          <w:szCs w:val="18"/>
        </w:rPr>
        <w:t>Isnad</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Citation</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System</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should</w:t>
      </w:r>
      <w:proofErr w:type="spellEnd"/>
      <w:r w:rsidRPr="00351CC1">
        <w:rPr>
          <w:rFonts w:ascii="Gentium Plus" w:eastAsia="MP TNR Trans" w:hAnsi="Gentium Plus" w:cs="Gentium Plus"/>
          <w:color w:val="FF0000"/>
          <w:sz w:val="18"/>
          <w:szCs w:val="18"/>
        </w:rPr>
        <w:t xml:space="preserve"> be </w:t>
      </w:r>
      <w:proofErr w:type="spellStart"/>
      <w:r w:rsidRPr="00351CC1">
        <w:rPr>
          <w:rFonts w:ascii="Gentium Plus" w:eastAsia="MP TNR Trans" w:hAnsi="Gentium Plus" w:cs="Gentium Plus"/>
          <w:color w:val="FF0000"/>
          <w:sz w:val="18"/>
          <w:szCs w:val="18"/>
        </w:rPr>
        <w:t>used</w:t>
      </w:r>
      <w:proofErr w:type="spellEnd"/>
      <w:r w:rsidRPr="00351CC1">
        <w:rPr>
          <w:rFonts w:ascii="Gentium Plus" w:eastAsia="MP TNR Trans" w:hAnsi="Gentium Plus" w:cs="Gentium Plus"/>
          <w:color w:val="FF0000"/>
          <w:sz w:val="18"/>
          <w:szCs w:val="18"/>
        </w:rPr>
        <w:t xml:space="preserve"> in </w:t>
      </w:r>
      <w:proofErr w:type="spellStart"/>
      <w:r w:rsidRPr="00351CC1">
        <w:rPr>
          <w:rFonts w:ascii="Gentium Plus" w:eastAsia="MP TNR Trans" w:hAnsi="Gentium Plus" w:cs="Gentium Plus"/>
          <w:color w:val="FF0000"/>
          <w:sz w:val="18"/>
          <w:szCs w:val="18"/>
        </w:rPr>
        <w:t>footnote</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and</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bibliography</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writing</w:t>
      </w:r>
      <w:proofErr w:type="spellEnd"/>
      <w:r w:rsidR="00F60E3C" w:rsidRPr="006A70D6">
        <w:rPr>
          <w:rFonts w:ascii="Gentium Plus" w:eastAsia="MP TNR Trans" w:hAnsi="Gentium Plus" w:cs="Gentium Plus"/>
          <w:color w:val="FF0000"/>
          <w:sz w:val="18"/>
          <w:szCs w:val="18"/>
        </w:rPr>
        <w:t>:</w:t>
      </w:r>
      <w:r>
        <w:rPr>
          <w:rFonts w:ascii="Gentium Plus" w:eastAsia="MP TNR Trans" w:hAnsi="Gentium Plus" w:cs="Gentium Plus"/>
          <w:color w:val="FF0000"/>
          <w:sz w:val="18"/>
          <w:szCs w:val="18"/>
        </w:rPr>
        <w:t xml:space="preserve"> </w:t>
      </w:r>
      <w:r w:rsidR="00F60E3C" w:rsidRPr="006A70D6">
        <w:rPr>
          <w:rFonts w:ascii="Gentium Plus" w:eastAsia="MP TNR Trans" w:hAnsi="Gentium Plus" w:cs="Gentium Plus"/>
          <w:color w:val="FF0000"/>
          <w:sz w:val="18"/>
          <w:szCs w:val="18"/>
        </w:rPr>
        <w:t xml:space="preserve"> </w:t>
      </w:r>
      <w:hyperlink r:id="rId6" w:history="1">
        <w:r w:rsidR="00D056C0" w:rsidRPr="00D056C0">
          <w:rPr>
            <w:rStyle w:val="Kpr"/>
            <w:rFonts w:ascii="Gentium Plus" w:hAnsi="Gentium Plus" w:cs="Gentium Plus"/>
            <w:sz w:val="18"/>
            <w:szCs w:val="18"/>
          </w:rPr>
          <w:t>https://www.isnadsistemi.org/section/isnad2/</w:t>
        </w:r>
      </w:hyperlink>
    </w:p>
    <w:p w14:paraId="267F338F" w14:textId="77777777" w:rsidR="00EB0661" w:rsidRDefault="00351CC1" w:rsidP="00351CC1">
      <w:pPr>
        <w:rPr>
          <w:rFonts w:ascii="Gentium Plus" w:eastAsia="MP TNR Trans" w:hAnsi="Gentium Plus" w:cs="Gentium Plus"/>
          <w:color w:val="FF0000"/>
          <w:sz w:val="18"/>
          <w:szCs w:val="18"/>
        </w:rPr>
      </w:pPr>
      <w:proofErr w:type="spellStart"/>
      <w:r w:rsidRPr="00351CC1">
        <w:rPr>
          <w:rFonts w:ascii="Gentium Plus" w:eastAsia="MP TNR Trans" w:hAnsi="Gentium Plus" w:cs="Gentium Plus"/>
          <w:color w:val="FF0000"/>
          <w:sz w:val="18"/>
          <w:szCs w:val="18"/>
        </w:rPr>
        <w:t>Gentium</w:t>
      </w:r>
      <w:proofErr w:type="spellEnd"/>
      <w:r w:rsidRPr="00351CC1">
        <w:rPr>
          <w:rFonts w:ascii="Gentium Plus" w:eastAsia="MP TNR Trans" w:hAnsi="Gentium Plus" w:cs="Gentium Plus"/>
          <w:color w:val="FF0000"/>
          <w:sz w:val="18"/>
          <w:szCs w:val="18"/>
        </w:rPr>
        <w:t xml:space="preserve"> Plus font file can be </w:t>
      </w:r>
      <w:proofErr w:type="spellStart"/>
      <w:r w:rsidRPr="00351CC1">
        <w:rPr>
          <w:rFonts w:ascii="Gentium Plus" w:eastAsia="MP TNR Trans" w:hAnsi="Gentium Plus" w:cs="Gentium Plus"/>
          <w:color w:val="FF0000"/>
          <w:sz w:val="18"/>
          <w:szCs w:val="18"/>
        </w:rPr>
        <w:t>downloaded</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from</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the</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Isnad</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Citation</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System</w:t>
      </w:r>
      <w:proofErr w:type="spellEnd"/>
      <w:r w:rsidRPr="00351CC1">
        <w:rPr>
          <w:rFonts w:ascii="Gentium Plus" w:eastAsia="MP TNR Trans" w:hAnsi="Gentium Plus" w:cs="Gentium Plus"/>
          <w:color w:val="FF0000"/>
          <w:sz w:val="18"/>
          <w:szCs w:val="18"/>
        </w:rPr>
        <w:t xml:space="preserve"> web </w:t>
      </w:r>
      <w:proofErr w:type="spellStart"/>
      <w:r w:rsidRPr="00351CC1">
        <w:rPr>
          <w:rFonts w:ascii="Gentium Plus" w:eastAsia="MP TNR Trans" w:hAnsi="Gentium Plus" w:cs="Gentium Plus"/>
          <w:color w:val="FF0000"/>
          <w:sz w:val="18"/>
          <w:szCs w:val="18"/>
        </w:rPr>
        <w:t>page</w:t>
      </w:r>
      <w:proofErr w:type="spellEnd"/>
      <w:r w:rsidR="00EB0661">
        <w:rPr>
          <w:rFonts w:ascii="Gentium Plus" w:eastAsia="MP TNR Trans" w:hAnsi="Gentium Plus" w:cs="Gentium Plus"/>
          <w:color w:val="FF0000"/>
          <w:sz w:val="18"/>
          <w:szCs w:val="18"/>
        </w:rPr>
        <w:t xml:space="preserve">: </w:t>
      </w:r>
      <w:hyperlink r:id="rId7" w:history="1">
        <w:r w:rsidR="00EB0661" w:rsidRPr="00972E2D">
          <w:rPr>
            <w:rStyle w:val="Kpr"/>
            <w:rFonts w:ascii="Gentium Plus" w:eastAsia="MP TNR Trans" w:hAnsi="Gentium Plus" w:cs="Gentium Plus"/>
            <w:sz w:val="18"/>
            <w:szCs w:val="18"/>
          </w:rPr>
          <w:t>http://www.isnadsistemi.org/indirmeler/</w:t>
        </w:r>
      </w:hyperlink>
    </w:p>
    <w:p w14:paraId="78E9C5CB" w14:textId="77777777" w:rsidR="00D056C0" w:rsidRDefault="00D056C0" w:rsidP="00F60E3C">
      <w:pPr>
        <w:rPr>
          <w:rStyle w:val="Kpr"/>
          <w:rFonts w:ascii="Gentium Plus" w:eastAsia="MP TNR Trans" w:hAnsi="Gentium Plus" w:cs="Gentium Plus"/>
          <w:color w:val="FF0000"/>
          <w:sz w:val="18"/>
          <w:szCs w:val="18"/>
        </w:rPr>
      </w:pPr>
    </w:p>
    <w:p w14:paraId="3B55FC93" w14:textId="77777777" w:rsidR="00D10D18" w:rsidRDefault="00D10D18">
      <w:pPr>
        <w:rPr>
          <w:rStyle w:val="Kpr"/>
          <w:rFonts w:ascii="Gentium Plus" w:eastAsia="MP TNR Trans" w:hAnsi="Gentium Plus" w:cs="Gentium Plus"/>
          <w:color w:val="FF0000"/>
          <w:sz w:val="18"/>
          <w:szCs w:val="18"/>
        </w:rPr>
      </w:pPr>
      <w:r>
        <w:rPr>
          <w:rStyle w:val="Kpr"/>
          <w:rFonts w:ascii="Gentium Plus" w:eastAsia="MP TNR Trans" w:hAnsi="Gentium Plus" w:cs="Gentium Plus"/>
          <w:color w:val="FF0000"/>
          <w:sz w:val="18"/>
          <w:szCs w:val="18"/>
        </w:rPr>
        <w:br w:type="page"/>
      </w:r>
    </w:p>
    <w:p w14:paraId="6CC768BE" w14:textId="77777777" w:rsidR="00F60E3C" w:rsidRDefault="00F60E3C" w:rsidP="00351CC1">
      <w:pPr>
        <w:spacing w:before="60" w:after="60"/>
        <w:jc w:val="center"/>
        <w:outlineLvl w:val="0"/>
        <w:rPr>
          <w:rFonts w:ascii="Gentium Plus" w:eastAsia="MP TNR Trans" w:hAnsi="Gentium Plus" w:cs="Gentium Plus"/>
          <w:b/>
          <w:bCs/>
          <w:color w:val="FF0000"/>
          <w:sz w:val="20"/>
          <w:szCs w:val="20"/>
        </w:rPr>
      </w:pPr>
      <w:proofErr w:type="spellStart"/>
      <w:r w:rsidRPr="00C66127">
        <w:rPr>
          <w:rFonts w:ascii="Gentium Plus" w:eastAsia="Calibri" w:hAnsi="Gentium Plus" w:cs="Gentium Plus"/>
          <w:b/>
          <w:bCs/>
          <w:sz w:val="20"/>
          <w:szCs w:val="20"/>
        </w:rPr>
        <w:lastRenderedPageBreak/>
        <w:t>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r w:rsidRPr="004A1C64">
        <w:rPr>
          <w:rFonts w:ascii="Gentium Plus" w:eastAsia="Calibri" w:hAnsi="Gentium Plus" w:cs="Gentium Plus"/>
          <w:b/>
          <w:bCs/>
          <w:color w:val="FF0000"/>
          <w:sz w:val="20"/>
          <w:szCs w:val="20"/>
        </w:rPr>
        <w:t>(</w:t>
      </w:r>
      <w:r w:rsidR="00351CC1" w:rsidRPr="00351CC1">
        <w:rPr>
          <w:rFonts w:ascii="Gentium Plus" w:eastAsia="Calibri" w:hAnsi="Gentium Plus" w:cs="Gentium Plus"/>
          <w:b/>
          <w:bCs/>
          <w:color w:val="FF0000"/>
          <w:sz w:val="20"/>
          <w:szCs w:val="20"/>
        </w:rPr>
        <w:t xml:space="preserve">English </w:t>
      </w:r>
      <w:proofErr w:type="spellStart"/>
      <w:r w:rsidR="00351CC1" w:rsidRPr="00351CC1">
        <w:rPr>
          <w:rFonts w:ascii="Gentium Plus" w:eastAsia="Calibri" w:hAnsi="Gentium Plus" w:cs="Gentium Plus"/>
          <w:b/>
          <w:bCs/>
          <w:color w:val="FF0000"/>
          <w:sz w:val="20"/>
          <w:szCs w:val="20"/>
        </w:rPr>
        <w:t>Title</w:t>
      </w:r>
      <w:proofErr w:type="spellEnd"/>
      <w:r w:rsidR="00D056C0">
        <w:rPr>
          <w:rFonts w:ascii="Gentium Plus" w:eastAsia="MP TNR Trans" w:hAnsi="Gentium Plus" w:cs="Gentium Plus"/>
          <w:b/>
          <w:bCs/>
          <w:color w:val="FF0000"/>
          <w:sz w:val="20"/>
          <w:szCs w:val="20"/>
        </w:rPr>
        <w:t>)</w:t>
      </w:r>
    </w:p>
    <w:p w14:paraId="390A3CF5" w14:textId="77777777" w:rsidR="00D056C0" w:rsidRDefault="00D056C0" w:rsidP="00D056C0">
      <w:pPr>
        <w:spacing w:before="60" w:after="60"/>
        <w:jc w:val="center"/>
        <w:outlineLvl w:val="0"/>
        <w:rPr>
          <w:rFonts w:ascii="Gentium Plus" w:eastAsia="MP TNR Trans" w:hAnsi="Gentium Plus" w:cs="Gentium Plus"/>
          <w:color w:val="FF0000"/>
          <w:sz w:val="20"/>
          <w:szCs w:val="20"/>
        </w:rPr>
      </w:pPr>
    </w:p>
    <w:p w14:paraId="58D14743" w14:textId="77777777" w:rsidR="00F60E3C" w:rsidRPr="00C66127" w:rsidRDefault="00351CC1" w:rsidP="00351CC1">
      <w:pPr>
        <w:jc w:val="center"/>
        <w:rPr>
          <w:rFonts w:ascii="Gentium Plus" w:hAnsi="Gentium Plus" w:cs="Gentium Plus"/>
          <w:b/>
          <w:bCs/>
          <w:sz w:val="20"/>
          <w:szCs w:val="20"/>
        </w:rPr>
      </w:pPr>
      <w:r w:rsidRPr="00351CC1">
        <w:rPr>
          <w:rFonts w:ascii="Gentium Plus" w:eastAsia="MP TNR Trans" w:hAnsi="Gentium Plus" w:cs="Gentium Plus"/>
          <w:b/>
          <w:bCs/>
          <w:sz w:val="20"/>
          <w:szCs w:val="20"/>
        </w:rPr>
        <w:t xml:space="preserve">Name </w:t>
      </w:r>
      <w:proofErr w:type="spellStart"/>
      <w:r>
        <w:rPr>
          <w:rFonts w:ascii="Gentium Plus" w:eastAsia="MP TNR Trans" w:hAnsi="Gentium Plus" w:cs="Gentium Plus"/>
          <w:b/>
          <w:bCs/>
          <w:sz w:val="20"/>
          <w:szCs w:val="20"/>
        </w:rPr>
        <w:t>S</w:t>
      </w:r>
      <w:r w:rsidRPr="00351CC1">
        <w:rPr>
          <w:rFonts w:ascii="Gentium Plus" w:eastAsia="MP TNR Trans" w:hAnsi="Gentium Plus" w:cs="Gentium Plus"/>
          <w:b/>
          <w:bCs/>
          <w:sz w:val="20"/>
          <w:szCs w:val="20"/>
        </w:rPr>
        <w:t>urname</w:t>
      </w:r>
      <w:proofErr w:type="spellEnd"/>
    </w:p>
    <w:p w14:paraId="6FA7C162" w14:textId="77777777" w:rsidR="00D056C0" w:rsidRDefault="00D056C0" w:rsidP="00D056C0">
      <w:pPr>
        <w:widowControl w:val="0"/>
        <w:adjustRightInd w:val="0"/>
        <w:spacing w:after="0" w:line="240" w:lineRule="auto"/>
        <w:jc w:val="center"/>
        <w:rPr>
          <w:rFonts w:ascii="Gentium Plus" w:hAnsi="Gentium Plus" w:cs="Gentium Plus"/>
          <w:sz w:val="20"/>
          <w:szCs w:val="20"/>
        </w:rPr>
      </w:pPr>
      <w:proofErr w:type="spellStart"/>
      <w:r w:rsidRPr="00D056C0">
        <w:rPr>
          <w:rFonts w:ascii="Gentium Plus" w:hAnsi="Gentium Plus" w:cs="Gentium Plus"/>
          <w:sz w:val="20"/>
          <w:szCs w:val="20"/>
        </w:rPr>
        <w:t>Assoc</w:t>
      </w:r>
      <w:proofErr w:type="spellEnd"/>
      <w:r w:rsidRPr="00D056C0">
        <w:rPr>
          <w:rFonts w:ascii="Gentium Plus" w:hAnsi="Gentium Plus" w:cs="Gentium Plus"/>
          <w:sz w:val="20"/>
          <w:szCs w:val="20"/>
        </w:rPr>
        <w:t xml:space="preserve">. Prof. Dr., </w:t>
      </w:r>
      <w:proofErr w:type="spellStart"/>
      <w:r w:rsidRPr="00D056C0">
        <w:rPr>
          <w:rFonts w:ascii="Gentium Plus" w:hAnsi="Gentium Plus" w:cs="Gentium Plus"/>
          <w:sz w:val="20"/>
          <w:szCs w:val="20"/>
        </w:rPr>
        <w:t>Inonu</w:t>
      </w:r>
      <w:proofErr w:type="spellEnd"/>
      <w:r w:rsidRPr="00D056C0">
        <w:rPr>
          <w:rFonts w:ascii="Gentium Plus" w:hAnsi="Gentium Plus" w:cs="Gentium Plus"/>
          <w:sz w:val="20"/>
          <w:szCs w:val="20"/>
        </w:rPr>
        <w:t xml:space="preserve"> </w:t>
      </w:r>
      <w:proofErr w:type="spellStart"/>
      <w:r w:rsidRPr="00D056C0">
        <w:rPr>
          <w:rFonts w:ascii="Gentium Plus" w:hAnsi="Gentium Plus" w:cs="Gentium Plus"/>
          <w:sz w:val="20"/>
          <w:szCs w:val="20"/>
        </w:rPr>
        <w:t>University</w:t>
      </w:r>
      <w:proofErr w:type="spellEnd"/>
      <w:r w:rsidRPr="00D056C0">
        <w:rPr>
          <w:rFonts w:ascii="Gentium Plus" w:hAnsi="Gentium Plus" w:cs="Gentium Plus"/>
          <w:sz w:val="20"/>
          <w:szCs w:val="20"/>
        </w:rPr>
        <w:t xml:space="preserve">, </w:t>
      </w:r>
      <w:proofErr w:type="spellStart"/>
      <w:r w:rsidRPr="00D056C0">
        <w:rPr>
          <w:rFonts w:ascii="Gentium Plus" w:hAnsi="Gentium Plus" w:cs="Gentium Plus"/>
          <w:sz w:val="20"/>
          <w:szCs w:val="20"/>
        </w:rPr>
        <w:t>Faculty</w:t>
      </w:r>
      <w:proofErr w:type="spellEnd"/>
      <w:r w:rsidRPr="00D056C0">
        <w:rPr>
          <w:rFonts w:ascii="Gentium Plus" w:hAnsi="Gentium Plus" w:cs="Gentium Plus"/>
          <w:sz w:val="20"/>
          <w:szCs w:val="20"/>
        </w:rPr>
        <w:t xml:space="preserve"> of </w:t>
      </w:r>
      <w:proofErr w:type="spellStart"/>
      <w:r w:rsidRPr="00D056C0">
        <w:rPr>
          <w:rFonts w:ascii="Gentium Plus" w:hAnsi="Gentium Plus" w:cs="Gentium Plus"/>
          <w:sz w:val="20"/>
          <w:szCs w:val="20"/>
        </w:rPr>
        <w:t>Theology</w:t>
      </w:r>
      <w:proofErr w:type="spellEnd"/>
      <w:r w:rsidRPr="00D056C0">
        <w:rPr>
          <w:rFonts w:ascii="Gentium Plus" w:hAnsi="Gentium Plus" w:cs="Gentium Plus"/>
          <w:sz w:val="20"/>
          <w:szCs w:val="20"/>
        </w:rPr>
        <w:t>, Malatya/</w:t>
      </w:r>
      <w:proofErr w:type="spellStart"/>
      <w:r w:rsidRPr="00D056C0">
        <w:rPr>
          <w:rFonts w:ascii="Gentium Plus" w:hAnsi="Gentium Plus" w:cs="Gentium Plus"/>
          <w:sz w:val="20"/>
          <w:szCs w:val="20"/>
        </w:rPr>
        <w:t>Turkey</w:t>
      </w:r>
      <w:proofErr w:type="spellEnd"/>
    </w:p>
    <w:p w14:paraId="11B2C9F6" w14:textId="77777777" w:rsidR="00351CC1" w:rsidRPr="00D056C0" w:rsidRDefault="00351CC1" w:rsidP="00351CC1">
      <w:pPr>
        <w:widowControl w:val="0"/>
        <w:adjustRightInd w:val="0"/>
        <w:spacing w:after="0" w:line="240" w:lineRule="auto"/>
        <w:jc w:val="center"/>
        <w:rPr>
          <w:rFonts w:ascii="Gentium Plus" w:hAnsi="Gentium Plus" w:cs="Gentium Plus"/>
          <w:sz w:val="20"/>
          <w:szCs w:val="20"/>
        </w:rPr>
      </w:pPr>
      <w:r w:rsidRPr="00D056C0">
        <w:rPr>
          <w:rFonts w:ascii="Gentium Plus" w:hAnsi="Gentium Plus" w:cs="Gentium Plus"/>
          <w:sz w:val="20"/>
          <w:szCs w:val="20"/>
        </w:rPr>
        <w:t>Doç. Dr., İnönü Üniversitesi İlahiyat Fakültesi, Malatya/Türkiye</w:t>
      </w:r>
    </w:p>
    <w:p w14:paraId="12FA9180" w14:textId="77777777" w:rsidR="00D056C0" w:rsidRPr="00D056C0" w:rsidRDefault="00D056C0" w:rsidP="00D056C0">
      <w:pPr>
        <w:widowControl w:val="0"/>
        <w:adjustRightInd w:val="0"/>
        <w:spacing w:after="0" w:line="240" w:lineRule="auto"/>
        <w:jc w:val="center"/>
        <w:rPr>
          <w:rFonts w:ascii="Gentium Plus" w:hAnsi="Gentium Plus" w:cs="Gentium Plus"/>
          <w:sz w:val="20"/>
          <w:szCs w:val="20"/>
          <w:rtl/>
        </w:rPr>
      </w:pPr>
      <w:r w:rsidRPr="00D056C0">
        <w:rPr>
          <w:rFonts w:ascii="Gentium Plus" w:hAnsi="Gentium Plus" w:cs="Gentium Plus"/>
          <w:sz w:val="20"/>
          <w:szCs w:val="20"/>
        </w:rPr>
        <w:t>veysel.ozdemir@inonu.edu.tr</w:t>
      </w:r>
    </w:p>
    <w:p w14:paraId="31AC98A5" w14:textId="77777777" w:rsidR="00D056C0" w:rsidRPr="00D056C0" w:rsidRDefault="00D056C0" w:rsidP="00D056C0">
      <w:pPr>
        <w:widowControl w:val="0"/>
        <w:adjustRightInd w:val="0"/>
        <w:spacing w:after="0" w:line="240" w:lineRule="auto"/>
        <w:jc w:val="center"/>
        <w:rPr>
          <w:rFonts w:ascii="Gentium Plus" w:hAnsi="Gentium Plus" w:cs="Gentium Plus"/>
          <w:sz w:val="20"/>
          <w:szCs w:val="20"/>
          <w:bdr w:val="none" w:sz="0" w:space="0" w:color="auto" w:frame="1"/>
          <w:shd w:val="clear" w:color="auto" w:fill="FFFFFF"/>
        </w:rPr>
      </w:pPr>
      <w:r w:rsidRPr="00D056C0">
        <w:rPr>
          <w:rFonts w:ascii="Gentium Plus" w:hAnsi="Gentium Plus" w:cs="Gentium Plus"/>
          <w:sz w:val="20"/>
          <w:szCs w:val="20"/>
          <w:bdr w:val="none" w:sz="0" w:space="0" w:color="auto" w:frame="1"/>
          <w:shd w:val="clear" w:color="auto" w:fill="FFFFFF"/>
        </w:rPr>
        <w:t>ORCID ID: https://orcid.org/0000-0001-6324-0675</w:t>
      </w:r>
    </w:p>
    <w:p w14:paraId="4568ADCF" w14:textId="77777777" w:rsidR="00D056C0" w:rsidRPr="00C66127" w:rsidRDefault="00D056C0" w:rsidP="00F60E3C">
      <w:pPr>
        <w:jc w:val="center"/>
        <w:rPr>
          <w:rFonts w:ascii="Gentium Plus" w:hAnsi="Gentium Plus" w:cs="Gentium Plus"/>
          <w:sz w:val="20"/>
          <w:szCs w:val="20"/>
        </w:rPr>
      </w:pPr>
    </w:p>
    <w:p w14:paraId="5BE0BD0F" w14:textId="77777777" w:rsidR="00351CC1" w:rsidRDefault="00351CC1" w:rsidP="00351CC1">
      <w:pPr>
        <w:pStyle w:val="Balk1"/>
        <w:ind w:firstLine="0"/>
        <w:rPr>
          <w:rFonts w:cs="Gentium Plus"/>
          <w:b w:val="0"/>
          <w:bCs w:val="0"/>
          <w:sz w:val="20"/>
        </w:rPr>
      </w:pPr>
      <w:proofErr w:type="spellStart"/>
      <w:r w:rsidRPr="00C66127">
        <w:rPr>
          <w:rFonts w:cs="Gentium Plus"/>
          <w:sz w:val="20"/>
        </w:rPr>
        <w:t>Abstract</w:t>
      </w:r>
      <w:proofErr w:type="spellEnd"/>
      <w:r w:rsidRPr="00C66127">
        <w:rPr>
          <w:rFonts w:cs="Gentium Plus"/>
          <w:sz w:val="20"/>
        </w:rPr>
        <w:t>:</w:t>
      </w:r>
    </w:p>
    <w:p w14:paraId="57C1C0A4" w14:textId="37F1280A" w:rsidR="00351CC1" w:rsidRPr="00C66127" w:rsidRDefault="00351CC1" w:rsidP="00351CC1">
      <w:pPr>
        <w:spacing w:after="40" w:line="240" w:lineRule="auto"/>
        <w:jc w:val="both"/>
        <w:rPr>
          <w:rFonts w:ascii="Gentium Plus" w:hAnsi="Gentium Plus" w:cs="Gentium Plus"/>
          <w:bCs/>
          <w:sz w:val="20"/>
          <w:szCs w:val="20"/>
        </w:rPr>
      </w:pPr>
      <w:proofErr w:type="spellStart"/>
      <w:proofErr w:type="gram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w:t>
      </w:r>
      <w:bookmarkStart w:id="0" w:name="_GoBack"/>
      <w:bookmarkEnd w:id="0"/>
      <w:r w:rsidRPr="00EB0661">
        <w:rPr>
          <w:rFonts w:ascii="Gentium Plus" w:eastAsia="Calibri" w:hAnsi="Gentium Plus" w:cs="Times New Roman"/>
          <w:i/>
          <w:iCs/>
          <w:color w:val="000000"/>
          <w:sz w:val="20"/>
          <w:szCs w:val="20"/>
        </w:rPr>
        <w:t>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C66127">
        <w:rPr>
          <w:rFonts w:ascii="Gentium Plus" w:hAnsi="Gentium Plus" w:cs="Gentium Plus"/>
          <w:bCs/>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r w:rsidRPr="004A1C64">
        <w:rPr>
          <w:rFonts w:ascii="Gentium Plus" w:hAnsi="Gentium Plus" w:cs="Gentium Plus"/>
          <w:bCs/>
          <w:color w:val="FF0000"/>
          <w:sz w:val="20"/>
          <w:szCs w:val="20"/>
        </w:rPr>
        <w:t>(</w:t>
      </w:r>
      <w:proofErr w:type="spellStart"/>
      <w:r w:rsidRPr="00A8314E">
        <w:rPr>
          <w:rFonts w:ascii="Gentium Plus" w:hAnsi="Gentium Plus" w:cs="Gentium Plus"/>
          <w:bCs/>
          <w:color w:val="FF0000"/>
          <w:sz w:val="20"/>
          <w:szCs w:val="20"/>
        </w:rPr>
        <w:t>The</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abstract</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should</w:t>
      </w:r>
      <w:proofErr w:type="spellEnd"/>
      <w:r w:rsidRPr="00A8314E">
        <w:rPr>
          <w:rFonts w:ascii="Gentium Plus" w:hAnsi="Gentium Plus" w:cs="Gentium Plus"/>
          <w:bCs/>
          <w:color w:val="FF0000"/>
          <w:sz w:val="20"/>
          <w:szCs w:val="20"/>
        </w:rPr>
        <w:t xml:space="preserve"> be </w:t>
      </w:r>
      <w:proofErr w:type="spellStart"/>
      <w:r w:rsidRPr="00A8314E">
        <w:rPr>
          <w:rFonts w:ascii="Gentium Plus" w:hAnsi="Gentium Plus" w:cs="Gentium Plus"/>
          <w:bCs/>
          <w:color w:val="FF0000"/>
          <w:sz w:val="20"/>
          <w:szCs w:val="20"/>
        </w:rPr>
        <w:t>written</w:t>
      </w:r>
      <w:proofErr w:type="spellEnd"/>
      <w:r w:rsidRPr="00A8314E">
        <w:rPr>
          <w:rFonts w:ascii="Gentium Plus" w:hAnsi="Gentium Plus" w:cs="Gentium Plus"/>
          <w:bCs/>
          <w:color w:val="FF0000"/>
          <w:sz w:val="20"/>
          <w:szCs w:val="20"/>
        </w:rPr>
        <w:t xml:space="preserve"> in </w:t>
      </w:r>
      <w:proofErr w:type="spellStart"/>
      <w:r w:rsidRPr="00A8314E">
        <w:rPr>
          <w:rFonts w:ascii="Gentium Plus" w:hAnsi="Gentium Plus" w:cs="Gentium Plus"/>
          <w:bCs/>
          <w:color w:val="FF0000"/>
          <w:sz w:val="20"/>
          <w:szCs w:val="20"/>
        </w:rPr>
        <w:t>one</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paragraph</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and</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should</w:t>
      </w:r>
      <w:proofErr w:type="spellEnd"/>
      <w:r w:rsidRPr="00A8314E">
        <w:rPr>
          <w:rFonts w:ascii="Gentium Plus" w:hAnsi="Gentium Plus" w:cs="Gentium Plus"/>
          <w:bCs/>
          <w:color w:val="FF0000"/>
          <w:sz w:val="20"/>
          <w:szCs w:val="20"/>
        </w:rPr>
        <w:t xml:space="preserve"> be 150-200 </w:t>
      </w:r>
      <w:proofErr w:type="spellStart"/>
      <w:r w:rsidRPr="00A8314E">
        <w:rPr>
          <w:rFonts w:ascii="Gentium Plus" w:hAnsi="Gentium Plus" w:cs="Gentium Plus"/>
          <w:bCs/>
          <w:color w:val="FF0000"/>
          <w:sz w:val="20"/>
          <w:szCs w:val="20"/>
        </w:rPr>
        <w:t>words</w:t>
      </w:r>
      <w:proofErr w:type="spellEnd"/>
      <w:r w:rsidRPr="00A8314E">
        <w:rPr>
          <w:rFonts w:ascii="Gentium Plus" w:hAnsi="Gentium Plus" w:cs="Gentium Plus"/>
          <w:bCs/>
          <w:color w:val="FF0000"/>
          <w:sz w:val="20"/>
          <w:szCs w:val="20"/>
        </w:rPr>
        <w:t>.</w:t>
      </w:r>
      <w:r w:rsidRPr="004A1C64">
        <w:rPr>
          <w:rFonts w:ascii="Gentium Plus" w:hAnsi="Gentium Plus" w:cs="Gentium Plus"/>
          <w:bCs/>
          <w:color w:val="FF0000"/>
          <w:sz w:val="20"/>
          <w:szCs w:val="20"/>
        </w:rPr>
        <w:t>)</w:t>
      </w:r>
      <w:proofErr w:type="gramEnd"/>
    </w:p>
    <w:p w14:paraId="3F082566" w14:textId="77777777" w:rsidR="00351CC1" w:rsidRDefault="00351CC1" w:rsidP="00351CC1">
      <w:pPr>
        <w:spacing w:before="60" w:after="60"/>
        <w:outlineLvl w:val="0"/>
        <w:rPr>
          <w:rFonts w:ascii="Gentium Plus" w:hAnsi="Gentium Plus" w:cs="Gentium Plus"/>
          <w:b/>
          <w:bCs/>
          <w:sz w:val="20"/>
          <w:szCs w:val="20"/>
        </w:rPr>
      </w:pPr>
      <w:proofErr w:type="spellStart"/>
      <w:r w:rsidRPr="00C66127">
        <w:rPr>
          <w:rFonts w:ascii="Gentium Plus" w:hAnsi="Gentium Plus" w:cs="Gentium Plus"/>
          <w:b/>
          <w:bCs/>
          <w:sz w:val="20"/>
          <w:szCs w:val="20"/>
        </w:rPr>
        <w:t>Keywords</w:t>
      </w:r>
      <w:proofErr w:type="spellEnd"/>
      <w:r w:rsidRPr="00C66127">
        <w:rPr>
          <w:rFonts w:ascii="Gentium Plus" w:hAnsi="Gentium Plus" w:cs="Gentium Plus"/>
          <w:b/>
          <w:bCs/>
          <w:sz w:val="20"/>
          <w:szCs w:val="20"/>
        </w:rPr>
        <w:t xml:space="preserve">: </w:t>
      </w:r>
    </w:p>
    <w:p w14:paraId="368FA162" w14:textId="77777777" w:rsidR="00351CC1" w:rsidRPr="00C66127" w:rsidRDefault="00351CC1" w:rsidP="00D10D18">
      <w:pPr>
        <w:spacing w:after="40" w:line="240" w:lineRule="auto"/>
        <w:jc w:val="both"/>
        <w:rPr>
          <w:rFonts w:ascii="Gentium Plus" w:hAnsi="Gentium Plus" w:cs="Gentium Plus"/>
          <w:sz w:val="20"/>
          <w:szCs w:val="20"/>
        </w:rPr>
      </w:pP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Xxxxxx</w:t>
      </w:r>
      <w:proofErr w:type="spellEnd"/>
      <w:r w:rsidRPr="00C66127">
        <w:rPr>
          <w:rFonts w:ascii="Gentium Plus" w:hAnsi="Gentium Plus" w:cs="Gentium Plus"/>
          <w:sz w:val="20"/>
          <w:szCs w:val="20"/>
        </w:rPr>
        <w:t xml:space="preserve"> </w:t>
      </w:r>
      <w:r w:rsidRPr="004A1C64">
        <w:rPr>
          <w:rFonts w:ascii="Gentium Plus" w:hAnsi="Gentium Plus" w:cs="Gentium Plus"/>
          <w:color w:val="FF0000"/>
          <w:sz w:val="20"/>
          <w:szCs w:val="20"/>
        </w:rPr>
        <w:t xml:space="preserve"> </w:t>
      </w:r>
      <w:proofErr w:type="gramStart"/>
      <w:r w:rsidRPr="004A1C64">
        <w:rPr>
          <w:rFonts w:ascii="Gentium Plus" w:hAnsi="Gentium Plus" w:cs="Gentium Plus"/>
          <w:color w:val="FF0000"/>
          <w:sz w:val="20"/>
          <w:szCs w:val="20"/>
        </w:rPr>
        <w:t>(</w:t>
      </w:r>
      <w:proofErr w:type="gramEnd"/>
      <w:r w:rsidRPr="00351CC1">
        <w:rPr>
          <w:rFonts w:ascii="Gentium Plus" w:hAnsi="Gentium Plus" w:cs="Gentium Plus"/>
          <w:color w:val="FF0000"/>
          <w:sz w:val="20"/>
          <w:szCs w:val="20"/>
        </w:rPr>
        <w:t xml:space="preserve">5 </w:t>
      </w:r>
      <w:proofErr w:type="spellStart"/>
      <w:r w:rsidRPr="00351CC1">
        <w:rPr>
          <w:rFonts w:ascii="Gentium Plus" w:hAnsi="Gentium Plus" w:cs="Gentium Plus"/>
          <w:color w:val="FF0000"/>
          <w:sz w:val="20"/>
          <w:szCs w:val="20"/>
        </w:rPr>
        <w:t>The</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concept</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should</w:t>
      </w:r>
      <w:proofErr w:type="spellEnd"/>
      <w:r w:rsidRPr="00351CC1">
        <w:rPr>
          <w:rFonts w:ascii="Gentium Plus" w:hAnsi="Gentium Plus" w:cs="Gentium Plus"/>
          <w:color w:val="FF0000"/>
          <w:sz w:val="20"/>
          <w:szCs w:val="20"/>
        </w:rPr>
        <w:t xml:space="preserve"> be </w:t>
      </w:r>
      <w:proofErr w:type="spellStart"/>
      <w:r w:rsidRPr="00351CC1">
        <w:rPr>
          <w:rFonts w:ascii="Gentium Plus" w:hAnsi="Gentium Plus" w:cs="Gentium Plus"/>
          <w:color w:val="FF0000"/>
          <w:sz w:val="20"/>
          <w:szCs w:val="20"/>
        </w:rPr>
        <w:t>written</w:t>
      </w:r>
      <w:proofErr w:type="spellEnd"/>
      <w:r w:rsidRPr="00351CC1">
        <w:rPr>
          <w:rFonts w:ascii="Gentium Plus" w:hAnsi="Gentium Plus" w:cs="Gentium Plus"/>
          <w:color w:val="FF0000"/>
          <w:sz w:val="20"/>
          <w:szCs w:val="20"/>
        </w:rPr>
        <w:t xml:space="preserve"> in </w:t>
      </w:r>
      <w:proofErr w:type="spellStart"/>
      <w:r w:rsidRPr="00351CC1">
        <w:rPr>
          <w:rFonts w:ascii="Gentium Plus" w:hAnsi="Gentium Plus" w:cs="Gentium Plus"/>
          <w:color w:val="FF0000"/>
          <w:sz w:val="20"/>
          <w:szCs w:val="20"/>
        </w:rPr>
        <w:t>order</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from</w:t>
      </w:r>
      <w:proofErr w:type="spellEnd"/>
      <w:r w:rsidRPr="00351CC1">
        <w:rPr>
          <w:rFonts w:ascii="Gentium Plus" w:hAnsi="Gentium Plus" w:cs="Gentium Plus"/>
          <w:color w:val="FF0000"/>
          <w:sz w:val="20"/>
          <w:szCs w:val="20"/>
        </w:rPr>
        <w:t xml:space="preserve"> general </w:t>
      </w:r>
      <w:proofErr w:type="spellStart"/>
      <w:r w:rsidRPr="00351CC1">
        <w:rPr>
          <w:rFonts w:ascii="Gentium Plus" w:hAnsi="Gentium Plus" w:cs="Gentium Plus"/>
          <w:color w:val="FF0000"/>
          <w:sz w:val="20"/>
          <w:szCs w:val="20"/>
        </w:rPr>
        <w:t>to</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specific</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and</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the</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first</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concept</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should</w:t>
      </w:r>
      <w:proofErr w:type="spellEnd"/>
      <w:r w:rsidRPr="00351CC1">
        <w:rPr>
          <w:rFonts w:ascii="Gentium Plus" w:hAnsi="Gentium Plus" w:cs="Gentium Plus"/>
          <w:color w:val="FF0000"/>
          <w:sz w:val="20"/>
          <w:szCs w:val="20"/>
        </w:rPr>
        <w:t xml:space="preserve"> be </w:t>
      </w:r>
      <w:proofErr w:type="spellStart"/>
      <w:r w:rsidRPr="00351CC1">
        <w:rPr>
          <w:rFonts w:ascii="Gentium Plus" w:hAnsi="Gentium Plus" w:cs="Gentium Plus"/>
          <w:color w:val="FF0000"/>
          <w:sz w:val="20"/>
          <w:szCs w:val="20"/>
        </w:rPr>
        <w:t>the</w:t>
      </w:r>
      <w:proofErr w:type="spellEnd"/>
      <w:r w:rsidRPr="00351CC1">
        <w:rPr>
          <w:rFonts w:ascii="Gentium Plus" w:hAnsi="Gentium Plus" w:cs="Gentium Plus"/>
          <w:color w:val="FF0000"/>
          <w:sz w:val="20"/>
          <w:szCs w:val="20"/>
        </w:rPr>
        <w:t xml:space="preserve"> name of </w:t>
      </w:r>
      <w:proofErr w:type="spellStart"/>
      <w:r w:rsidRPr="00351CC1">
        <w:rPr>
          <w:rFonts w:ascii="Gentium Plus" w:hAnsi="Gentium Plus" w:cs="Gentium Plus"/>
          <w:color w:val="FF0000"/>
          <w:sz w:val="20"/>
          <w:szCs w:val="20"/>
        </w:rPr>
        <w:t>the</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science</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branch</w:t>
      </w:r>
      <w:proofErr w:type="spellEnd"/>
      <w:r w:rsidRPr="00351CC1">
        <w:rPr>
          <w:rFonts w:ascii="Gentium Plus" w:hAnsi="Gentium Plus" w:cs="Gentium Plus"/>
          <w:color w:val="FF0000"/>
          <w:sz w:val="20"/>
          <w:szCs w:val="20"/>
        </w:rPr>
        <w:t>.</w:t>
      </w:r>
      <w:r>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The</w:t>
      </w:r>
      <w:proofErr w:type="spellEnd"/>
      <w:r w:rsidRPr="00351CC1">
        <w:rPr>
          <w:rFonts w:ascii="Gentium Plus" w:hAnsi="Gentium Plus" w:cs="Gentium Plus"/>
          <w:color w:val="FF0000"/>
          <w:sz w:val="20"/>
          <w:szCs w:val="20"/>
        </w:rPr>
        <w:t xml:space="preserve"> name of </w:t>
      </w:r>
      <w:proofErr w:type="spellStart"/>
      <w:r w:rsidRPr="00351CC1">
        <w:rPr>
          <w:rFonts w:ascii="Gentium Plus" w:hAnsi="Gentium Plus" w:cs="Gentium Plus"/>
          <w:color w:val="FF0000"/>
          <w:sz w:val="20"/>
          <w:szCs w:val="20"/>
        </w:rPr>
        <w:t>the</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person</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the</w:t>
      </w:r>
      <w:proofErr w:type="spellEnd"/>
      <w:r w:rsidRPr="00351CC1">
        <w:rPr>
          <w:rFonts w:ascii="Gentium Plus" w:hAnsi="Gentium Plus" w:cs="Gentium Plus"/>
          <w:color w:val="FF0000"/>
          <w:sz w:val="20"/>
          <w:szCs w:val="20"/>
        </w:rPr>
        <w:t xml:space="preserve"> name of </w:t>
      </w:r>
      <w:proofErr w:type="spellStart"/>
      <w:r w:rsidRPr="00351CC1">
        <w:rPr>
          <w:rFonts w:ascii="Gentium Plus" w:hAnsi="Gentium Plus" w:cs="Gentium Plus"/>
          <w:color w:val="FF0000"/>
          <w:sz w:val="20"/>
          <w:szCs w:val="20"/>
        </w:rPr>
        <w:t>the</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work</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and</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the</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concepts</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should</w:t>
      </w:r>
      <w:proofErr w:type="spellEnd"/>
      <w:r w:rsidRPr="00351CC1">
        <w:rPr>
          <w:rFonts w:ascii="Gentium Plus" w:hAnsi="Gentium Plus" w:cs="Gentium Plus"/>
          <w:color w:val="FF0000"/>
          <w:sz w:val="20"/>
          <w:szCs w:val="20"/>
        </w:rPr>
        <w:t xml:space="preserve"> be in </w:t>
      </w:r>
      <w:proofErr w:type="spellStart"/>
      <w:r w:rsidRPr="00351CC1">
        <w:rPr>
          <w:rFonts w:ascii="Gentium Plus" w:hAnsi="Gentium Plus" w:cs="Gentium Plus"/>
          <w:color w:val="FF0000"/>
          <w:sz w:val="20"/>
          <w:szCs w:val="20"/>
        </w:rPr>
        <w:t>accordance</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with</w:t>
      </w:r>
      <w:proofErr w:type="spellEnd"/>
      <w:r w:rsidRPr="00351CC1">
        <w:rPr>
          <w:rFonts w:ascii="Gentium Plus" w:hAnsi="Gentium Plus" w:cs="Gentium Plus"/>
          <w:color w:val="FF0000"/>
          <w:sz w:val="20"/>
          <w:szCs w:val="20"/>
        </w:rPr>
        <w:t xml:space="preserve"> </w:t>
      </w:r>
      <w:proofErr w:type="spellStart"/>
      <w:r w:rsidRPr="00351CC1">
        <w:rPr>
          <w:rFonts w:ascii="Gentium Plus" w:hAnsi="Gentium Plus" w:cs="Gentium Plus"/>
          <w:color w:val="FF0000"/>
          <w:sz w:val="20"/>
          <w:szCs w:val="20"/>
        </w:rPr>
        <w:t>the</w:t>
      </w:r>
      <w:proofErr w:type="spellEnd"/>
      <w:r w:rsidRPr="00351CC1">
        <w:rPr>
          <w:rFonts w:ascii="Gentium Plus" w:hAnsi="Gentium Plus" w:cs="Gentium Plus"/>
          <w:color w:val="FF0000"/>
          <w:sz w:val="20"/>
          <w:szCs w:val="20"/>
        </w:rPr>
        <w:t xml:space="preserve"> 3rd </w:t>
      </w:r>
      <w:proofErr w:type="spellStart"/>
      <w:r w:rsidRPr="00351CC1">
        <w:rPr>
          <w:rFonts w:ascii="Gentium Plus" w:hAnsi="Gentium Plus" w:cs="Gentium Plus"/>
          <w:color w:val="FF0000"/>
          <w:sz w:val="20"/>
          <w:szCs w:val="20"/>
        </w:rPr>
        <w:t>edition</w:t>
      </w:r>
      <w:proofErr w:type="spellEnd"/>
      <w:r w:rsidRPr="00351CC1">
        <w:rPr>
          <w:rFonts w:ascii="Gentium Plus" w:hAnsi="Gentium Plus" w:cs="Gentium Plus"/>
          <w:color w:val="FF0000"/>
          <w:sz w:val="20"/>
          <w:szCs w:val="20"/>
        </w:rPr>
        <w:t xml:space="preserve"> of </w:t>
      </w:r>
      <w:proofErr w:type="spellStart"/>
      <w:r w:rsidRPr="00351CC1">
        <w:rPr>
          <w:rFonts w:ascii="Gentium Plus" w:hAnsi="Gentium Plus" w:cs="Gentium Plus"/>
          <w:color w:val="FF0000"/>
          <w:sz w:val="20"/>
          <w:szCs w:val="20"/>
        </w:rPr>
        <w:t>the</w:t>
      </w:r>
      <w:proofErr w:type="spellEnd"/>
      <w:r w:rsidRPr="00351CC1">
        <w:rPr>
          <w:rFonts w:ascii="Gentium Plus" w:hAnsi="Gentium Plus" w:cs="Gentium Plus"/>
          <w:color w:val="FF0000"/>
          <w:sz w:val="20"/>
          <w:szCs w:val="20"/>
        </w:rPr>
        <w:t xml:space="preserve"> English Encyclopedia of </w:t>
      </w:r>
      <w:proofErr w:type="spellStart"/>
      <w:r w:rsidRPr="00351CC1">
        <w:rPr>
          <w:rFonts w:ascii="Gentium Plus" w:hAnsi="Gentium Plus" w:cs="Gentium Plus"/>
          <w:color w:val="FF0000"/>
          <w:sz w:val="20"/>
          <w:szCs w:val="20"/>
        </w:rPr>
        <w:t>Islam</w:t>
      </w:r>
      <w:proofErr w:type="spellEnd"/>
      <w:r w:rsidRPr="00351CC1">
        <w:rPr>
          <w:rFonts w:ascii="Gentium Plus" w:hAnsi="Gentium Plus" w:cs="Gentium Plus"/>
          <w:color w:val="FF0000"/>
          <w:sz w:val="20"/>
          <w:szCs w:val="20"/>
        </w:rPr>
        <w:t>.</w:t>
      </w:r>
      <w:r>
        <w:rPr>
          <w:rFonts w:ascii="Gentium Plus" w:hAnsi="Gentium Plus" w:cs="Gentium Plus"/>
          <w:color w:val="FF0000"/>
          <w:sz w:val="20"/>
          <w:szCs w:val="20"/>
        </w:rPr>
        <w:t xml:space="preserve"> </w:t>
      </w:r>
      <w:proofErr w:type="spellStart"/>
      <w:r>
        <w:rPr>
          <w:rFonts w:ascii="Gentium Plus" w:hAnsi="Gentium Plus" w:cs="Gentium Plus"/>
          <w:color w:val="FF0000"/>
          <w:sz w:val="20"/>
          <w:szCs w:val="20"/>
        </w:rPr>
        <w:t>See</w:t>
      </w:r>
      <w:proofErr w:type="spellEnd"/>
      <w:r w:rsidR="00D10D18">
        <w:rPr>
          <w:rFonts w:ascii="Gentium Plus" w:hAnsi="Gentium Plus" w:cs="Gentium Plus"/>
          <w:color w:val="FF0000"/>
          <w:sz w:val="20"/>
          <w:szCs w:val="20"/>
        </w:rPr>
        <w:t>:</w:t>
      </w:r>
      <w:r w:rsidRPr="004A1C64">
        <w:rPr>
          <w:rFonts w:ascii="Gentium Plus" w:hAnsi="Gentium Plus" w:cs="Gentium Plus"/>
          <w:color w:val="FF0000"/>
          <w:sz w:val="20"/>
          <w:szCs w:val="20"/>
        </w:rPr>
        <w:t xml:space="preserve"> </w:t>
      </w:r>
      <w:hyperlink r:id="rId8" w:history="1">
        <w:r w:rsidRPr="004A1C64">
          <w:rPr>
            <w:rStyle w:val="Kpr"/>
            <w:rFonts w:ascii="Gentium Plus" w:hAnsi="Gentium Plus" w:cs="Gentium Plus"/>
            <w:color w:val="FF0000"/>
            <w:sz w:val="20"/>
            <w:szCs w:val="20"/>
          </w:rPr>
          <w:t>http://referenceworks.brillonline.com/browse/encyclopaedia-of-islam-3</w:t>
        </w:r>
      </w:hyperlink>
      <w:r>
        <w:rPr>
          <w:rStyle w:val="Kpr"/>
          <w:rFonts w:ascii="Gentium Plus" w:hAnsi="Gentium Plus" w:cs="Gentium Plus"/>
          <w:color w:val="FF0000"/>
          <w:sz w:val="20"/>
          <w:szCs w:val="20"/>
        </w:rPr>
        <w:t>)</w:t>
      </w:r>
    </w:p>
    <w:p w14:paraId="3F2EF296" w14:textId="77777777" w:rsidR="00351CC1" w:rsidRDefault="00351CC1" w:rsidP="00F60E3C">
      <w:pPr>
        <w:rPr>
          <w:rFonts w:ascii="Gentium Plus" w:hAnsi="Gentium Plus" w:cs="Gentium Plus"/>
          <w:sz w:val="20"/>
          <w:szCs w:val="20"/>
        </w:rPr>
      </w:pPr>
    </w:p>
    <w:p w14:paraId="071D30FF" w14:textId="77777777" w:rsidR="00D10D18" w:rsidRDefault="00D10D18" w:rsidP="00D10D18">
      <w:pPr>
        <w:spacing w:before="60" w:after="60"/>
        <w:jc w:val="center"/>
        <w:outlineLvl w:val="0"/>
        <w:rPr>
          <w:rFonts w:ascii="Gentium Plus" w:eastAsia="MP TNR Trans" w:hAnsi="Gentium Plus" w:cs="Gentium Plus"/>
          <w:b/>
          <w:bCs/>
          <w:color w:val="FF0000"/>
          <w:sz w:val="20"/>
          <w:szCs w:val="20"/>
        </w:rPr>
      </w:pPr>
      <w:proofErr w:type="spellStart"/>
      <w:r w:rsidRPr="00C66127">
        <w:rPr>
          <w:rFonts w:ascii="Gentium Plus" w:eastAsia="Calibri" w:hAnsi="Gentium Plus" w:cs="Gentium Plus"/>
          <w:b/>
          <w:bCs/>
          <w:sz w:val="20"/>
          <w:szCs w:val="20"/>
        </w:rPr>
        <w:t>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r w:rsidRPr="004A1C64">
        <w:rPr>
          <w:rFonts w:ascii="Gentium Plus" w:eastAsia="Calibri" w:hAnsi="Gentium Plus" w:cs="Gentium Plus"/>
          <w:b/>
          <w:bCs/>
          <w:color w:val="FF0000"/>
          <w:sz w:val="20"/>
          <w:szCs w:val="20"/>
        </w:rPr>
        <w:t>(</w:t>
      </w:r>
      <w:proofErr w:type="spellStart"/>
      <w:r>
        <w:rPr>
          <w:rFonts w:ascii="Gentium Plus" w:eastAsia="Calibri" w:hAnsi="Gentium Plus" w:cs="Gentium Plus"/>
          <w:b/>
          <w:bCs/>
          <w:color w:val="FF0000"/>
          <w:sz w:val="20"/>
          <w:szCs w:val="20"/>
        </w:rPr>
        <w:t>Turkish</w:t>
      </w:r>
      <w:proofErr w:type="spellEnd"/>
      <w:r w:rsidRPr="00351CC1">
        <w:rPr>
          <w:rFonts w:ascii="Gentium Plus" w:eastAsia="Calibri" w:hAnsi="Gentium Plus" w:cs="Gentium Plus"/>
          <w:b/>
          <w:bCs/>
          <w:color w:val="FF0000"/>
          <w:sz w:val="20"/>
          <w:szCs w:val="20"/>
        </w:rPr>
        <w:t xml:space="preserve"> </w:t>
      </w:r>
      <w:proofErr w:type="spellStart"/>
      <w:r w:rsidRPr="00351CC1">
        <w:rPr>
          <w:rFonts w:ascii="Gentium Plus" w:eastAsia="Calibri" w:hAnsi="Gentium Plus" w:cs="Gentium Plus"/>
          <w:b/>
          <w:bCs/>
          <w:color w:val="FF0000"/>
          <w:sz w:val="20"/>
          <w:szCs w:val="20"/>
        </w:rPr>
        <w:t>Title</w:t>
      </w:r>
      <w:proofErr w:type="spellEnd"/>
      <w:r>
        <w:rPr>
          <w:rFonts w:ascii="Gentium Plus" w:eastAsia="MP TNR Trans" w:hAnsi="Gentium Plus" w:cs="Gentium Plus"/>
          <w:b/>
          <w:bCs/>
          <w:color w:val="FF0000"/>
          <w:sz w:val="20"/>
          <w:szCs w:val="20"/>
        </w:rPr>
        <w:t>)</w:t>
      </w:r>
    </w:p>
    <w:p w14:paraId="05ED6B93" w14:textId="77777777" w:rsidR="00F60E3C" w:rsidRDefault="00F60E3C" w:rsidP="00F60E3C">
      <w:pPr>
        <w:pStyle w:val="Balk1"/>
        <w:ind w:firstLine="0"/>
        <w:rPr>
          <w:rFonts w:eastAsia="MP TNR Trans" w:cs="Gentium Plus"/>
          <w:b w:val="0"/>
          <w:bCs w:val="0"/>
          <w:sz w:val="20"/>
        </w:rPr>
      </w:pPr>
      <w:r w:rsidRPr="00C66127">
        <w:rPr>
          <w:rFonts w:eastAsia="MP TNR Trans" w:cs="Gentium Plus"/>
          <w:sz w:val="20"/>
        </w:rPr>
        <w:t xml:space="preserve">Öz: </w:t>
      </w:r>
    </w:p>
    <w:p w14:paraId="00449E14" w14:textId="3999CA2B" w:rsidR="00F60E3C" w:rsidRPr="00C66127" w:rsidRDefault="00F60E3C" w:rsidP="00D10D18">
      <w:pPr>
        <w:spacing w:after="40" w:line="240" w:lineRule="auto"/>
        <w:jc w:val="both"/>
        <w:rPr>
          <w:rFonts w:ascii="Gentium Plus" w:hAnsi="Gentium Plus" w:cs="Gentium Plus"/>
          <w:bCs/>
          <w:sz w:val="20"/>
          <w:szCs w:val="20"/>
        </w:rPr>
      </w:pPr>
      <w:proofErr w:type="spellStart"/>
      <w:proofErr w:type="gram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C66127">
        <w:rPr>
          <w:rFonts w:ascii="Gentium Plus" w:hAnsi="Gentium Plus" w:cs="Gentium Plus"/>
          <w:bCs/>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r w:rsidR="00F510C1">
        <w:rPr>
          <w:rFonts w:ascii="Gentium Plus" w:hAnsi="Gentium Plus" w:cs="Gentium Plus"/>
          <w:bCs/>
          <w:color w:val="FF0000"/>
          <w:sz w:val="20"/>
          <w:szCs w:val="20"/>
        </w:rPr>
        <w:t>(</w:t>
      </w:r>
      <w:proofErr w:type="spellStart"/>
      <w:r w:rsidR="00D10D18" w:rsidRPr="00D10D18">
        <w:rPr>
          <w:rFonts w:ascii="Gentium Plus" w:hAnsi="Gentium Plus" w:cs="Gentium Plus"/>
          <w:bCs/>
          <w:color w:val="FF0000"/>
          <w:sz w:val="20"/>
          <w:szCs w:val="20"/>
        </w:rPr>
        <w:t>It</w:t>
      </w:r>
      <w:proofErr w:type="spellEnd"/>
      <w:r w:rsidR="00D10D18" w:rsidRPr="00D10D18">
        <w:rPr>
          <w:rFonts w:ascii="Gentium Plus" w:hAnsi="Gentium Plus" w:cs="Gentium Plus"/>
          <w:bCs/>
          <w:color w:val="FF0000"/>
          <w:sz w:val="20"/>
          <w:szCs w:val="20"/>
        </w:rPr>
        <w:t xml:space="preserve"> </w:t>
      </w:r>
      <w:proofErr w:type="spellStart"/>
      <w:r w:rsidR="00D10D18" w:rsidRPr="00D10D18">
        <w:rPr>
          <w:rFonts w:ascii="Gentium Plus" w:hAnsi="Gentium Plus" w:cs="Gentium Plus"/>
          <w:bCs/>
          <w:color w:val="FF0000"/>
          <w:sz w:val="20"/>
          <w:szCs w:val="20"/>
        </w:rPr>
        <w:t>should</w:t>
      </w:r>
      <w:proofErr w:type="spellEnd"/>
      <w:r w:rsidR="00D10D18" w:rsidRPr="00D10D18">
        <w:rPr>
          <w:rFonts w:ascii="Gentium Plus" w:hAnsi="Gentium Plus" w:cs="Gentium Plus"/>
          <w:bCs/>
          <w:color w:val="FF0000"/>
          <w:sz w:val="20"/>
          <w:szCs w:val="20"/>
        </w:rPr>
        <w:t xml:space="preserve"> be </w:t>
      </w:r>
      <w:proofErr w:type="spellStart"/>
      <w:r w:rsidR="00D10D18" w:rsidRPr="00D10D18">
        <w:rPr>
          <w:rFonts w:ascii="Gentium Plus" w:hAnsi="Gentium Plus" w:cs="Gentium Plus"/>
          <w:bCs/>
          <w:color w:val="FF0000"/>
          <w:sz w:val="20"/>
          <w:szCs w:val="20"/>
        </w:rPr>
        <w:t>written</w:t>
      </w:r>
      <w:proofErr w:type="spellEnd"/>
      <w:r w:rsidR="00D10D18" w:rsidRPr="00D10D18">
        <w:rPr>
          <w:rFonts w:ascii="Gentium Plus" w:hAnsi="Gentium Plus" w:cs="Gentium Plus"/>
          <w:bCs/>
          <w:color w:val="FF0000"/>
          <w:sz w:val="20"/>
          <w:szCs w:val="20"/>
        </w:rPr>
        <w:t xml:space="preserve"> in </w:t>
      </w:r>
      <w:proofErr w:type="spellStart"/>
      <w:r w:rsidR="00D10D18" w:rsidRPr="00D10D18">
        <w:rPr>
          <w:rFonts w:ascii="Gentium Plus" w:hAnsi="Gentium Plus" w:cs="Gentium Plus"/>
          <w:bCs/>
          <w:color w:val="FF0000"/>
          <w:sz w:val="20"/>
          <w:szCs w:val="20"/>
        </w:rPr>
        <w:t>one</w:t>
      </w:r>
      <w:proofErr w:type="spellEnd"/>
      <w:r w:rsidR="00D10D18" w:rsidRPr="00D10D18">
        <w:rPr>
          <w:rFonts w:ascii="Gentium Plus" w:hAnsi="Gentium Plus" w:cs="Gentium Plus"/>
          <w:bCs/>
          <w:color w:val="FF0000"/>
          <w:sz w:val="20"/>
          <w:szCs w:val="20"/>
        </w:rPr>
        <w:t xml:space="preserve"> </w:t>
      </w:r>
      <w:proofErr w:type="spellStart"/>
      <w:r w:rsidR="00D10D18" w:rsidRPr="00D10D18">
        <w:rPr>
          <w:rFonts w:ascii="Gentium Plus" w:hAnsi="Gentium Plus" w:cs="Gentium Plus"/>
          <w:bCs/>
          <w:color w:val="FF0000"/>
          <w:sz w:val="20"/>
          <w:szCs w:val="20"/>
        </w:rPr>
        <w:t>paragraph</w:t>
      </w:r>
      <w:proofErr w:type="spellEnd"/>
      <w:r w:rsidR="00D10D18" w:rsidRPr="00D10D18">
        <w:rPr>
          <w:rFonts w:ascii="Gentium Plus" w:hAnsi="Gentium Plus" w:cs="Gentium Plus"/>
          <w:bCs/>
          <w:color w:val="FF0000"/>
          <w:sz w:val="20"/>
          <w:szCs w:val="20"/>
        </w:rPr>
        <w:t xml:space="preserve"> </w:t>
      </w:r>
      <w:proofErr w:type="spellStart"/>
      <w:r w:rsidR="00D10D18" w:rsidRPr="00D10D18">
        <w:rPr>
          <w:rFonts w:ascii="Gentium Plus" w:hAnsi="Gentium Plus" w:cs="Gentium Plus"/>
          <w:bCs/>
          <w:color w:val="FF0000"/>
          <w:sz w:val="20"/>
          <w:szCs w:val="20"/>
        </w:rPr>
        <w:t>and</w:t>
      </w:r>
      <w:proofErr w:type="spellEnd"/>
      <w:r w:rsidR="00D10D18" w:rsidRPr="00D10D18">
        <w:rPr>
          <w:rFonts w:ascii="Gentium Plus" w:hAnsi="Gentium Plus" w:cs="Gentium Plus"/>
          <w:bCs/>
          <w:color w:val="FF0000"/>
          <w:sz w:val="20"/>
          <w:szCs w:val="20"/>
        </w:rPr>
        <w:t xml:space="preserve"> </w:t>
      </w:r>
      <w:proofErr w:type="spellStart"/>
      <w:r w:rsidR="00D10D18" w:rsidRPr="00D10D18">
        <w:rPr>
          <w:rFonts w:ascii="Gentium Plus" w:hAnsi="Gentium Plus" w:cs="Gentium Plus"/>
          <w:bCs/>
          <w:color w:val="FF0000"/>
          <w:sz w:val="20"/>
          <w:szCs w:val="20"/>
        </w:rPr>
        <w:t>should</w:t>
      </w:r>
      <w:proofErr w:type="spellEnd"/>
      <w:r w:rsidR="00D10D18" w:rsidRPr="00D10D18">
        <w:rPr>
          <w:rFonts w:ascii="Gentium Plus" w:hAnsi="Gentium Plus" w:cs="Gentium Plus"/>
          <w:bCs/>
          <w:color w:val="FF0000"/>
          <w:sz w:val="20"/>
          <w:szCs w:val="20"/>
        </w:rPr>
        <w:t xml:space="preserve"> </w:t>
      </w:r>
      <w:proofErr w:type="spellStart"/>
      <w:r w:rsidR="00D10D18" w:rsidRPr="00D10D18">
        <w:rPr>
          <w:rFonts w:ascii="Gentium Plus" w:hAnsi="Gentium Plus" w:cs="Gentium Plus"/>
          <w:bCs/>
          <w:color w:val="FF0000"/>
          <w:sz w:val="20"/>
          <w:szCs w:val="20"/>
        </w:rPr>
        <w:t>have</w:t>
      </w:r>
      <w:proofErr w:type="spellEnd"/>
      <w:r w:rsidR="00D10D18" w:rsidRPr="00D10D18">
        <w:rPr>
          <w:rFonts w:ascii="Gentium Plus" w:hAnsi="Gentium Plus" w:cs="Gentium Plus"/>
          <w:bCs/>
          <w:color w:val="FF0000"/>
          <w:sz w:val="20"/>
          <w:szCs w:val="20"/>
        </w:rPr>
        <w:t xml:space="preserve"> 150-200 </w:t>
      </w:r>
      <w:proofErr w:type="spellStart"/>
      <w:r w:rsidR="00D10D18" w:rsidRPr="00D10D18">
        <w:rPr>
          <w:rFonts w:ascii="Gentium Plus" w:hAnsi="Gentium Plus" w:cs="Gentium Plus"/>
          <w:bCs/>
          <w:color w:val="FF0000"/>
          <w:sz w:val="20"/>
          <w:szCs w:val="20"/>
        </w:rPr>
        <w:t>words</w:t>
      </w:r>
      <w:proofErr w:type="spellEnd"/>
      <w:r w:rsidR="00D10D18" w:rsidRPr="00D10D18">
        <w:rPr>
          <w:rFonts w:ascii="Gentium Plus" w:hAnsi="Gentium Plus" w:cs="Gentium Plus"/>
          <w:bCs/>
          <w:color w:val="FF0000"/>
          <w:sz w:val="20"/>
          <w:szCs w:val="20"/>
        </w:rPr>
        <w:t>.</w:t>
      </w:r>
      <w:r w:rsidRPr="004A1C64">
        <w:rPr>
          <w:rFonts w:ascii="Gentium Plus" w:hAnsi="Gentium Plus" w:cs="Gentium Plus"/>
          <w:bCs/>
          <w:color w:val="FF0000"/>
          <w:sz w:val="20"/>
          <w:szCs w:val="20"/>
        </w:rPr>
        <w:t>)</w:t>
      </w:r>
      <w:proofErr w:type="gramEnd"/>
    </w:p>
    <w:p w14:paraId="6371172B" w14:textId="77777777" w:rsidR="00F60E3C" w:rsidRDefault="00F60E3C" w:rsidP="00F60E3C">
      <w:pPr>
        <w:pStyle w:val="Balk1"/>
        <w:ind w:firstLine="0"/>
        <w:rPr>
          <w:rFonts w:cs="Gentium Plus"/>
          <w:b w:val="0"/>
          <w:bCs w:val="0"/>
          <w:sz w:val="20"/>
        </w:rPr>
      </w:pPr>
      <w:r w:rsidRPr="00C66127">
        <w:rPr>
          <w:rFonts w:cs="Gentium Plus"/>
          <w:sz w:val="20"/>
        </w:rPr>
        <w:t>Anahtar Kelimeler:</w:t>
      </w:r>
    </w:p>
    <w:p w14:paraId="0492A56B" w14:textId="77777777" w:rsidR="00A8314E" w:rsidRPr="00F510C1" w:rsidRDefault="00F60E3C" w:rsidP="00D10D18">
      <w:pPr>
        <w:spacing w:after="40" w:line="240" w:lineRule="auto"/>
        <w:jc w:val="both"/>
        <w:rPr>
          <w:rFonts w:ascii="Gentium Plus" w:hAnsi="Gentium Plus" w:cs="Gentium Plus"/>
          <w:color w:val="FF0000"/>
          <w:sz w:val="20"/>
          <w:szCs w:val="20"/>
        </w:rPr>
      </w:pP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Xxxxxx</w:t>
      </w:r>
      <w:proofErr w:type="spellEnd"/>
      <w:r w:rsidRPr="00C66127">
        <w:rPr>
          <w:rFonts w:ascii="Gentium Plus" w:hAnsi="Gentium Plus" w:cs="Gentium Plus"/>
          <w:sz w:val="20"/>
          <w:szCs w:val="20"/>
        </w:rPr>
        <w:t xml:space="preserve"> </w:t>
      </w:r>
      <w:r w:rsidRPr="004A1C64">
        <w:rPr>
          <w:rFonts w:ascii="Gentium Plus" w:hAnsi="Gentium Plus" w:cs="Gentium Plus"/>
          <w:color w:val="FF0000"/>
          <w:sz w:val="20"/>
          <w:szCs w:val="20"/>
        </w:rPr>
        <w:t>(</w:t>
      </w:r>
      <w:r w:rsidR="00D10D18" w:rsidRPr="00D10D18">
        <w:rPr>
          <w:rFonts w:ascii="Gentium Plus" w:hAnsi="Gentium Plus" w:cs="Gentium Plus"/>
          <w:color w:val="FF0000"/>
          <w:sz w:val="20"/>
          <w:szCs w:val="20"/>
        </w:rPr>
        <w:t xml:space="preserve">5 </w:t>
      </w:r>
      <w:proofErr w:type="spellStart"/>
      <w:r w:rsidR="00D10D18" w:rsidRPr="00D10D18">
        <w:rPr>
          <w:rFonts w:ascii="Gentium Plus" w:hAnsi="Gentium Plus" w:cs="Gentium Plus"/>
          <w:color w:val="FF0000"/>
          <w:sz w:val="20"/>
          <w:szCs w:val="20"/>
        </w:rPr>
        <w:t>The</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concept</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should</w:t>
      </w:r>
      <w:proofErr w:type="spellEnd"/>
      <w:r w:rsidR="00D10D18" w:rsidRPr="00D10D18">
        <w:rPr>
          <w:rFonts w:ascii="Gentium Plus" w:hAnsi="Gentium Plus" w:cs="Gentium Plus"/>
          <w:color w:val="FF0000"/>
          <w:sz w:val="20"/>
          <w:szCs w:val="20"/>
        </w:rPr>
        <w:t xml:space="preserve"> be </w:t>
      </w:r>
      <w:proofErr w:type="spellStart"/>
      <w:r w:rsidR="00D10D18" w:rsidRPr="00D10D18">
        <w:rPr>
          <w:rFonts w:ascii="Gentium Plus" w:hAnsi="Gentium Plus" w:cs="Gentium Plus"/>
          <w:color w:val="FF0000"/>
          <w:sz w:val="20"/>
          <w:szCs w:val="20"/>
        </w:rPr>
        <w:t>written</w:t>
      </w:r>
      <w:proofErr w:type="spellEnd"/>
      <w:r w:rsidR="00D10D18" w:rsidRPr="00D10D18">
        <w:rPr>
          <w:rFonts w:ascii="Gentium Plus" w:hAnsi="Gentium Plus" w:cs="Gentium Plus"/>
          <w:color w:val="FF0000"/>
          <w:sz w:val="20"/>
          <w:szCs w:val="20"/>
        </w:rPr>
        <w:t xml:space="preserve"> in </w:t>
      </w:r>
      <w:proofErr w:type="spellStart"/>
      <w:r w:rsidR="00D10D18" w:rsidRPr="00D10D18">
        <w:rPr>
          <w:rFonts w:ascii="Gentium Plus" w:hAnsi="Gentium Plus" w:cs="Gentium Plus"/>
          <w:color w:val="FF0000"/>
          <w:sz w:val="20"/>
          <w:szCs w:val="20"/>
        </w:rPr>
        <w:t>order</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from</w:t>
      </w:r>
      <w:proofErr w:type="spellEnd"/>
      <w:r w:rsidR="00D10D18" w:rsidRPr="00D10D18">
        <w:rPr>
          <w:rFonts w:ascii="Gentium Plus" w:hAnsi="Gentium Plus" w:cs="Gentium Plus"/>
          <w:color w:val="FF0000"/>
          <w:sz w:val="20"/>
          <w:szCs w:val="20"/>
        </w:rPr>
        <w:t xml:space="preserve"> general </w:t>
      </w:r>
      <w:proofErr w:type="spellStart"/>
      <w:r w:rsidR="00D10D18" w:rsidRPr="00D10D18">
        <w:rPr>
          <w:rFonts w:ascii="Gentium Plus" w:hAnsi="Gentium Plus" w:cs="Gentium Plus"/>
          <w:color w:val="FF0000"/>
          <w:sz w:val="20"/>
          <w:szCs w:val="20"/>
        </w:rPr>
        <w:t>to</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specific</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and</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the</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first</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concept</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should</w:t>
      </w:r>
      <w:proofErr w:type="spellEnd"/>
      <w:r w:rsidR="00D10D18" w:rsidRPr="00D10D18">
        <w:rPr>
          <w:rFonts w:ascii="Gentium Plus" w:hAnsi="Gentium Plus" w:cs="Gentium Plus"/>
          <w:color w:val="FF0000"/>
          <w:sz w:val="20"/>
          <w:szCs w:val="20"/>
        </w:rPr>
        <w:t xml:space="preserve"> be </w:t>
      </w:r>
      <w:proofErr w:type="spellStart"/>
      <w:r w:rsidR="00D10D18" w:rsidRPr="00D10D18">
        <w:rPr>
          <w:rFonts w:ascii="Gentium Plus" w:hAnsi="Gentium Plus" w:cs="Gentium Plus"/>
          <w:color w:val="FF0000"/>
          <w:sz w:val="20"/>
          <w:szCs w:val="20"/>
        </w:rPr>
        <w:t>the</w:t>
      </w:r>
      <w:proofErr w:type="spellEnd"/>
      <w:r w:rsidR="00D10D18" w:rsidRPr="00D10D18">
        <w:rPr>
          <w:rFonts w:ascii="Gentium Plus" w:hAnsi="Gentium Plus" w:cs="Gentium Plus"/>
          <w:color w:val="FF0000"/>
          <w:sz w:val="20"/>
          <w:szCs w:val="20"/>
        </w:rPr>
        <w:t xml:space="preserve"> name of </w:t>
      </w:r>
      <w:proofErr w:type="spellStart"/>
      <w:r w:rsidR="00D10D18" w:rsidRPr="00D10D18">
        <w:rPr>
          <w:rFonts w:ascii="Gentium Plus" w:hAnsi="Gentium Plus" w:cs="Gentium Plus"/>
          <w:color w:val="FF0000"/>
          <w:sz w:val="20"/>
          <w:szCs w:val="20"/>
        </w:rPr>
        <w:t>the</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science</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branch</w:t>
      </w:r>
      <w:proofErr w:type="spellEnd"/>
      <w:r w:rsidR="00D10D18" w:rsidRPr="00D10D18">
        <w:rPr>
          <w:rFonts w:ascii="Gentium Plus" w:hAnsi="Gentium Plus" w:cs="Gentium Plus"/>
          <w:color w:val="FF0000"/>
          <w:sz w:val="20"/>
          <w:szCs w:val="20"/>
        </w:rPr>
        <w:t>.</w:t>
      </w:r>
      <w:r w:rsidR="00D10D18">
        <w:rPr>
          <w:rFonts w:ascii="Gentium Plus" w:hAnsi="Gentium Plus" w:cs="Gentium Plus"/>
          <w:color w:val="FF0000"/>
          <w:sz w:val="20"/>
          <w:szCs w:val="20"/>
        </w:rPr>
        <w:t xml:space="preserve"> </w:t>
      </w:r>
      <w:proofErr w:type="spellStart"/>
      <w:r w:rsidR="00D10D18">
        <w:rPr>
          <w:rFonts w:ascii="Gentium Plus" w:hAnsi="Gentium Plus" w:cs="Gentium Plus"/>
          <w:color w:val="FF0000"/>
          <w:sz w:val="20"/>
          <w:szCs w:val="20"/>
        </w:rPr>
        <w:t>See</w:t>
      </w:r>
      <w:proofErr w:type="spellEnd"/>
      <w:r w:rsidR="00D10D18">
        <w:rPr>
          <w:rFonts w:ascii="Gentium Plus" w:hAnsi="Gentium Plus" w:cs="Gentium Plus"/>
          <w:color w:val="FF0000"/>
          <w:sz w:val="20"/>
          <w:szCs w:val="20"/>
        </w:rPr>
        <w:t>:</w:t>
      </w:r>
      <w:r w:rsidR="00CB0A54">
        <w:rPr>
          <w:rFonts w:ascii="Gentium Plus" w:hAnsi="Gentium Plus" w:cs="Gentium Plus"/>
          <w:color w:val="FF0000"/>
          <w:sz w:val="20"/>
          <w:szCs w:val="20"/>
        </w:rPr>
        <w:t xml:space="preserve"> </w:t>
      </w:r>
      <w:hyperlink r:id="rId9" w:history="1">
        <w:r w:rsidR="00CB0A54" w:rsidRPr="00F510C1">
          <w:rPr>
            <w:rStyle w:val="Kpr"/>
            <w:rFonts w:ascii="Gentium Plus" w:hAnsi="Gentium Plus" w:cs="Gentium Plus"/>
            <w:color w:val="FF0000"/>
            <w:sz w:val="20"/>
            <w:szCs w:val="20"/>
          </w:rPr>
          <w:t>https://www.isnadsistemi.org/guide/5-anahtar-kelimelerin-secimi/</w:t>
        </w:r>
      </w:hyperlink>
      <w:r w:rsidR="00CB0A54" w:rsidRPr="00F510C1">
        <w:rPr>
          <w:rFonts w:ascii="Gentium Plus" w:hAnsi="Gentium Plus" w:cs="Gentium Plus"/>
          <w:color w:val="FF0000"/>
          <w:sz w:val="20"/>
          <w:szCs w:val="20"/>
        </w:rPr>
        <w:t>)</w:t>
      </w:r>
    </w:p>
    <w:p w14:paraId="08E09EBD" w14:textId="77777777" w:rsidR="00F60E3C" w:rsidRDefault="00F60E3C" w:rsidP="00F60E3C"/>
    <w:p w14:paraId="2C367A39" w14:textId="77777777" w:rsidR="00D10D18" w:rsidRDefault="00D10D18" w:rsidP="00F60E3C"/>
    <w:p w14:paraId="40FBB413" w14:textId="77777777" w:rsidR="00D10D18" w:rsidRDefault="00D10D18" w:rsidP="00F60E3C"/>
    <w:p w14:paraId="13380ECD" w14:textId="77777777" w:rsidR="00F60E3C" w:rsidRDefault="00D10D18" w:rsidP="00F60E3C">
      <w:pPr>
        <w:pStyle w:val="Balk1"/>
        <w:rPr>
          <w:rFonts w:cs="Gentium Plus"/>
        </w:rPr>
      </w:pPr>
      <w:proofErr w:type="spellStart"/>
      <w:r>
        <w:rPr>
          <w:rFonts w:cs="Gentium Plus"/>
        </w:rPr>
        <w:t>I</w:t>
      </w:r>
      <w:r w:rsidRPr="00D10D18">
        <w:rPr>
          <w:rFonts w:cs="Gentium Plus"/>
        </w:rPr>
        <w:t>ntroduction</w:t>
      </w:r>
      <w:proofErr w:type="spellEnd"/>
    </w:p>
    <w:p w14:paraId="689C9667" w14:textId="77777777" w:rsidR="00F60E3C" w:rsidRDefault="00F60E3C" w:rsidP="00F60E3C">
      <w:pPr>
        <w:pStyle w:val="Paragraf"/>
      </w:pP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rsidRPr="00AF16DF">
        <w:rPr>
          <w:rStyle w:val="DipnotBavurusu"/>
        </w:rPr>
        <w:footnoteReference w:id="1"/>
      </w:r>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rsidRPr="00AF16DF">
        <w:rPr>
          <w:rStyle w:val="DipnotBavurusu"/>
        </w:rPr>
        <w:footnoteReference w:id="2"/>
      </w:r>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rsidRPr="00AF16DF">
        <w:rPr>
          <w:rStyle w:val="DipnotBavurusu"/>
        </w:rPr>
        <w:footnoteReference w:id="3"/>
      </w:r>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rsidRPr="00AF16DF">
        <w:rPr>
          <w:rStyle w:val="DipnotBavurusu"/>
        </w:rPr>
        <w:footnoteReference w:id="4"/>
      </w:r>
    </w:p>
    <w:p w14:paraId="5A42D5A4" w14:textId="77777777" w:rsidR="00F60E3C" w:rsidRPr="00E21B57" w:rsidRDefault="00F60E3C" w:rsidP="00D10D18">
      <w:pPr>
        <w:pStyle w:val="Balk1"/>
      </w:pPr>
      <w:r>
        <w:t xml:space="preserve">1. </w:t>
      </w:r>
      <w:proofErr w:type="spellStart"/>
      <w:r w:rsidR="00D10D18">
        <w:t>Xxxxx</w:t>
      </w:r>
      <w:proofErr w:type="spellEnd"/>
      <w:r w:rsidR="00D10D18">
        <w:t xml:space="preserve"> </w:t>
      </w:r>
      <w:proofErr w:type="spellStart"/>
      <w:r w:rsidR="00D10D18">
        <w:t>Xxxxxx</w:t>
      </w:r>
      <w:proofErr w:type="spellEnd"/>
      <w:r w:rsidR="00D10D18">
        <w:t xml:space="preserve"> </w:t>
      </w:r>
      <w:proofErr w:type="spellStart"/>
      <w:r w:rsidR="00D10D18">
        <w:t>Xxxxxx</w:t>
      </w:r>
      <w:proofErr w:type="spellEnd"/>
      <w:r w:rsidR="00D10D18">
        <w:t xml:space="preserve"> </w:t>
      </w:r>
    </w:p>
    <w:p w14:paraId="510AE7D1" w14:textId="77777777" w:rsidR="00F60E3C" w:rsidRDefault="00F60E3C" w:rsidP="00F60E3C">
      <w:pPr>
        <w:pStyle w:val="Paragraf"/>
      </w:pP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lastRenderedPageBreak/>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w:t>
      </w:r>
    </w:p>
    <w:p w14:paraId="2A6C24B4" w14:textId="77777777" w:rsidR="00F60E3C" w:rsidRPr="00E21B57" w:rsidRDefault="00F60E3C" w:rsidP="00F60E3C">
      <w:pPr>
        <w:pStyle w:val="Balk1"/>
      </w:pPr>
      <w:r>
        <w:t xml:space="preserve">2.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p>
    <w:p w14:paraId="11C8D6D3" w14:textId="77777777" w:rsidR="00F60E3C" w:rsidRDefault="00F60E3C" w:rsidP="00F60E3C">
      <w:pPr>
        <w:pStyle w:val="Paragraf"/>
      </w:pP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w:t>
      </w:r>
    </w:p>
    <w:p w14:paraId="60E6106D" w14:textId="77777777" w:rsidR="00F60E3C" w:rsidRPr="00E21B57" w:rsidRDefault="00F60E3C" w:rsidP="00F60E3C">
      <w:pPr>
        <w:pStyle w:val="Balk1"/>
      </w:pPr>
      <w:r>
        <w:t xml:space="preserve">2.1.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p>
    <w:p w14:paraId="75111324" w14:textId="77777777" w:rsidR="00F60E3C" w:rsidRDefault="00F60E3C" w:rsidP="00F60E3C">
      <w:pPr>
        <w:pStyle w:val="Paragraf"/>
      </w:pP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w:t>
      </w:r>
    </w:p>
    <w:p w14:paraId="2B183B59" w14:textId="77777777" w:rsidR="00F60E3C" w:rsidRDefault="00D10D18" w:rsidP="00D10D18">
      <w:pPr>
        <w:pStyle w:val="Balk1"/>
      </w:pPr>
      <w:proofErr w:type="spellStart"/>
      <w:r>
        <w:t>C</w:t>
      </w:r>
      <w:r w:rsidRPr="00D10D18">
        <w:t>onclusion</w:t>
      </w:r>
      <w:proofErr w:type="spellEnd"/>
    </w:p>
    <w:p w14:paraId="5BA99521" w14:textId="77777777" w:rsidR="00F60E3C" w:rsidRDefault="00F60E3C" w:rsidP="00F60E3C">
      <w:pPr>
        <w:pStyle w:val="Paragraf"/>
      </w:pP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lastRenderedPageBreak/>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
    <w:p w14:paraId="13CAFDFD" w14:textId="77777777" w:rsidR="00F60E3C" w:rsidRPr="002A181F" w:rsidRDefault="00F60E3C" w:rsidP="00F60E3C">
      <w:pPr>
        <w:pStyle w:val="Paragraf"/>
      </w:pPr>
    </w:p>
    <w:p w14:paraId="6D7E9512" w14:textId="77777777" w:rsidR="00F60E3C" w:rsidRDefault="005E3AB2" w:rsidP="005E3AB2">
      <w:pPr>
        <w:pStyle w:val="Balk1"/>
        <w:ind w:firstLine="0"/>
        <w:rPr>
          <w:lang w:eastAsia="tr-TR"/>
        </w:rPr>
      </w:pPr>
      <w:proofErr w:type="spellStart"/>
      <w:r>
        <w:rPr>
          <w:lang w:eastAsia="tr-TR"/>
        </w:rPr>
        <w:t>Bibliography</w:t>
      </w:r>
      <w:proofErr w:type="spellEnd"/>
    </w:p>
    <w:p w14:paraId="2C29BC4A" w14:textId="77777777" w:rsidR="00AC6D34" w:rsidRPr="00AC6D34" w:rsidRDefault="00AC6D34" w:rsidP="00AC6D34">
      <w:pPr>
        <w:pStyle w:val="Kaynaka"/>
      </w:pPr>
      <w:proofErr w:type="spellStart"/>
      <w:r w:rsidRPr="00AC6D34">
        <w:t>Abdel</w:t>
      </w:r>
      <w:proofErr w:type="spellEnd"/>
      <w:r w:rsidRPr="00AC6D34">
        <w:t xml:space="preserve"> Salam</w:t>
      </w:r>
      <w:r>
        <w:t xml:space="preserve">, </w:t>
      </w:r>
      <w:proofErr w:type="spellStart"/>
      <w:r>
        <w:t>Haroun</w:t>
      </w:r>
      <w:proofErr w:type="spellEnd"/>
      <w:r>
        <w:t>.</w:t>
      </w:r>
      <w:r w:rsidRPr="00AC6D34">
        <w:t xml:space="preserve">  </w:t>
      </w:r>
      <w:proofErr w:type="spellStart"/>
      <w:r>
        <w:t>Tahq</w:t>
      </w:r>
      <w:r w:rsidRPr="00AC6D34">
        <w:t>ī</w:t>
      </w:r>
      <w:r>
        <w:t>q</w:t>
      </w:r>
      <w:proofErr w:type="spellEnd"/>
      <w:r>
        <w:t xml:space="preserve"> al-</w:t>
      </w:r>
      <w:proofErr w:type="spellStart"/>
      <w:r>
        <w:t>Nus</w:t>
      </w:r>
      <w:r w:rsidRPr="00AC6D34">
        <w:t>ūs</w:t>
      </w:r>
      <w:proofErr w:type="spellEnd"/>
      <w:r w:rsidRPr="00AC6D34">
        <w:t xml:space="preserve"> </w:t>
      </w:r>
      <w:proofErr w:type="spellStart"/>
      <w:r w:rsidRPr="00AC6D34">
        <w:t>wa</w:t>
      </w:r>
      <w:proofErr w:type="spellEnd"/>
      <w:r w:rsidRPr="00AC6D34">
        <w:t xml:space="preserve"> </w:t>
      </w:r>
      <w:proofErr w:type="spellStart"/>
      <w:r w:rsidRPr="00AC6D34">
        <w:t>Neshrihā</w:t>
      </w:r>
      <w:proofErr w:type="spellEnd"/>
      <w:r>
        <w:t>.</w:t>
      </w:r>
      <w:r w:rsidRPr="00AC6D34">
        <w:t xml:space="preserve"> </w:t>
      </w:r>
      <w:proofErr w:type="spellStart"/>
      <w:r w:rsidRPr="00AC6D34">
        <w:t>Egypt</w:t>
      </w:r>
      <w:proofErr w:type="spellEnd"/>
      <w:r>
        <w:t>:</w:t>
      </w:r>
      <w:r w:rsidRPr="00AC6D34">
        <w:t xml:space="preserve"> </w:t>
      </w:r>
      <w:proofErr w:type="spellStart"/>
      <w:r>
        <w:t>Maktaba</w:t>
      </w:r>
      <w:proofErr w:type="spellEnd"/>
      <w:r>
        <w:t xml:space="preserve"> al- Al-</w:t>
      </w:r>
      <w:proofErr w:type="spellStart"/>
      <w:r>
        <w:t>Khanji</w:t>
      </w:r>
      <w:proofErr w:type="spellEnd"/>
      <w:r>
        <w:t>,</w:t>
      </w:r>
      <w:r w:rsidRPr="00AC6D34">
        <w:t xml:space="preserve"> 1998.</w:t>
      </w:r>
    </w:p>
    <w:p w14:paraId="58293A53" w14:textId="77777777" w:rsidR="00AC6D34" w:rsidRPr="00AC6D34" w:rsidRDefault="00AC6D34" w:rsidP="00D77739">
      <w:pPr>
        <w:pStyle w:val="Kaynaka"/>
      </w:pPr>
      <w:r w:rsidRPr="00AC6D34">
        <w:t>Al-</w:t>
      </w:r>
      <w:proofErr w:type="spellStart"/>
      <w:r w:rsidRPr="00AC6D34">
        <w:t>Dhahabi</w:t>
      </w:r>
      <w:proofErr w:type="spellEnd"/>
      <w:r w:rsidRPr="00AC6D34">
        <w:t xml:space="preserve">, </w:t>
      </w:r>
      <w:proofErr w:type="spellStart"/>
      <w:r w:rsidRPr="00AC6D34">
        <w:t>Shams</w:t>
      </w:r>
      <w:proofErr w:type="spellEnd"/>
      <w:r w:rsidRPr="00AC6D34">
        <w:t xml:space="preserve"> al-</w:t>
      </w:r>
      <w:proofErr w:type="spellStart"/>
      <w:r w:rsidRPr="00AC6D34">
        <w:t>Dīn</w:t>
      </w:r>
      <w:proofErr w:type="spellEnd"/>
      <w:r w:rsidRPr="00AC6D34">
        <w:t xml:space="preserve"> </w:t>
      </w:r>
      <w:proofErr w:type="spellStart"/>
      <w:r w:rsidRPr="00AC6D34">
        <w:t>Abū</w:t>
      </w:r>
      <w:proofErr w:type="spellEnd"/>
      <w:r w:rsidRPr="00AC6D34">
        <w:t xml:space="preserve"> </w:t>
      </w:r>
      <w:proofErr w:type="spellStart"/>
      <w:r w:rsidRPr="00AC6D34">
        <w:t>ʿAbdallāh</w:t>
      </w:r>
      <w:proofErr w:type="spellEnd"/>
      <w:r w:rsidRPr="00AC6D34">
        <w:t xml:space="preserve"> </w:t>
      </w:r>
      <w:proofErr w:type="spellStart"/>
      <w:r w:rsidRPr="00AC6D34">
        <w:t>Muḥammad</w:t>
      </w:r>
      <w:proofErr w:type="spellEnd"/>
      <w:r w:rsidRPr="00AC6D34">
        <w:t xml:space="preserve"> </w:t>
      </w:r>
      <w:proofErr w:type="spellStart"/>
      <w:r w:rsidRPr="00AC6D34">
        <w:t>ibn</w:t>
      </w:r>
      <w:proofErr w:type="spellEnd"/>
      <w:r w:rsidRPr="00AC6D34">
        <w:t xml:space="preserve"> </w:t>
      </w:r>
      <w:proofErr w:type="spellStart"/>
      <w:r w:rsidRPr="00AC6D34">
        <w:t>Aḥmad</w:t>
      </w:r>
      <w:proofErr w:type="spellEnd"/>
      <w:r w:rsidRPr="00AC6D34">
        <w:t xml:space="preserve"> </w:t>
      </w:r>
      <w:proofErr w:type="spellStart"/>
      <w:r w:rsidRPr="00AC6D34">
        <w:t>ibn</w:t>
      </w:r>
      <w:proofErr w:type="spellEnd"/>
      <w:r w:rsidRPr="00AC6D34">
        <w:t xml:space="preserve"> </w:t>
      </w:r>
      <w:proofErr w:type="spellStart"/>
      <w:r w:rsidRPr="00AC6D34">
        <w:t>ʿUthmān</w:t>
      </w:r>
      <w:proofErr w:type="spellEnd"/>
      <w:r w:rsidRPr="00AC6D34">
        <w:t xml:space="preserve"> </w:t>
      </w:r>
      <w:proofErr w:type="spellStart"/>
      <w:r w:rsidRPr="00AC6D34">
        <w:t>ibn</w:t>
      </w:r>
      <w:proofErr w:type="spellEnd"/>
      <w:r w:rsidRPr="00AC6D34">
        <w:t xml:space="preserve"> </w:t>
      </w:r>
      <w:proofErr w:type="spellStart"/>
      <w:r w:rsidRPr="00AC6D34">
        <w:t>Qāymāẓ</w:t>
      </w:r>
      <w:proofErr w:type="spellEnd"/>
      <w:r w:rsidRPr="00AC6D34">
        <w:t xml:space="preserve"> </w:t>
      </w:r>
      <w:proofErr w:type="spellStart"/>
      <w:r w:rsidRPr="00AC6D34">
        <w:t>ibn</w:t>
      </w:r>
      <w:proofErr w:type="spellEnd"/>
      <w:r w:rsidRPr="00AC6D34">
        <w:t xml:space="preserve"> </w:t>
      </w:r>
      <w:proofErr w:type="spellStart"/>
      <w:r w:rsidRPr="00AC6D34">
        <w:t>ʿAbdallāh</w:t>
      </w:r>
      <w:proofErr w:type="spellEnd"/>
      <w:r w:rsidRPr="00AC6D34">
        <w:t xml:space="preserve"> al-</w:t>
      </w:r>
      <w:proofErr w:type="spellStart"/>
      <w:r w:rsidRPr="00AC6D34">
        <w:t>Turk</w:t>
      </w:r>
      <w:r>
        <w:t>mānī</w:t>
      </w:r>
      <w:proofErr w:type="spellEnd"/>
      <w:r>
        <w:t xml:space="preserve"> al-</w:t>
      </w:r>
      <w:proofErr w:type="spellStart"/>
      <w:r>
        <w:t>Fāriqī</w:t>
      </w:r>
      <w:proofErr w:type="spellEnd"/>
      <w:r>
        <w:t xml:space="preserve"> al-</w:t>
      </w:r>
      <w:proofErr w:type="spellStart"/>
      <w:r>
        <w:t>Dimashqī</w:t>
      </w:r>
      <w:proofErr w:type="spellEnd"/>
      <w:r>
        <w:t>.</w:t>
      </w:r>
      <w:r w:rsidRPr="00AC6D34">
        <w:t xml:space="preserve"> </w:t>
      </w:r>
      <w:proofErr w:type="spellStart"/>
      <w:r w:rsidRPr="00AC6D34">
        <w:t>Tarikh</w:t>
      </w:r>
      <w:proofErr w:type="spellEnd"/>
      <w:r w:rsidRPr="00AC6D34">
        <w:t xml:space="preserve"> al-</w:t>
      </w:r>
      <w:proofErr w:type="spellStart"/>
      <w:r w:rsidRPr="00AC6D34">
        <w:t>Islam</w:t>
      </w:r>
      <w:proofErr w:type="spellEnd"/>
      <w:r w:rsidRPr="00AC6D34">
        <w:t xml:space="preserve">: </w:t>
      </w:r>
      <w:proofErr w:type="spellStart"/>
      <w:r w:rsidRPr="00AC6D34">
        <w:t>wa-tabaqat</w:t>
      </w:r>
      <w:proofErr w:type="spellEnd"/>
      <w:r w:rsidRPr="00AC6D34">
        <w:t xml:space="preserve"> al-</w:t>
      </w:r>
      <w:proofErr w:type="spellStart"/>
      <w:r w:rsidRPr="00AC6D34">
        <w:t>mashahir</w:t>
      </w:r>
      <w:proofErr w:type="spellEnd"/>
      <w:r w:rsidRPr="00AC6D34">
        <w:t xml:space="preserve"> </w:t>
      </w:r>
      <w:proofErr w:type="spellStart"/>
      <w:r w:rsidRPr="00AC6D34">
        <w:t>wa</w:t>
      </w:r>
      <w:proofErr w:type="spellEnd"/>
      <w:r w:rsidRPr="00AC6D34">
        <w:t>-al-</w:t>
      </w:r>
      <w:proofErr w:type="spellStart"/>
      <w:r w:rsidRPr="00AC6D34">
        <w:t>a`lam</w:t>
      </w:r>
      <w:proofErr w:type="spellEnd"/>
      <w:r>
        <w:t>.</w:t>
      </w:r>
      <w:r w:rsidRPr="00AC6D34">
        <w:t xml:space="preserve"> Ed</w:t>
      </w:r>
      <w:r>
        <w:t xml:space="preserve">. </w:t>
      </w:r>
      <w:proofErr w:type="spellStart"/>
      <w:r>
        <w:t>Omar</w:t>
      </w:r>
      <w:proofErr w:type="spellEnd"/>
      <w:r>
        <w:t xml:space="preserve"> </w:t>
      </w:r>
      <w:proofErr w:type="spellStart"/>
      <w:r>
        <w:t>Abdel</w:t>
      </w:r>
      <w:proofErr w:type="spellEnd"/>
      <w:r>
        <w:t xml:space="preserve"> Salam Al</w:t>
      </w:r>
      <w:r w:rsidRPr="00AC6D34">
        <w:t>-</w:t>
      </w:r>
      <w:proofErr w:type="spellStart"/>
      <w:r w:rsidRPr="00AC6D34">
        <w:t>Tadmouri</w:t>
      </w:r>
      <w:proofErr w:type="spellEnd"/>
      <w:r>
        <w:t>.</w:t>
      </w:r>
      <w:r w:rsidRPr="00AC6D34">
        <w:t xml:space="preserve"> </w:t>
      </w:r>
      <w:proofErr w:type="spellStart"/>
      <w:r w:rsidRPr="00AC6D34">
        <w:t>Beirut</w:t>
      </w:r>
      <w:proofErr w:type="spellEnd"/>
      <w:r>
        <w:t xml:space="preserve">: </w:t>
      </w:r>
      <w:proofErr w:type="spellStart"/>
      <w:r w:rsidR="00D77739">
        <w:t>Maktaba</w:t>
      </w:r>
      <w:proofErr w:type="spellEnd"/>
      <w:r w:rsidR="00D77739">
        <w:t xml:space="preserve"> Al-</w:t>
      </w:r>
      <w:proofErr w:type="spellStart"/>
      <w:r w:rsidR="00D77739">
        <w:t>Islām</w:t>
      </w:r>
      <w:proofErr w:type="spellEnd"/>
      <w:r w:rsidR="00D77739">
        <w:t xml:space="preserve">, </w:t>
      </w:r>
      <w:r w:rsidRPr="00AC6D34">
        <w:t>1993.</w:t>
      </w:r>
    </w:p>
    <w:p w14:paraId="40AF5B05" w14:textId="77777777" w:rsidR="00AC6D34" w:rsidRPr="00AC6D34" w:rsidRDefault="00AC6D34" w:rsidP="00D77739">
      <w:pPr>
        <w:pStyle w:val="Kaynaka"/>
      </w:pPr>
      <w:r w:rsidRPr="00AC6D34">
        <w:t>Al-</w:t>
      </w:r>
      <w:proofErr w:type="spellStart"/>
      <w:r w:rsidRPr="00AC6D34">
        <w:t>Sakhkhāwī</w:t>
      </w:r>
      <w:proofErr w:type="spellEnd"/>
      <w:r w:rsidRPr="00AC6D34">
        <w:t xml:space="preserve">, </w:t>
      </w:r>
      <w:proofErr w:type="spellStart"/>
      <w:r w:rsidRPr="00AC6D34">
        <w:t>Shams</w:t>
      </w:r>
      <w:proofErr w:type="spellEnd"/>
      <w:r w:rsidRPr="00AC6D34">
        <w:t xml:space="preserve"> al-</w:t>
      </w:r>
      <w:proofErr w:type="spellStart"/>
      <w:r w:rsidRPr="00AC6D34">
        <w:t>Dīn</w:t>
      </w:r>
      <w:proofErr w:type="spellEnd"/>
      <w:r w:rsidRPr="00AC6D34">
        <w:t xml:space="preserve"> </w:t>
      </w:r>
      <w:proofErr w:type="spellStart"/>
      <w:r w:rsidRPr="00AC6D34">
        <w:t>Muḥammad</w:t>
      </w:r>
      <w:proofErr w:type="spellEnd"/>
      <w:r w:rsidRPr="00AC6D34">
        <w:t xml:space="preserve"> </w:t>
      </w:r>
      <w:proofErr w:type="spellStart"/>
      <w:r w:rsidRPr="00AC6D34">
        <w:t>ibn</w:t>
      </w:r>
      <w:proofErr w:type="spellEnd"/>
      <w:r w:rsidRPr="00AC6D34">
        <w:t xml:space="preserve"> ‘</w:t>
      </w:r>
      <w:proofErr w:type="spellStart"/>
      <w:r w:rsidRPr="00AC6D34">
        <w:t>Abd</w:t>
      </w:r>
      <w:proofErr w:type="spellEnd"/>
      <w:r w:rsidRPr="00AC6D34">
        <w:t xml:space="preserve"> al-</w:t>
      </w:r>
      <w:proofErr w:type="spellStart"/>
      <w:r w:rsidRPr="00AC6D34">
        <w:t>Raḥmān</w:t>
      </w:r>
      <w:proofErr w:type="spellEnd"/>
      <w:r w:rsidRPr="00AC6D34">
        <w:t xml:space="preserve"> al-</w:t>
      </w:r>
      <w:proofErr w:type="spellStart"/>
      <w:r w:rsidRPr="00AC6D34">
        <w:t>Sakhāwi</w:t>
      </w:r>
      <w:proofErr w:type="spellEnd"/>
      <w:r>
        <w:t>.</w:t>
      </w:r>
      <w:r w:rsidRPr="00AC6D34">
        <w:t xml:space="preserve"> </w:t>
      </w:r>
      <w:proofErr w:type="spellStart"/>
      <w:r w:rsidRPr="00AC6D34">
        <w:t>Fatḥ</w:t>
      </w:r>
      <w:proofErr w:type="spellEnd"/>
      <w:r w:rsidRPr="00AC6D34">
        <w:t xml:space="preserve"> </w:t>
      </w:r>
      <w:r>
        <w:t>al-</w:t>
      </w:r>
      <w:proofErr w:type="spellStart"/>
      <w:r>
        <w:t>Mughīth</w:t>
      </w:r>
      <w:proofErr w:type="spellEnd"/>
      <w:r>
        <w:t xml:space="preserve">. Ed. </w:t>
      </w:r>
      <w:proofErr w:type="spellStart"/>
      <w:r>
        <w:t>ʿAlî</w:t>
      </w:r>
      <w:proofErr w:type="spellEnd"/>
      <w:r>
        <w:t xml:space="preserve"> </w:t>
      </w:r>
      <w:proofErr w:type="spellStart"/>
      <w:r>
        <w:t>Husayn</w:t>
      </w:r>
      <w:proofErr w:type="spellEnd"/>
      <w:r>
        <w:t xml:space="preserve"> </w:t>
      </w:r>
      <w:proofErr w:type="spellStart"/>
      <w:r>
        <w:t>ʿAl</w:t>
      </w:r>
      <w:r w:rsidRPr="00AC6D34">
        <w:t>ī</w:t>
      </w:r>
      <w:proofErr w:type="spellEnd"/>
      <w:r>
        <w:t>.</w:t>
      </w:r>
      <w:r w:rsidRPr="00AC6D34">
        <w:t xml:space="preserve"> </w:t>
      </w:r>
      <w:proofErr w:type="spellStart"/>
      <w:r w:rsidRPr="00AC6D34">
        <w:t>Egypt</w:t>
      </w:r>
      <w:proofErr w:type="spellEnd"/>
      <w:r>
        <w:t>:</w:t>
      </w:r>
      <w:r w:rsidRPr="00AC6D34">
        <w:t xml:space="preserve"> </w:t>
      </w:r>
      <w:proofErr w:type="spellStart"/>
      <w:r w:rsidR="00D77739">
        <w:t>Risāla</w:t>
      </w:r>
      <w:proofErr w:type="spellEnd"/>
      <w:r w:rsidR="00D77739">
        <w:t xml:space="preserve"> </w:t>
      </w:r>
      <w:proofErr w:type="spellStart"/>
      <w:r w:rsidR="00D77739">
        <w:t>Nāshir</w:t>
      </w:r>
      <w:r w:rsidR="00D77739" w:rsidRPr="00AC6D34">
        <w:t>ū</w:t>
      </w:r>
      <w:r w:rsidR="00D77739">
        <w:t>n</w:t>
      </w:r>
      <w:proofErr w:type="spellEnd"/>
      <w:r w:rsidR="00D77739">
        <w:t xml:space="preserve">, </w:t>
      </w:r>
      <w:r>
        <w:t>2</w:t>
      </w:r>
      <w:r w:rsidRPr="00AC6D34">
        <w:t>003.</w:t>
      </w:r>
    </w:p>
    <w:p w14:paraId="224392A1" w14:textId="77777777" w:rsidR="00D5015B" w:rsidRDefault="00D5015B" w:rsidP="00F60E3C"/>
    <w:sectPr w:rsidR="00D5015B">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CE9FA" w14:textId="77777777" w:rsidR="009D23E2" w:rsidRDefault="009D23E2" w:rsidP="00F60E3C">
      <w:pPr>
        <w:spacing w:after="0" w:line="240" w:lineRule="auto"/>
      </w:pPr>
      <w:r>
        <w:separator/>
      </w:r>
    </w:p>
  </w:endnote>
  <w:endnote w:type="continuationSeparator" w:id="0">
    <w:p w14:paraId="70A7BF78" w14:textId="77777777" w:rsidR="009D23E2" w:rsidRDefault="009D23E2" w:rsidP="00F6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ium Plus">
    <w:panose1 w:val="02000503060000020004"/>
    <w:charset w:val="00"/>
    <w:family w:val="auto"/>
    <w:pitch w:val="variable"/>
    <w:sig w:usb0="E00002FF" w:usb1="5200E1FB" w:usb2="02000029"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P TNR Trans">
    <w:altName w:val="Times New Roman"/>
    <w:charset w:val="00"/>
    <w:family w:val="roman"/>
    <w:pitch w:val="variable"/>
    <w:sig w:usb0="A0002AFF" w:usb1="D00078FB" w:usb2="00000008"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3B703" w14:textId="77777777" w:rsidR="009D23E2" w:rsidRDefault="009D23E2" w:rsidP="00F60E3C">
      <w:pPr>
        <w:spacing w:after="0" w:line="240" w:lineRule="auto"/>
      </w:pPr>
      <w:r>
        <w:separator/>
      </w:r>
    </w:p>
  </w:footnote>
  <w:footnote w:type="continuationSeparator" w:id="0">
    <w:p w14:paraId="65D7CE6E" w14:textId="77777777" w:rsidR="009D23E2" w:rsidRDefault="009D23E2" w:rsidP="00F60E3C">
      <w:pPr>
        <w:spacing w:after="0" w:line="240" w:lineRule="auto"/>
      </w:pPr>
      <w:r>
        <w:continuationSeparator/>
      </w:r>
    </w:p>
  </w:footnote>
  <w:footnote w:id="1">
    <w:p w14:paraId="4D07CBB1" w14:textId="77777777" w:rsidR="00F60E3C" w:rsidRPr="00A363C6" w:rsidRDefault="00F60E3C" w:rsidP="00F60E3C">
      <w:pPr>
        <w:pStyle w:val="Dipnot"/>
        <w:rPr>
          <w:rFonts w:cs="Gentium Plus"/>
        </w:rPr>
      </w:pPr>
      <w:r w:rsidRPr="00A363C6">
        <w:rPr>
          <w:rStyle w:val="DipnotBavurusu"/>
          <w:rFonts w:cs="Gentium Plus"/>
        </w:rPr>
        <w:footnoteRef/>
      </w:r>
      <w:r w:rsidRPr="00A363C6">
        <w:rPr>
          <w:rFonts w:cs="Gentium Plus"/>
        </w:rPr>
        <w:t xml:space="preserve"> </w:t>
      </w:r>
      <w:r w:rsidRPr="00A363C6">
        <w:rPr>
          <w:rFonts w:cs="Gentium Plus"/>
        </w:rPr>
        <w:tab/>
      </w:r>
      <w:r w:rsidRPr="00A363C6">
        <w:rPr>
          <w:rFonts w:cs="Gentium Plus"/>
        </w:rPr>
        <w:fldChar w:fldCharType="begin"/>
      </w:r>
      <w:r>
        <w:rPr>
          <w:rFonts w:cs="Gentium Plus"/>
        </w:rPr>
        <w:instrText xml:space="preserve"> ADDIN ZOTERO_ITEM CSL_CITATION {"citationID":"fDqebYBH","properties":{"formattedCitation":"Eb\\uc0\\u252{}\\uc0\\u8217{}l-H\\uc0\\u252{}seyn M\\uc0\\u252{}slim b. el-Hacc\\uc0\\u226{}c M\\uc0\\u252{}slim, {\\i{}Sah\\uc0\\u238{}h}, thk. Y\\uc0\\u226{}sir Hasen v.d\\uc0\\u287{}r. (Beyrut: M\\uc0\\u252{}esseset\\uc0\\u252{}\\uc0\\u8217{}r-Ris\\uc0\\u226{}le N\\uc0\\u226{}\\uc0\\u351{}ir\\uc0\\u251{}n, 2016), \\uc0\\u8220{}Mukaddime\\uc0\\u8221{}, 7.","plainCitation":"Ebü’l-Hüseyn Müslim b. el-Haccâc Müslim, Sahîh, thk. Yâsir Hasen v.dğr. (Beyrut: Müessesetü’r-Risâle Nâşirûn, 2016), “Mukaddime”, 7.","dontUpdate":true,"noteIndex":1},"citationItems":[{"id":114,"uris":["http://zotero.org/users/6213152/items/D6VIHDIL"],"uri":["http://zotero.org/users/6213152/items/D6VIHDIL"],"itemData":{"id":114,"type":"book","event-place":"Beyrut","publisher":"Müessesetü'r-Risâle Nâşirûn","publisher-place":"Beyrut","title":"Sahîh","author":[{"family":"Müslim","given":"Ebü’l-Hüseyn Müslim","dropping-particle":"b. el-Haccâc"}],"collection-editor":[{"family":"Yâsir Hasen","given":""},{"family":"‘Izzuddîn Dali","given":""},{"family":"‘Imadu’t-Tayyâr","given":""}],"issued":{"date-parts":[["2016"]]}},"locator":"\"Mukaddime\", 7"}],"schema":"https://github.com/citation-style-language/schema/raw/master/csl-citation.json"} </w:instrText>
      </w:r>
      <w:r w:rsidRPr="00A363C6">
        <w:rPr>
          <w:rFonts w:cs="Gentium Plus"/>
        </w:rPr>
        <w:fldChar w:fldCharType="separate"/>
      </w:r>
      <w:r w:rsidRPr="00A363C6">
        <w:rPr>
          <w:rFonts w:cs="Gentium Plus"/>
          <w:szCs w:val="24"/>
        </w:rPr>
        <w:t>Eb</w:t>
      </w:r>
      <w:r>
        <w:rPr>
          <w:rFonts w:cs="Gentium Plus"/>
          <w:szCs w:val="24"/>
        </w:rPr>
        <w:t>u</w:t>
      </w:r>
      <w:r w:rsidRPr="00A363C6">
        <w:rPr>
          <w:rFonts w:cs="Gentium Plus"/>
          <w:szCs w:val="24"/>
        </w:rPr>
        <w:t xml:space="preserve">’l-Hüseyn Müslim b. el-Haccâc Müslim, </w:t>
      </w:r>
      <w:r w:rsidRPr="00A363C6">
        <w:rPr>
          <w:rFonts w:cs="Gentium Plus"/>
          <w:i/>
          <w:iCs/>
          <w:szCs w:val="24"/>
        </w:rPr>
        <w:t>Sahîh</w:t>
      </w:r>
      <w:r w:rsidRPr="00A363C6">
        <w:rPr>
          <w:rFonts w:cs="Gentium Plus"/>
          <w:szCs w:val="24"/>
        </w:rPr>
        <w:t>, thk. Yâsir Hasen v.dğr. (Beyrut: Müessesetü’r-Risâle Nâşirûn, 2016), “Mukaddime”, 7.</w:t>
      </w:r>
      <w:r w:rsidRPr="00A363C6">
        <w:rPr>
          <w:rFonts w:cs="Gentium Plus"/>
        </w:rPr>
        <w:fldChar w:fldCharType="end"/>
      </w:r>
    </w:p>
  </w:footnote>
  <w:footnote w:id="2">
    <w:p w14:paraId="3F1E219D" w14:textId="77777777" w:rsidR="00F60E3C" w:rsidRPr="00E06088" w:rsidRDefault="00F60E3C" w:rsidP="00F60E3C">
      <w:pPr>
        <w:pStyle w:val="Dipnot"/>
        <w:rPr>
          <w:rFonts w:cs="Gentium Plus"/>
          <w:lang w:val="de-DE"/>
        </w:rPr>
      </w:pPr>
      <w:r w:rsidRPr="00A363C6">
        <w:rPr>
          <w:rStyle w:val="DipnotBavurusu"/>
          <w:rFonts w:cs="Gentium Plus"/>
        </w:rPr>
        <w:footnoteRef/>
      </w:r>
      <w:r w:rsidRPr="00A363C6">
        <w:rPr>
          <w:rFonts w:cs="Gentium Plus"/>
        </w:rPr>
        <w:t xml:space="preserve"> </w:t>
      </w:r>
      <w:r w:rsidRPr="00A363C6">
        <w:rPr>
          <w:rFonts w:cs="Gentium Plus"/>
        </w:rPr>
        <w:tab/>
      </w:r>
      <w:r w:rsidRPr="00A363C6">
        <w:rPr>
          <w:rFonts w:cs="Gentium Plus"/>
        </w:rPr>
        <w:fldChar w:fldCharType="begin"/>
      </w:r>
      <w:r>
        <w:rPr>
          <w:rFonts w:cs="Gentium Plus"/>
        </w:rPr>
        <w:instrText xml:space="preserve"> ADDIN ZOTERO_ITEM CSL_CITATION {"citationID":"uutFlMQT","properties":{"formattedCitation":"\\uc0\\u8220{}\\uc0\\u214{}nceleri isn\\uc0\\u226{}d sormazlard\\uc0\\u305{}. Ne zaman ki fitne vuk\\uc0\\u251{} buldu, \\uc0\\u8216{}(had\\uc0\\u238{}si riv\\uc0\\u226{}yet etti\\uc0\\u287{}iniz) r\\uc0\\u226{}v\\uc0\\u238{}lerinizin isimlerini bize s\\uc0\\u246{}yleyin\\uc0\\u8217{} demeye ba\\uc0\\u351{}lad\\uc0\\u305{}lar. B\\uc0\\u246{}ylelikle r\\uc0\\u226{}v\\uc0\\u238{}ler s\\uc0\\u252{}nnet ehlinden iseler had\\uc0\\u238{}sleri al\\uc0\\u305{}n\\uc0\\u305{}r, bid\\uc0\\u8217{}at ehlinden iseler had\\uc0\\u238{}sleri al\\uc0\\u305{}nmaz oldu.\\uc0\\u8221{} M\\uc0\\u252{}slim, {\\i{}Sah\\uc0\\u238{}h}, \\uc0\\u8220{}Mukaddime\\uc0\\u8221{}, 5.","plainCitation":"“Önceleri isnâd sormazlardı. Ne zaman ki fitne vukû buldu, ‘(hadîsi rivâyet ettiğiniz) râvîlerinizin isimlerini bize söyleyin’ demeye başladılar. Böylelikle râvîler sünnet ehlinden iseler hadîsleri alınır, bid’at ehlinden iseler hadîsleri alınmaz oldu.” Müslim, Sahîh, “Mukaddime”, 5.","noteIndex":2},"citationItems":[{"id":114,"uris":["http://zotero.org/users/6213152/items/D6VIHDIL"],"uri":["http://zotero.org/users/6213152/items/D6VIHDIL"],"itemData":{"id":114,"type":"book","event-place":"Beyrut","publisher":"Müessesetü'r-Risâle Nâşirûn","publisher-place":"Beyrut","title":"Sahîh","author":[{"family":"Müslim","given":"Ebü’l-Hüseyn Müslim","dropping-particle":"b. el-Haccâc"}],"collection-editor":[{"family":"Yâsir Hasen","given":""},{"family":"‘Izzuddîn Dali","given":""},{"family":"‘Imadu’t-Tayyâr","given":""}],"issued":{"date-parts":[["2016"]]}},"locator":"\"Mukaddime\", 5","prefix":"“Önceleri isnâd sormazlardı. Ne zaman ki fitne vukû buldu, ‘(hadîsi rivâyet ettiğiniz) râvîlerinizin isimlerini bize söyleyin’ demeye başladılar. Böylelikle râvîler sünnet ehlinden iseler hadîsleri alınır, bid’at ehlinden iseler hadîsleri alınmaz oldu.”"}],"schema":"https://github.com/citation-style-language/schema/raw/master/csl-citation.json"} </w:instrText>
      </w:r>
      <w:r w:rsidRPr="00A363C6">
        <w:rPr>
          <w:rFonts w:cs="Gentium Plus"/>
        </w:rPr>
        <w:fldChar w:fldCharType="separate"/>
      </w:r>
      <w:r w:rsidRPr="00A363C6">
        <w:rPr>
          <w:rFonts w:cs="Gentium Plus"/>
          <w:szCs w:val="24"/>
        </w:rPr>
        <w:t xml:space="preserve">“Önceleri isnâd sormazlardı. Ne zaman ki fitne vukû buldu, ‘(hadîsi rivâyet ettiğiniz) râvîlerinizin isimlerini bize söyleyin’ demeye başladılar. Böylelikle râvîler sünnet ehlinden iseler hadîsleri alınır, bid’at ehlinden iseler hadîsleri alınmaz oldu.” </w:t>
      </w:r>
      <w:r w:rsidRPr="00E06088">
        <w:rPr>
          <w:rFonts w:cs="Gentium Plus"/>
          <w:szCs w:val="24"/>
          <w:lang w:val="de-DE"/>
        </w:rPr>
        <w:t xml:space="preserve">Müslim, </w:t>
      </w:r>
      <w:r w:rsidRPr="00E06088">
        <w:rPr>
          <w:rFonts w:cs="Gentium Plus"/>
          <w:i/>
          <w:iCs/>
          <w:szCs w:val="24"/>
          <w:lang w:val="de-DE"/>
        </w:rPr>
        <w:t>Sahîh</w:t>
      </w:r>
      <w:r w:rsidRPr="00E06088">
        <w:rPr>
          <w:rFonts w:cs="Gentium Plus"/>
          <w:szCs w:val="24"/>
          <w:lang w:val="de-DE"/>
        </w:rPr>
        <w:t>, “Mukaddime”, 5.</w:t>
      </w:r>
      <w:r w:rsidRPr="00A363C6">
        <w:rPr>
          <w:rFonts w:cs="Gentium Plus"/>
        </w:rPr>
        <w:fldChar w:fldCharType="end"/>
      </w:r>
    </w:p>
  </w:footnote>
  <w:footnote w:id="3">
    <w:p w14:paraId="01FC557C" w14:textId="77777777" w:rsidR="00F60E3C" w:rsidRPr="00E06088" w:rsidRDefault="00F60E3C" w:rsidP="00F60E3C">
      <w:pPr>
        <w:pStyle w:val="Dipnot"/>
        <w:rPr>
          <w:rFonts w:cs="Gentium Plus"/>
          <w:lang w:val="de-DE"/>
        </w:rPr>
      </w:pPr>
      <w:r w:rsidRPr="00A363C6">
        <w:rPr>
          <w:rStyle w:val="DipnotBavurusu"/>
          <w:rFonts w:cs="Gentium Plus"/>
        </w:rPr>
        <w:footnoteRef/>
      </w:r>
      <w:r w:rsidRPr="00E06088">
        <w:rPr>
          <w:rFonts w:cs="Gentium Plus"/>
          <w:lang w:val="de-DE"/>
        </w:rPr>
        <w:t xml:space="preserve"> </w:t>
      </w:r>
      <w:r w:rsidRPr="00E06088">
        <w:rPr>
          <w:rFonts w:cs="Gentium Plus"/>
          <w:lang w:val="de-DE"/>
        </w:rPr>
        <w:tab/>
      </w:r>
      <w:r w:rsidRPr="00A363C6">
        <w:rPr>
          <w:rFonts w:cs="Gentium Plus"/>
        </w:rPr>
        <w:fldChar w:fldCharType="begin"/>
      </w:r>
      <w:r w:rsidRPr="00E06088">
        <w:rPr>
          <w:rFonts w:cs="Gentium Plus"/>
          <w:lang w:val="de-DE"/>
        </w:rPr>
        <w:instrText xml:space="preserve"> ADDIN ZOTERO_ITEM CSL_CITATION {"citationID":"ITaXWBVL","properties":{"formattedCitation":"\\uc0\\u8220{}Biz Basra\\uc0\\u8217{}da Resulullah (s.a.s.)\\uc0\\u8217{}in ashab\\uc0\\u305{}ndan nakledilen rivayetler i\\uc0\\u351{}itirdik; Medine\\uc0\\u8217{}ye gidip bizzat bunlar\\uc0\\u305{} ravilerinden sem\\uc0\\u226{}\\uc0\\u8216{} etmeden rahat etmezdik\\uc0\\u8221{} Ahmed b. Al\\uc0\\u238{} Eb\\uc0\\u251{} Bekr Hat\\uc0\\u238{}b el-Ba\\uc0\\u287{}d\\uc0\\u226{}d\\uc0\\u238{}, {\\i{}el-Kif\\uc0\\u226{}ye f\\uc0\\u238{} ilmi\\uc0\\u8217{}r-riv\\uc0\\u226{}ye}, thk. Eb\\uc0\\u251{} \\uc0\\u304{}sh\\uc0\\u226{}k \\uc0\\u304{}brahim b. Mustafa (M\\uc0\\u305{}s\\uc0\\u305{}r: Mektebet\\uc0\\u252{} \\uc0\\u304{}bni Abb\\uc0\\u226{}s, 2002), 2: 469; \\uc0\\u8220{}Biz bir ki\\uc0\\u351{}inin hadisini almak i\\uc0\\u231{}in geldi\\uc0\\u287{}imizde, onun namaz\\uc0\\u305{}na bakard\\uc0\\u305{}k. \\uc0\\u350{}ayet namaz\\uc0\\u305{} s\\uc0\\u226{}lih ise rivayetini al\\uc0\\u305{}r; k\\uc0\\u246{}t\\uc0\\u252{}yse almazd\\uc0\\u305{}k.\\uc0\\u8221{} Hasen b. Abdirrahm\\uc0\\u226{}n er-R\\uc0\\u226{}mehurm\\uc0\\u251{}z\\uc0\\u238{}, {\\i{}el-Muhaddisu\\uc0\\u8217{}l-f\\uc0\\u226{}s\\uc0\\u305{}l beyne\\uc0\\u8217{}r-r\\uc0\\u226{}v\\uc0\\u238{} ve\\uc0\\u8217{}l-v\\uc0\\u226{}\\uc0\\u238{}\\uc0\\u8217{}}, thk. Muhammed Acc\\uc0\\u226{}c el-Hat\\uc0\\u238{}b (Beyrut: D\\uc0\\u226{}ru\\uc0\\u8217{}l-Fikr, 1971), 409.","plainCitation":"“Biz Basra’da Resulullah (s.a.s.)’in ashabından nakledilen rivayetler işitirdik; Medine’ye gidip bizzat bunları ravilerinden semâ‘ etmeden rahat etmezdik” Ahmed b. Alî Ebû Bekr Hatîb el-Bağdâdî, el-Kifâye fî ilmi’r-rivâye, thk. Ebû İshâk İbrahim b. Mustafa (Mısır: Mektebetü İbni Abbâs, 2002), 2: 469; “Biz bir kişinin hadisini almak için geldiğimizde, onun namazına bakardık. Şayet namazı sâlih ise rivayetini alır; kötüyse almazdık.” Hasen b. Abdirrahmân er-Râmehurmûzî, el-Muhaddisu’l-fâsıl beyne’r-râvî ve’l-vâî’, thk. Muhammed Accâc el-Hatîb (Beyrut: Dâru’l-Fikr, 1971), 409.","dontUpdate":true,"noteIndex":3},"citationItems":[{"id":195,"uris":["http://zotero.org/users/6213152/items/6VYF4KVK"],"uri":["http://zotero.org/users/6213152/items/6VYF4KVK"],"itemData":{"id":195,"type":"book","event-place":"Mısır","publisher":"Mektebetü İbni Abbâs","publisher-place":"Mısır","title":"el-Kifâye fî ilmi’r-rivâye","author":[{"family":"Hatîb el-Bağdâdî","given":"Ahmed b. Alî Ebû Bekr"}],"collection-editor":[{"family":"Ebû İshâk İbrahim b. Mustafa","given":""}],"issued":{"date-parts":[["2002"]]}},"locator":"2: 469","prefix":"“Biz Basra’da Resulullah (s.a.s.)’in ashabından nakledilen rivayetler işitirdik; Medine’ye gidip bizzat bunları ravilerinden semâ‘ etmeden rahat etmezdik”"},{"id":272,"uris":["http://zotero.org/users/6213152/items/YZ9PDI5Q"],"uri":["http://zotero.org/users/6213152/items/YZ9PDI5Q"],"itemData":{"id":272,"type":"book","event-place":"Beyrut","publisher":"Dâru'l-Fikr","publisher-place":"Beyrut","title":"el-Muhaddisu’l-fâsıl beyne’r-râvî ve’l-vâî'","author":[{"family":"Râmehurmûzî","given":"Hasen b. Abdirrahmân","dropping-particle":"er-"}],"collection-editor":[{"family":"Muhammed Accâc el-Hatîb","given":""}],"issued":{"date-parts":[["1971"]]}},"locator":"409","prefix":"“Biz bir kişinin hadisini almak için geldiğimizde, onun namazına bakardık. Şayet namazı sâlih ise rivayetini alır; kötüyse almazdık.”"}],"schema":"https://github.com/citation-style-language/schema/raw/master/csl-citation.json"} </w:instrText>
      </w:r>
      <w:r w:rsidRPr="00A363C6">
        <w:rPr>
          <w:rFonts w:cs="Gentium Plus"/>
        </w:rPr>
        <w:fldChar w:fldCharType="separate"/>
      </w:r>
      <w:r w:rsidRPr="00E06088">
        <w:rPr>
          <w:rFonts w:cs="Gentium Plus"/>
          <w:szCs w:val="24"/>
          <w:lang w:val="de-DE"/>
        </w:rPr>
        <w:t xml:space="preserve">“Biz Basra’da Resulullah (s.a.s.)’in ashabından nakledilen rivâyetler işitirdik; Medine’ye gidip bizzat bunları ravilerinden semâ‘ etmeden rahat etmezdik” Ahmed b. Alî Ebû Bekr Hatîb el-Bağdâdî, </w:t>
      </w:r>
      <w:r w:rsidRPr="00E06088">
        <w:rPr>
          <w:rFonts w:cs="Gentium Plus"/>
          <w:i/>
          <w:iCs/>
          <w:szCs w:val="24"/>
          <w:lang w:val="de-DE"/>
        </w:rPr>
        <w:t>el-Kifâye fî ilmi’r-rivâye</w:t>
      </w:r>
      <w:r w:rsidRPr="00E06088">
        <w:rPr>
          <w:rFonts w:cs="Gentium Plus"/>
          <w:szCs w:val="24"/>
          <w:lang w:val="de-DE"/>
        </w:rPr>
        <w:t xml:space="preserve">, thk. Ebû İshâk İbrahim b. Mustafa (Mısır: Mektebetü İbni Abbâs, 2002), 2: 469; “Biz bir kişinin hadisini almak için geldiğimizde, onun namazına bakardık. Şayet namazı sâlih ise rivâyetini alır; kötüyse almazdık.” Hasen b. Abdirrahmân er-Râmehurmûzî, </w:t>
      </w:r>
      <w:r w:rsidRPr="00E06088">
        <w:rPr>
          <w:rFonts w:cs="Gentium Plus"/>
          <w:i/>
          <w:iCs/>
          <w:szCs w:val="24"/>
          <w:lang w:val="de-DE"/>
        </w:rPr>
        <w:t>el-Muhaddisu’l-fâsıl beyne’r-râvî ve’l-vâî’</w:t>
      </w:r>
      <w:r w:rsidRPr="00E06088">
        <w:rPr>
          <w:rFonts w:cs="Gentium Plus"/>
          <w:szCs w:val="24"/>
          <w:lang w:val="de-DE"/>
        </w:rPr>
        <w:t>, thk. Muhammed Accâc el-Hatîb (Beyrut: Dâru’l-Fikr, 1971), 409.</w:t>
      </w:r>
      <w:r w:rsidRPr="00A363C6">
        <w:rPr>
          <w:rFonts w:cs="Gentium Plus"/>
        </w:rPr>
        <w:fldChar w:fldCharType="end"/>
      </w:r>
    </w:p>
  </w:footnote>
  <w:footnote w:id="4">
    <w:p w14:paraId="48683A88" w14:textId="77777777" w:rsidR="00F60E3C" w:rsidRPr="00A363C6" w:rsidRDefault="00F60E3C" w:rsidP="00F60E3C">
      <w:pPr>
        <w:pStyle w:val="Dipnot"/>
        <w:rPr>
          <w:rFonts w:cs="Gentium Plus"/>
        </w:rPr>
      </w:pPr>
      <w:r w:rsidRPr="00A363C6">
        <w:rPr>
          <w:rStyle w:val="DipnotBavurusu"/>
          <w:rFonts w:cs="Gentium Plus"/>
        </w:rPr>
        <w:footnoteRef/>
      </w:r>
      <w:r w:rsidRPr="00E06088">
        <w:rPr>
          <w:rFonts w:cs="Gentium Plus"/>
          <w:lang w:val="de-DE"/>
        </w:rPr>
        <w:t xml:space="preserve"> </w:t>
      </w:r>
      <w:r w:rsidRPr="00E06088">
        <w:rPr>
          <w:rFonts w:cs="Gentium Plus"/>
          <w:lang w:val="de-DE"/>
        </w:rPr>
        <w:tab/>
      </w:r>
      <w:r w:rsidRPr="00A363C6">
        <w:rPr>
          <w:rFonts w:cs="Gentium Plus"/>
        </w:rPr>
        <w:fldChar w:fldCharType="begin"/>
      </w:r>
      <w:r w:rsidRPr="00E06088">
        <w:rPr>
          <w:rFonts w:cs="Gentium Plus"/>
          <w:lang w:val="de-DE"/>
        </w:rPr>
        <w:instrText xml:space="preserve"> ADDIN ZOTERO_ITEM CSL_CITATION {"citationID":"wzlF0D06","properties":{"formattedCitation":"\\uc0\\u8220{}\\uc0\\u194{}limler, bir ki\\uc0\\u351{}iden hadis alaca\\uc0\\u287{}\\uc0\\u305{} zaman onun namaz\\uc0\\u305{}na ve genel durumuna bakarlard\\uc0\\u305{}.\\uc0\\u8221{} Ebu Muhammed Abdurrahman b. Muhammed \\uc0\\u304{}bn Eb\\uc0\\u238{} H\\uc0\\u226{}tim, {\\i{}el-Cerh ve\\uc0\\u8217{}t-Ta\\uc0\\u8216{}d\\uc0\\u238{}l} (Beyrut: D\\uc0\\u226{}ru \\uc0\\u304{}hy\\uc0\\u226{}i\\uc0\\u8217{}t-Tur\\uc0\\u226{}si\\uc0\\u8217{}l-Arab\\uc0\\u238{}, 1952), 2: 16; Ebu Muhammed Abdullah b. Abdirrahman D\\uc0\\u226{}r\\uc0\\u238{}m\\uc0\\u238{}, {\\i{}S\\uc0\\u252{}nen}, thk. \\uc0\\u8216{}Imadu\\uc0\\u8217{}t-Tayy\\uc0\\u226{}r ve \\uc0\\u8216{}Izzudd\\uc0\\u238{}n Dali (Beyrut: M\\uc0\\u252{}esseset\\uc0\\u252{}\\uc0\\u8217{}r-Ris\\uc0\\u226{}le N\\uc0\\u226{}\\uc0\\u351{}ir\\uc0\\u251{}n, 2017), \\uc0\\u8220{}\\uc0\\u304{}lim\\uc0\\u8221{}, 22.","plainCitation":"“Âlimler, bir kişiden hadis alacağı zaman onun namazına ve genel durumuna bakarlardı.” Ebu Muhammed Abdurrahman b. Muhammed İbn Ebî Hâtim, el-Cerh ve’t-Ta‘dîl (Beyrut: Dâru İhyâi’t-Turâsi’l-Arabî, 1952), 2: 16; Ebu Muhammed Abdullah b. Abdirrahman Dârîmî, Sünen, thk. ‘Imadu’t-Tayyâr ve ‘Izzuddîn Dali (Beyrut: Müessesetü’r-Risâle Nâşirûn, 2017), “İlim”, 22.","noteIndex":4},"citationItems":[{"id":271,"uris":["http://zotero.org/users/6213152/items/VVMYYNM3"],"uri":["http://zotero.org/users/6213152/items/VVMYYNM3"],"itemData":{"id":271,"type":"book","event-place":"Beyrut","publisher":"Dâru İhyâi't-Turâsi'l-Arabî","publisher-place":"Beyrut","title":"el-Cerh ve't-Ta‘dîl","author":[{"family":"İbn Ebî Hâtim","given":"Ebu Muhammed Abdurrahman b. Muhammed"}],"issued":{"date-parts":[["1952"]]}},"locator":"2: 16","prefix":"“Âlimler, bir kişiden hadis alacağı zaman onun namazına ve genel durumuna bakarlardı.”"},{"id":273,"uris":["http://zotero.org/users/6213152/items/XRBAP758"],"uri":["http://zotero.org/users/6213152/items/XRBAP758"],"itemData":{"id":273,"type":"book","event-place":"Beyrut","publisher":"Müessesetü'r-Risâle Nâşirûn","publisher-place":"Beyrut","title":"Sünen","author":[{"family":"Dârîmî","given":"Ebu Muhammed Abdullah b. Abdirrahman"}],"collection-editor":[{"family":"‘Imadu’t-Tayyâr","given":""},{"family":"Dali","given":"‘Izzuddîn"}],"issued":{"date-parts":[["2017"]]}},"locator":"\"İlim\", 22"}],"schema":"https://github.com/citation-style-language/schema/raw/master/csl-citation.json"} </w:instrText>
      </w:r>
      <w:r w:rsidRPr="00A363C6">
        <w:rPr>
          <w:rFonts w:cs="Gentium Plus"/>
        </w:rPr>
        <w:fldChar w:fldCharType="separate"/>
      </w:r>
      <w:r w:rsidRPr="00E06088">
        <w:rPr>
          <w:rFonts w:cs="Gentium Plus"/>
          <w:szCs w:val="24"/>
          <w:lang w:val="de-DE"/>
        </w:rPr>
        <w:t xml:space="preserve">“Âlimler, bir kişiden hadis alacağı zaman onun namazına ve genel durumuna bakarlardı.” Ebu Muhammed Abdurrahman b. Muhammed İbn Ebî Hâtim, </w:t>
      </w:r>
      <w:r w:rsidRPr="00E06088">
        <w:rPr>
          <w:rFonts w:cs="Gentium Plus"/>
          <w:i/>
          <w:iCs/>
          <w:szCs w:val="24"/>
          <w:lang w:val="de-DE"/>
        </w:rPr>
        <w:t>el-Cerh ve’t-Ta‘dîl</w:t>
      </w:r>
      <w:r w:rsidRPr="00E06088">
        <w:rPr>
          <w:rFonts w:cs="Gentium Plus"/>
          <w:szCs w:val="24"/>
          <w:lang w:val="de-DE"/>
        </w:rPr>
        <w:t xml:space="preserve"> (Beyrut: Dâru İhyâi’t-Turâsi’l-Arabî, 1952), 2: 16; Ebu Muhammed Abdullah b. Abdirrahman Dârîmî, </w:t>
      </w:r>
      <w:r w:rsidRPr="00E06088">
        <w:rPr>
          <w:rFonts w:cs="Gentium Plus"/>
          <w:i/>
          <w:iCs/>
          <w:szCs w:val="24"/>
          <w:lang w:val="de-DE"/>
        </w:rPr>
        <w:t>Sünen</w:t>
      </w:r>
      <w:r w:rsidRPr="00E06088">
        <w:rPr>
          <w:rFonts w:cs="Gentium Plus"/>
          <w:szCs w:val="24"/>
          <w:lang w:val="de-DE"/>
        </w:rPr>
        <w:t xml:space="preserve">, thk. </w:t>
      </w:r>
      <w:r w:rsidRPr="00A363C6">
        <w:rPr>
          <w:rFonts w:cs="Gentium Plus"/>
          <w:szCs w:val="24"/>
        </w:rPr>
        <w:t>‘Imadu’t-Tayyâr ve ‘Izzuddîn Dali (Beyrut: Müessesetü’r-Risâle Nâşirûn, 2017), “İlim”, 22.</w:t>
      </w:r>
      <w:r w:rsidRPr="00A363C6">
        <w:rPr>
          <w:rFonts w:cs="Gentium Plus"/>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755387"/>
      <w:docPartObj>
        <w:docPartGallery w:val="Page Numbers (Top of Page)"/>
        <w:docPartUnique/>
      </w:docPartObj>
    </w:sdtPr>
    <w:sdtContent>
      <w:p w14:paraId="7FD44D4A" w14:textId="1359929A" w:rsidR="008D5BDC" w:rsidRDefault="008D5BDC">
        <w:pPr>
          <w:pStyle w:val="stbilgi"/>
          <w:jc w:val="center"/>
        </w:pPr>
        <w:r>
          <w:fldChar w:fldCharType="begin"/>
        </w:r>
        <w:r>
          <w:instrText>PAGE   \* MERGEFORMAT</w:instrText>
        </w:r>
        <w:r>
          <w:fldChar w:fldCharType="separate"/>
        </w:r>
        <w:r>
          <w:rPr>
            <w:noProof/>
          </w:rPr>
          <w:t>5</w:t>
        </w:r>
        <w:r>
          <w:fldChar w:fldCharType="end"/>
        </w:r>
      </w:p>
    </w:sdtContent>
  </w:sdt>
  <w:p w14:paraId="5CA52987" w14:textId="77777777" w:rsidR="008D5BDC" w:rsidRDefault="008D5B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15"/>
    <w:rsid w:val="000B6CB7"/>
    <w:rsid w:val="002F1A4F"/>
    <w:rsid w:val="00351CC1"/>
    <w:rsid w:val="00395515"/>
    <w:rsid w:val="005E3AB2"/>
    <w:rsid w:val="006B72F7"/>
    <w:rsid w:val="00871F9E"/>
    <w:rsid w:val="008D5BDC"/>
    <w:rsid w:val="009D23E2"/>
    <w:rsid w:val="00A8314E"/>
    <w:rsid w:val="00AC2573"/>
    <w:rsid w:val="00AC6D34"/>
    <w:rsid w:val="00B64651"/>
    <w:rsid w:val="00BC7C0E"/>
    <w:rsid w:val="00C859B8"/>
    <w:rsid w:val="00C909DB"/>
    <w:rsid w:val="00C97D5E"/>
    <w:rsid w:val="00CB0A54"/>
    <w:rsid w:val="00D056C0"/>
    <w:rsid w:val="00D07626"/>
    <w:rsid w:val="00D10D18"/>
    <w:rsid w:val="00D5015B"/>
    <w:rsid w:val="00D77739"/>
    <w:rsid w:val="00E06088"/>
    <w:rsid w:val="00EB0661"/>
    <w:rsid w:val="00F510C1"/>
    <w:rsid w:val="00F60E3C"/>
    <w:rsid w:val="00FB789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6518C"/>
  <w15:chartTrackingRefBased/>
  <w15:docId w15:val="{9634E5C5-D230-4975-838A-8D1FAFAF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60E3C"/>
    <w:pPr>
      <w:tabs>
        <w:tab w:val="left" w:pos="426"/>
      </w:tabs>
      <w:spacing w:before="240" w:after="0" w:line="240" w:lineRule="auto"/>
      <w:ind w:firstLine="567"/>
      <w:outlineLvl w:val="0"/>
    </w:pPr>
    <w:rPr>
      <w:rFonts w:ascii="Gentium Plus" w:eastAsia="Times New Roman" w:hAnsi="Gentium Plus" w:cs="Times New Roman"/>
      <w:b/>
      <w:bCs/>
      <w:szCs w:val="20"/>
    </w:rPr>
  </w:style>
  <w:style w:type="paragraph" w:styleId="Balk2">
    <w:name w:val="heading 2"/>
    <w:basedOn w:val="Normal"/>
    <w:next w:val="Normal"/>
    <w:link w:val="Balk2Char"/>
    <w:uiPriority w:val="9"/>
    <w:semiHidden/>
    <w:unhideWhenUsed/>
    <w:qFormat/>
    <w:rsid w:val="00F60E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0E3C"/>
    <w:rPr>
      <w:rFonts w:ascii="Gentium Plus" w:eastAsia="Times New Roman" w:hAnsi="Gentium Plus" w:cs="Times New Roman"/>
      <w:b/>
      <w:bCs/>
      <w:szCs w:val="20"/>
    </w:rPr>
  </w:style>
  <w:style w:type="character" w:styleId="DipnotBavurusu">
    <w:name w:val="footnote reference"/>
    <w:basedOn w:val="VarsaylanParagrafYazTipi"/>
    <w:uiPriority w:val="99"/>
    <w:rsid w:val="00F60E3C"/>
    <w:rPr>
      <w:vertAlign w:val="superscript"/>
    </w:rPr>
  </w:style>
  <w:style w:type="paragraph" w:customStyle="1" w:styleId="Paragraf">
    <w:name w:val="Paragraf"/>
    <w:basedOn w:val="Normal"/>
    <w:link w:val="ParagrafChar"/>
    <w:qFormat/>
    <w:rsid w:val="00F60E3C"/>
    <w:pPr>
      <w:spacing w:before="60" w:after="60" w:line="276" w:lineRule="auto"/>
      <w:ind w:firstLine="567"/>
      <w:jc w:val="both"/>
    </w:pPr>
    <w:rPr>
      <w:rFonts w:ascii="Gentium Plus" w:eastAsia="Times New Roman" w:hAnsi="Gentium Plus" w:cs="Times New Roman"/>
      <w:szCs w:val="20"/>
    </w:rPr>
  </w:style>
  <w:style w:type="character" w:customStyle="1" w:styleId="ParagrafChar">
    <w:name w:val="Paragraf Char"/>
    <w:basedOn w:val="VarsaylanParagrafYazTipi"/>
    <w:link w:val="Paragraf"/>
    <w:rsid w:val="00F60E3C"/>
    <w:rPr>
      <w:rFonts w:ascii="Gentium Plus" w:eastAsia="Times New Roman" w:hAnsi="Gentium Plus" w:cs="Times New Roman"/>
      <w:szCs w:val="20"/>
    </w:rPr>
  </w:style>
  <w:style w:type="paragraph" w:customStyle="1" w:styleId="Dipnot">
    <w:name w:val="Dipnot"/>
    <w:basedOn w:val="DipnotMetni"/>
    <w:link w:val="DipnotChar"/>
    <w:qFormat/>
    <w:rsid w:val="00F60E3C"/>
    <w:pPr>
      <w:tabs>
        <w:tab w:val="left" w:pos="227"/>
      </w:tabs>
      <w:spacing w:after="40"/>
      <w:ind w:left="227" w:hanging="227"/>
      <w:jc w:val="both"/>
    </w:pPr>
    <w:rPr>
      <w:rFonts w:ascii="Gentium Plus" w:eastAsia="Times New Roman" w:hAnsi="Gentium Plus" w:cs="Traditional Arabic"/>
      <w:sz w:val="18"/>
      <w:szCs w:val="16"/>
      <w:lang w:val="en-US" w:eastAsia="ko-KR"/>
    </w:rPr>
  </w:style>
  <w:style w:type="character" w:customStyle="1" w:styleId="DipnotChar">
    <w:name w:val="Dipnot Char"/>
    <w:basedOn w:val="VarsaylanParagrafYazTipi"/>
    <w:link w:val="Dipnot"/>
    <w:rsid w:val="00F60E3C"/>
    <w:rPr>
      <w:rFonts w:ascii="Gentium Plus" w:eastAsia="Times New Roman" w:hAnsi="Gentium Plus" w:cs="Traditional Arabic"/>
      <w:sz w:val="18"/>
      <w:szCs w:val="16"/>
      <w:lang w:val="en-US" w:eastAsia="ko-KR"/>
    </w:rPr>
  </w:style>
  <w:style w:type="paragraph" w:styleId="DipnotMetni">
    <w:name w:val="footnote text"/>
    <w:basedOn w:val="Normal"/>
    <w:link w:val="DipnotMetniChar"/>
    <w:uiPriority w:val="99"/>
    <w:semiHidden/>
    <w:unhideWhenUsed/>
    <w:rsid w:val="00F60E3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60E3C"/>
    <w:rPr>
      <w:sz w:val="20"/>
      <w:szCs w:val="20"/>
    </w:rPr>
  </w:style>
  <w:style w:type="character" w:customStyle="1" w:styleId="Balk2Char">
    <w:name w:val="Başlık 2 Char"/>
    <w:basedOn w:val="VarsaylanParagrafYazTipi"/>
    <w:link w:val="Balk2"/>
    <w:uiPriority w:val="9"/>
    <w:semiHidden/>
    <w:rsid w:val="00F60E3C"/>
    <w:rPr>
      <w:rFonts w:asciiTheme="majorHAnsi" w:eastAsiaTheme="majorEastAsia" w:hAnsiTheme="majorHAnsi" w:cstheme="majorBidi"/>
      <w:color w:val="2E74B5" w:themeColor="accent1" w:themeShade="BF"/>
      <w:sz w:val="26"/>
      <w:szCs w:val="26"/>
    </w:rPr>
  </w:style>
  <w:style w:type="paragraph" w:customStyle="1" w:styleId="Kaynaka">
    <w:name w:val="Kaynakça"/>
    <w:basedOn w:val="Normal"/>
    <w:link w:val="KaynakaChar"/>
    <w:qFormat/>
    <w:rsid w:val="00F60E3C"/>
    <w:pPr>
      <w:spacing w:after="120" w:line="240" w:lineRule="auto"/>
      <w:ind w:left="567" w:hanging="567"/>
      <w:jc w:val="both"/>
    </w:pPr>
    <w:rPr>
      <w:rFonts w:ascii="Gentium Plus" w:eastAsia="Times New Roman" w:hAnsi="Gentium Plus" w:cs="Times New Roman"/>
      <w:sz w:val="20"/>
      <w:szCs w:val="20"/>
    </w:rPr>
  </w:style>
  <w:style w:type="character" w:customStyle="1" w:styleId="KaynakaChar">
    <w:name w:val="Kaynakça Char"/>
    <w:basedOn w:val="VarsaylanParagrafYazTipi"/>
    <w:link w:val="Kaynaka"/>
    <w:rsid w:val="00F60E3C"/>
    <w:rPr>
      <w:rFonts w:ascii="Gentium Plus" w:eastAsia="Times New Roman" w:hAnsi="Gentium Plus" w:cs="Times New Roman"/>
      <w:sz w:val="20"/>
      <w:szCs w:val="20"/>
    </w:rPr>
  </w:style>
  <w:style w:type="character" w:styleId="Kpr">
    <w:name w:val="Hyperlink"/>
    <w:basedOn w:val="VarsaylanParagrafYazTipi"/>
    <w:rsid w:val="00F60E3C"/>
    <w:rPr>
      <w:color w:val="0000FF"/>
      <w:u w:val="single"/>
    </w:rPr>
  </w:style>
  <w:style w:type="character" w:styleId="zlenenKpr">
    <w:name w:val="FollowedHyperlink"/>
    <w:basedOn w:val="VarsaylanParagrafYazTipi"/>
    <w:uiPriority w:val="99"/>
    <w:semiHidden/>
    <w:unhideWhenUsed/>
    <w:rsid w:val="000B6CB7"/>
    <w:rPr>
      <w:color w:val="954F72" w:themeColor="followedHyperlink"/>
      <w:u w:val="single"/>
    </w:rPr>
  </w:style>
  <w:style w:type="paragraph" w:styleId="stbilgi">
    <w:name w:val="header"/>
    <w:basedOn w:val="Normal"/>
    <w:link w:val="stbilgiChar"/>
    <w:uiPriority w:val="99"/>
    <w:unhideWhenUsed/>
    <w:rsid w:val="008D5BDC"/>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8D5BDC"/>
  </w:style>
  <w:style w:type="paragraph" w:styleId="Altbilgi">
    <w:name w:val="footer"/>
    <w:basedOn w:val="Normal"/>
    <w:link w:val="AltbilgiChar"/>
    <w:uiPriority w:val="99"/>
    <w:unhideWhenUsed/>
    <w:rsid w:val="008D5BDC"/>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8D5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242116">
      <w:bodyDiv w:val="1"/>
      <w:marLeft w:val="0"/>
      <w:marRight w:val="0"/>
      <w:marTop w:val="0"/>
      <w:marBottom w:val="0"/>
      <w:divBdr>
        <w:top w:val="none" w:sz="0" w:space="0" w:color="auto"/>
        <w:left w:val="none" w:sz="0" w:space="0" w:color="auto"/>
        <w:bottom w:val="none" w:sz="0" w:space="0" w:color="auto"/>
        <w:right w:val="none" w:sz="0" w:space="0" w:color="auto"/>
      </w:divBdr>
    </w:div>
    <w:div w:id="1113401598">
      <w:bodyDiv w:val="1"/>
      <w:marLeft w:val="0"/>
      <w:marRight w:val="0"/>
      <w:marTop w:val="0"/>
      <w:marBottom w:val="0"/>
      <w:divBdr>
        <w:top w:val="none" w:sz="0" w:space="0" w:color="auto"/>
        <w:left w:val="none" w:sz="0" w:space="0" w:color="auto"/>
        <w:bottom w:val="none" w:sz="0" w:space="0" w:color="auto"/>
        <w:right w:val="none" w:sz="0" w:space="0" w:color="auto"/>
      </w:divBdr>
    </w:div>
    <w:div w:id="163748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erenceworks.brillonline.com/browse/encyclopaedia-of-islam-3" TargetMode="External"/><Relationship Id="rId3" Type="http://schemas.openxmlformats.org/officeDocument/2006/relationships/webSettings" Target="webSettings.xml"/><Relationship Id="rId7" Type="http://schemas.openxmlformats.org/officeDocument/2006/relationships/hyperlink" Target="http://www.isnadsistemi.org/indirmel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nadsistemi.org/section/isnad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snadsistemi.org/guide/5-anahtar-kelimelerin-secim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1237</Words>
  <Characters>7057</Characters>
  <Application>Microsoft Office Word</Application>
  <DocSecurity>0</DocSecurity>
  <Lines>58</Lines>
  <Paragraphs>16</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veyselozdemir</dc:creator>
  <cp:keywords/>
  <dc:description/>
  <cp:lastModifiedBy>veyselozdemir</cp:lastModifiedBy>
  <cp:revision>14</cp:revision>
  <dcterms:created xsi:type="dcterms:W3CDTF">2020-01-15T07:58:00Z</dcterms:created>
  <dcterms:modified xsi:type="dcterms:W3CDTF">2020-01-16T13:01:00Z</dcterms:modified>
</cp:coreProperties>
</file>