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0" w:type="auto"/>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544"/>
        <w:gridCol w:w="3446"/>
        <w:gridCol w:w="2082"/>
      </w:tblGrid>
      <w:tr w:rsidR="003A431C" w:rsidRPr="003050D4" w14:paraId="49DBFFBA" w14:textId="77777777" w:rsidTr="00D32593">
        <w:trPr>
          <w:trHeight w:hRule="exact" w:val="1285"/>
        </w:trPr>
        <w:tc>
          <w:tcPr>
            <w:tcW w:w="3544" w:type="dxa"/>
            <w:tcBorders>
              <w:bottom w:val="single" w:sz="4" w:space="0" w:color="auto"/>
            </w:tcBorders>
            <w:vAlign w:val="center"/>
          </w:tcPr>
          <w:p w14:paraId="44DAF7C0" w14:textId="307588D4" w:rsidR="003A431C" w:rsidRPr="003050D4" w:rsidRDefault="003A431C" w:rsidP="00EF6F21">
            <w:pPr>
              <w:jc w:val="left"/>
              <w:rPr>
                <w:lang w:val="tr-TR"/>
              </w:rPr>
            </w:pPr>
            <w:r w:rsidRPr="003050D4">
              <w:rPr>
                <w:noProof/>
                <w:lang w:val="tr-TR"/>
              </w:rPr>
              <w:drawing>
                <wp:inline distT="0" distB="0" distL="0" distR="0" wp14:anchorId="280EF267" wp14:editId="69942313">
                  <wp:extent cx="1926000" cy="720000"/>
                  <wp:effectExtent l="0" t="0" r="0" b="444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26000" cy="720000"/>
                          </a:xfrm>
                          <a:prstGeom prst="rect">
                            <a:avLst/>
                          </a:prstGeom>
                        </pic:spPr>
                      </pic:pic>
                    </a:graphicData>
                  </a:graphic>
                </wp:inline>
              </w:drawing>
            </w:r>
          </w:p>
        </w:tc>
        <w:tc>
          <w:tcPr>
            <w:tcW w:w="5528" w:type="dxa"/>
            <w:gridSpan w:val="2"/>
            <w:tcBorders>
              <w:bottom w:val="single" w:sz="4" w:space="0" w:color="auto"/>
            </w:tcBorders>
            <w:vAlign w:val="center"/>
          </w:tcPr>
          <w:p w14:paraId="6323BC05" w14:textId="56640304" w:rsidR="008476DB" w:rsidRPr="003050D4" w:rsidRDefault="00CB565B" w:rsidP="00536CE2">
            <w:pPr>
              <w:pStyle w:val="GrayText"/>
              <w:jc w:val="right"/>
              <w:rPr>
                <w:lang w:val="tr-TR"/>
              </w:rPr>
            </w:pPr>
            <w:r w:rsidRPr="003050D4">
              <w:rPr>
                <w:lang w:val="tr-TR"/>
              </w:rPr>
              <w:t>202</w:t>
            </w:r>
            <w:r w:rsidR="00B12E87">
              <w:rPr>
                <w:lang w:val="tr-TR"/>
              </w:rPr>
              <w:t>4</w:t>
            </w:r>
            <w:r w:rsidRPr="003050D4">
              <w:rPr>
                <w:lang w:val="tr-TR"/>
              </w:rPr>
              <w:t>, VOL 1</w:t>
            </w:r>
            <w:r w:rsidR="00B12E87">
              <w:rPr>
                <w:lang w:val="tr-TR"/>
              </w:rPr>
              <w:t>4</w:t>
            </w:r>
            <w:r w:rsidRPr="003050D4">
              <w:rPr>
                <w:lang w:val="tr-TR"/>
              </w:rPr>
              <w:t>, NO 1, 1-</w:t>
            </w:r>
            <w:r w:rsidR="00337AF5" w:rsidRPr="003050D4">
              <w:rPr>
                <w:lang w:val="tr-TR"/>
              </w:rPr>
              <w:t>1</w:t>
            </w:r>
            <w:r w:rsidR="008979E1" w:rsidRPr="003050D4">
              <w:rPr>
                <w:lang w:val="tr-TR"/>
              </w:rPr>
              <w:t>6</w:t>
            </w:r>
          </w:p>
          <w:p w14:paraId="691A3D67" w14:textId="45AB7DE4" w:rsidR="008566F7" w:rsidRPr="003050D4" w:rsidRDefault="00A9428D" w:rsidP="00536CE2">
            <w:pPr>
              <w:pStyle w:val="GrayText"/>
              <w:jc w:val="right"/>
              <w:rPr>
                <w:lang w:val="tr-TR"/>
              </w:rPr>
            </w:pPr>
            <w:r w:rsidRPr="003050D4">
              <w:rPr>
                <w:lang w:val="tr-TR"/>
              </w:rPr>
              <w:t xml:space="preserve">DOI: </w:t>
            </w:r>
            <w:r w:rsidR="00B12E87" w:rsidRPr="00B12E87">
              <w:rPr>
                <w:lang w:val="tr-TR"/>
              </w:rPr>
              <w:t>10.48146/odusobiad.1279568</w:t>
            </w:r>
          </w:p>
          <w:p w14:paraId="1A21E0FC" w14:textId="7FEA5B54" w:rsidR="003D60F0" w:rsidRPr="003050D4" w:rsidRDefault="003D60F0" w:rsidP="003D60F0">
            <w:pPr>
              <w:pStyle w:val="GrayText"/>
              <w:jc w:val="right"/>
              <w:rPr>
                <w:lang w:val="tr-TR"/>
              </w:rPr>
            </w:pPr>
            <w:r w:rsidRPr="005F2EA6">
              <w:rPr>
                <w:lang w:val="tr-TR"/>
              </w:rPr>
              <w:t>Geliş Tarihi</w:t>
            </w:r>
            <w:r>
              <w:rPr>
                <w:lang w:val="tr-TR"/>
              </w:rPr>
              <w:t>/</w:t>
            </w:r>
            <w:r>
              <w:rPr>
                <w:rFonts w:ascii="Roboto Light" w:eastAsia="Roboto Light" w:hAnsi="Roboto Light" w:cs="Roboto Light"/>
                <w:i/>
                <w:szCs w:val="18"/>
              </w:rPr>
              <w:t xml:space="preserve">Received Date: </w:t>
            </w:r>
            <w:r>
              <w:rPr>
                <w:rFonts w:ascii="Roboto Light" w:eastAsia="Roboto Light" w:hAnsi="Roboto Light" w:cs="Roboto Light"/>
                <w:i/>
                <w:szCs w:val="18"/>
              </w:rPr>
              <w:t>xx</w:t>
            </w:r>
            <w:r w:rsidRPr="00B72702">
              <w:rPr>
                <w:rFonts w:ascii="Roboto Light" w:hAnsi="Roboto Light"/>
                <w:lang w:val="tr-TR"/>
              </w:rPr>
              <w:t>.</w:t>
            </w:r>
            <w:r>
              <w:rPr>
                <w:rFonts w:ascii="Roboto Light" w:hAnsi="Roboto Light"/>
                <w:lang w:val="tr-TR"/>
              </w:rPr>
              <w:t>xx</w:t>
            </w:r>
            <w:r w:rsidRPr="00B72702">
              <w:rPr>
                <w:rFonts w:ascii="Roboto Light" w:hAnsi="Roboto Light"/>
                <w:lang w:val="tr-TR"/>
              </w:rPr>
              <w:t>.</w:t>
            </w:r>
            <w:r>
              <w:rPr>
                <w:rFonts w:ascii="Roboto Light" w:hAnsi="Roboto Light"/>
                <w:lang w:val="tr-TR"/>
              </w:rPr>
              <w:t>xxxx</w:t>
            </w:r>
          </w:p>
          <w:p w14:paraId="272ECF86" w14:textId="4DB8A5A2" w:rsidR="00333A1D" w:rsidRPr="003050D4" w:rsidRDefault="003D60F0" w:rsidP="003D60F0">
            <w:pPr>
              <w:pStyle w:val="GrayText"/>
              <w:jc w:val="right"/>
              <w:rPr>
                <w:lang w:val="tr-TR"/>
              </w:rPr>
            </w:pPr>
            <w:r w:rsidRPr="00BD25F7">
              <w:rPr>
                <w:i/>
                <w:iCs/>
                <w:lang w:val="tr-TR"/>
              </w:rPr>
              <w:t>Kabul Tarihi/</w:t>
            </w:r>
            <w:r w:rsidRPr="00BD25F7">
              <w:rPr>
                <w:rFonts w:ascii="Roboto Light" w:hAnsi="Roboto Light"/>
                <w:i/>
                <w:iCs/>
                <w:lang w:val="tr-TR"/>
              </w:rPr>
              <w:t>Acceptence Date</w:t>
            </w:r>
            <w:r w:rsidRPr="003050D4">
              <w:rPr>
                <w:lang w:val="tr-TR"/>
              </w:rPr>
              <w:t>:</w:t>
            </w:r>
            <w:r>
              <w:rPr>
                <w:lang w:val="tr-TR"/>
              </w:rPr>
              <w:t xml:space="preserve"> </w:t>
            </w:r>
            <w:r w:rsidRPr="003D60F0">
              <w:rPr>
                <w:rFonts w:ascii="Roboto Light" w:hAnsi="Roboto Light"/>
                <w:lang w:val="tr-TR"/>
              </w:rPr>
              <w:t>xx</w:t>
            </w:r>
            <w:r w:rsidRPr="00B72702">
              <w:rPr>
                <w:rFonts w:ascii="Roboto Light" w:hAnsi="Roboto Light"/>
                <w:lang w:val="tr-TR"/>
              </w:rPr>
              <w:t>.</w:t>
            </w:r>
            <w:r>
              <w:rPr>
                <w:rFonts w:ascii="Roboto Light" w:hAnsi="Roboto Light"/>
                <w:lang w:val="tr-TR"/>
              </w:rPr>
              <w:t>xx</w:t>
            </w:r>
            <w:r w:rsidRPr="00B72702">
              <w:rPr>
                <w:rFonts w:ascii="Roboto Light" w:hAnsi="Roboto Light"/>
                <w:lang w:val="tr-TR"/>
              </w:rPr>
              <w:t>.</w:t>
            </w:r>
            <w:r>
              <w:rPr>
                <w:rFonts w:ascii="Roboto Light" w:hAnsi="Roboto Light"/>
                <w:lang w:val="tr-TR"/>
              </w:rPr>
              <w:t>xxxx</w:t>
            </w:r>
          </w:p>
        </w:tc>
      </w:tr>
      <w:tr w:rsidR="003A431C" w:rsidRPr="003050D4" w14:paraId="5B8C7112" w14:textId="77777777" w:rsidTr="00D32593">
        <w:tc>
          <w:tcPr>
            <w:tcW w:w="3544" w:type="dxa"/>
            <w:tcBorders>
              <w:top w:val="single" w:sz="4" w:space="0" w:color="auto"/>
              <w:left w:val="nil"/>
              <w:bottom w:val="nil"/>
              <w:right w:val="nil"/>
            </w:tcBorders>
            <w:vAlign w:val="center"/>
          </w:tcPr>
          <w:p w14:paraId="79F934F3" w14:textId="6F30B504" w:rsidR="003A431C" w:rsidRPr="003D60F0" w:rsidRDefault="00333A1D" w:rsidP="005D7DC8">
            <w:pPr>
              <w:pStyle w:val="GrayText"/>
              <w:rPr>
                <w:i/>
                <w:iCs/>
              </w:rPr>
            </w:pPr>
            <w:r w:rsidRPr="003D60F0">
              <w:rPr>
                <w:i/>
                <w:iCs/>
              </w:rPr>
              <w:t>Araştırma Makalesi</w:t>
            </w:r>
            <w:r w:rsidR="003D60F0" w:rsidRPr="003D60F0">
              <w:rPr>
                <w:i/>
                <w:iCs/>
              </w:rPr>
              <w:t>/</w:t>
            </w:r>
            <w:r w:rsidR="003D60F0" w:rsidRPr="003D60F0">
              <w:rPr>
                <w:rFonts w:ascii="Roboto Light" w:hAnsi="Roboto Light"/>
                <w:i/>
                <w:iCs/>
              </w:rPr>
              <w:t>Research Article</w:t>
            </w:r>
          </w:p>
        </w:tc>
        <w:tc>
          <w:tcPr>
            <w:tcW w:w="3446" w:type="dxa"/>
            <w:tcBorders>
              <w:top w:val="single" w:sz="4" w:space="0" w:color="auto"/>
              <w:left w:val="nil"/>
              <w:bottom w:val="nil"/>
              <w:right w:val="nil"/>
            </w:tcBorders>
            <w:vAlign w:val="center"/>
          </w:tcPr>
          <w:p w14:paraId="3F958267" w14:textId="7693B758" w:rsidR="003A431C" w:rsidRPr="003D60F0" w:rsidRDefault="003A431C" w:rsidP="005D7DC8">
            <w:pPr>
              <w:pStyle w:val="GrayText"/>
              <w:rPr>
                <w:i/>
                <w:iCs/>
              </w:rPr>
            </w:pPr>
          </w:p>
        </w:tc>
        <w:tc>
          <w:tcPr>
            <w:tcW w:w="2082" w:type="dxa"/>
            <w:tcBorders>
              <w:top w:val="single" w:sz="4" w:space="0" w:color="auto"/>
              <w:left w:val="nil"/>
              <w:bottom w:val="nil"/>
            </w:tcBorders>
            <w:vAlign w:val="center"/>
          </w:tcPr>
          <w:p w14:paraId="68713F0B" w14:textId="2CDE716A" w:rsidR="003A431C" w:rsidRPr="003D60F0" w:rsidRDefault="00333A1D" w:rsidP="00B12E87">
            <w:pPr>
              <w:pStyle w:val="GrayText"/>
              <w:jc w:val="right"/>
              <w:rPr>
                <w:i/>
                <w:iCs/>
              </w:rPr>
            </w:pPr>
            <w:r w:rsidRPr="003D60F0">
              <w:rPr>
                <w:i/>
                <w:iCs/>
              </w:rPr>
              <w:t>Açık Erişim</w:t>
            </w:r>
            <w:r w:rsidR="003D60F0" w:rsidRPr="003D60F0">
              <w:rPr>
                <w:i/>
                <w:iCs/>
              </w:rPr>
              <w:t>/</w:t>
            </w:r>
            <w:r w:rsidR="003D60F0" w:rsidRPr="003D60F0">
              <w:rPr>
                <w:rFonts w:ascii="Roboto Light" w:hAnsi="Roboto Light"/>
                <w:i/>
                <w:iCs/>
              </w:rPr>
              <w:t>Open Access</w:t>
            </w:r>
          </w:p>
        </w:tc>
      </w:tr>
    </w:tbl>
    <w:p w14:paraId="7EDCBDD2" w14:textId="118C7D1A" w:rsidR="00C062E8" w:rsidRPr="003050D4" w:rsidRDefault="003B4229" w:rsidP="00B97224">
      <w:pPr>
        <w:pStyle w:val="KonuBal"/>
        <w:rPr>
          <w:lang w:val="tr-TR"/>
        </w:rPr>
      </w:pPr>
      <w:r w:rsidRPr="003050D4">
        <w:rPr>
          <w:lang w:val="tr-TR"/>
        </w:rPr>
        <w:t>Makale başlığında sadece başlığın ilk harfi büyük olmalı</w:t>
      </w:r>
      <w:r w:rsidR="00AC129C">
        <w:rPr>
          <w:lang w:val="tr-TR"/>
        </w:rPr>
        <w:t>, başlıkta özel isim var ise onun da ilk harfi büyük olmalı</w:t>
      </w:r>
      <w:r w:rsidR="0094191E">
        <w:rPr>
          <w:lang w:val="tr-TR"/>
        </w:rPr>
        <w:t xml:space="preserve"> (Stil menüsünden “Konu Başlığı” stilini seçiniz)</w:t>
      </w:r>
      <w:r w:rsidR="00B12E87">
        <w:rPr>
          <w:rStyle w:val="DipnotBavurusu"/>
          <w:lang w:val="tr-TR"/>
        </w:rPr>
        <w:footnoteReference w:id="1"/>
      </w:r>
    </w:p>
    <w:p w14:paraId="146AC38D" w14:textId="1865EDED" w:rsidR="00BE5A6D" w:rsidRPr="0094191E" w:rsidRDefault="007B1F39" w:rsidP="008453F7">
      <w:pPr>
        <w:pStyle w:val="Authors"/>
        <w:rPr>
          <w:lang w:val="tr-TR"/>
        </w:rPr>
      </w:pPr>
      <w:r w:rsidRPr="003050D4">
        <w:rPr>
          <w:lang w:val="tr-TR"/>
        </w:rPr>
        <w:t>Birinci Yazar</w:t>
      </w:r>
      <w:r w:rsidR="006C2CEF" w:rsidRPr="003050D4">
        <w:rPr>
          <w:lang w:val="tr-TR"/>
        </w:rPr>
        <w:t xml:space="preserve"> </w:t>
      </w:r>
      <w:r w:rsidR="006C2CEF" w:rsidRPr="003050D4">
        <w:rPr>
          <w:lang w:val="tr-TR"/>
        </w:rPr>
        <w:fldChar w:fldCharType="begin"/>
      </w:r>
      <w:r w:rsidR="006C2CEF" w:rsidRPr="003050D4">
        <w:rPr>
          <w:lang w:val="tr-TR"/>
        </w:rPr>
        <w:instrText xml:space="preserve"> INCLUDEPICTURE "https://upload.wikimedia.org/wikipedia/commons/thumb/0/06/ORCID_iD.svg/768px-ORCID_iD.svg.png" \* MERGEFORMATINET </w:instrText>
      </w:r>
      <w:r w:rsidR="006C2CEF" w:rsidRPr="003050D4">
        <w:rPr>
          <w:lang w:val="tr-TR"/>
        </w:rPr>
        <w:fldChar w:fldCharType="separate"/>
      </w:r>
      <w:r w:rsidR="006C2CEF" w:rsidRPr="003050D4">
        <w:rPr>
          <w:noProof/>
          <w:lang w:val="tr-TR"/>
        </w:rPr>
        <w:drawing>
          <wp:inline distT="0" distB="0" distL="0" distR="0" wp14:anchorId="29AD6D02" wp14:editId="4D137F5E">
            <wp:extent cx="169589" cy="169589"/>
            <wp:effectExtent l="0" t="0" r="1905" b="1905"/>
            <wp:docPr id="3" name="Resim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3">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9589" cy="169589"/>
                    </a:xfrm>
                    <a:prstGeom prst="rect">
                      <a:avLst/>
                    </a:prstGeom>
                    <a:noFill/>
                    <a:ln>
                      <a:noFill/>
                    </a:ln>
                  </pic:spPr>
                </pic:pic>
              </a:graphicData>
            </a:graphic>
          </wp:inline>
        </w:drawing>
      </w:r>
      <w:r w:rsidR="006C2CEF" w:rsidRPr="003050D4">
        <w:rPr>
          <w:lang w:val="tr-TR"/>
        </w:rPr>
        <w:fldChar w:fldCharType="end"/>
      </w:r>
      <w:r w:rsidR="00B12E87">
        <w:rPr>
          <w:vertAlign w:val="superscript"/>
          <w:lang w:val="tr-TR"/>
        </w:rPr>
        <w:t>2</w:t>
      </w:r>
      <w:r w:rsidR="00E027F5" w:rsidRPr="003050D4">
        <w:rPr>
          <w:lang w:val="tr-TR"/>
        </w:rPr>
        <w:t xml:space="preserve">, </w:t>
      </w:r>
      <w:r w:rsidRPr="003050D4">
        <w:rPr>
          <w:lang w:val="tr-TR"/>
        </w:rPr>
        <w:t>İkinci Yazar</w:t>
      </w:r>
      <w:r w:rsidR="004C5857" w:rsidRPr="003050D4">
        <w:rPr>
          <w:lang w:val="tr-TR"/>
        </w:rPr>
        <w:t xml:space="preserve"> </w:t>
      </w:r>
      <w:r w:rsidR="004C5857" w:rsidRPr="003050D4">
        <w:rPr>
          <w:lang w:val="tr-TR"/>
        </w:rPr>
        <w:fldChar w:fldCharType="begin"/>
      </w:r>
      <w:r w:rsidR="004C5857" w:rsidRPr="003050D4">
        <w:rPr>
          <w:lang w:val="tr-TR"/>
        </w:rPr>
        <w:instrText xml:space="preserve"> INCLUDEPICTURE "https://upload.wikimedia.org/wikipedia/commons/thumb/0/06/ORCID_iD.svg/768px-ORCID_iD.svg.png" \* MERGEFORMATINET </w:instrText>
      </w:r>
      <w:r w:rsidR="004C5857" w:rsidRPr="003050D4">
        <w:rPr>
          <w:lang w:val="tr-TR"/>
        </w:rPr>
        <w:fldChar w:fldCharType="separate"/>
      </w:r>
      <w:r w:rsidR="004C5857" w:rsidRPr="003050D4">
        <w:rPr>
          <w:noProof/>
          <w:lang w:val="tr-TR"/>
        </w:rPr>
        <w:drawing>
          <wp:inline distT="0" distB="0" distL="0" distR="0" wp14:anchorId="786CB43B" wp14:editId="6FE55C51">
            <wp:extent cx="169589" cy="169589"/>
            <wp:effectExtent l="0" t="0" r="1905" b="1905"/>
            <wp:docPr id="4" name="Resim 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9589" cy="169589"/>
                    </a:xfrm>
                    <a:prstGeom prst="rect">
                      <a:avLst/>
                    </a:prstGeom>
                    <a:noFill/>
                    <a:ln>
                      <a:noFill/>
                    </a:ln>
                  </pic:spPr>
                </pic:pic>
              </a:graphicData>
            </a:graphic>
          </wp:inline>
        </w:drawing>
      </w:r>
      <w:r w:rsidR="004C5857" w:rsidRPr="003050D4">
        <w:rPr>
          <w:lang w:val="tr-TR"/>
        </w:rPr>
        <w:fldChar w:fldCharType="end"/>
      </w:r>
      <w:r w:rsidR="00B12E87">
        <w:rPr>
          <w:vertAlign w:val="superscript"/>
          <w:lang w:val="tr-TR"/>
        </w:rPr>
        <w:t>3</w:t>
      </w:r>
      <w:r w:rsidR="0094191E">
        <w:rPr>
          <w:lang w:val="tr-TR"/>
        </w:rPr>
        <w:t xml:space="preserve"> (Yazar isimleri için stil menüsünden “Author(s)” stini seçiniz.</w:t>
      </w:r>
    </w:p>
    <w:p w14:paraId="2692BA2C" w14:textId="64E31644" w:rsidR="00535FEB" w:rsidRPr="003050D4" w:rsidRDefault="00B12E87" w:rsidP="007244FE">
      <w:pPr>
        <w:pStyle w:val="GrayText"/>
        <w:rPr>
          <w:lang w:val="tr-TR"/>
        </w:rPr>
      </w:pPr>
      <w:r>
        <w:rPr>
          <w:vertAlign w:val="superscript"/>
          <w:lang w:val="tr-TR"/>
        </w:rPr>
        <w:t>2</w:t>
      </w:r>
      <w:r w:rsidR="00535FEB" w:rsidRPr="003050D4">
        <w:rPr>
          <w:lang w:val="tr-TR"/>
        </w:rPr>
        <w:t xml:space="preserve"> </w:t>
      </w:r>
      <w:r w:rsidR="007B1F39" w:rsidRPr="003050D4">
        <w:rPr>
          <w:lang w:val="tr-TR"/>
        </w:rPr>
        <w:t>Kurum Bilgisi</w:t>
      </w:r>
      <w:r w:rsidR="00CE71DC" w:rsidRPr="003050D4">
        <w:rPr>
          <w:lang w:val="tr-TR"/>
        </w:rPr>
        <w:t xml:space="preserve"> University, Bukidnon, </w:t>
      </w:r>
      <w:r w:rsidR="008A320F" w:rsidRPr="003050D4">
        <w:rPr>
          <w:lang w:val="tr-TR"/>
        </w:rPr>
        <w:t>Turkiye</w:t>
      </w:r>
      <w:r w:rsidR="00535FEB" w:rsidRPr="003050D4">
        <w:rPr>
          <w:lang w:val="tr-TR"/>
        </w:rPr>
        <w:t xml:space="preserve">; </w:t>
      </w:r>
      <w:r w:rsidR="00535FEB" w:rsidRPr="003050D4">
        <w:rPr>
          <w:vertAlign w:val="superscript"/>
          <w:lang w:val="tr-TR"/>
        </w:rPr>
        <w:t>2</w:t>
      </w:r>
      <w:r w:rsidR="00535FEB" w:rsidRPr="003050D4">
        <w:rPr>
          <w:lang w:val="tr-TR"/>
        </w:rPr>
        <w:t xml:space="preserve"> </w:t>
      </w:r>
      <w:r w:rsidR="00DA430E" w:rsidRPr="003050D4">
        <w:rPr>
          <w:lang w:val="tr-TR"/>
        </w:rPr>
        <w:t xml:space="preserve">Department of Languages and Literature, Central Mindanao University, </w:t>
      </w:r>
      <w:r w:rsidR="008A320F" w:rsidRPr="003050D4">
        <w:rPr>
          <w:lang w:val="tr-TR"/>
        </w:rPr>
        <w:t>Turkiye</w:t>
      </w:r>
      <w:r w:rsidR="0094191E">
        <w:rPr>
          <w:lang w:val="tr-TR"/>
        </w:rPr>
        <w:t xml:space="preserve"> (Kurum bilgileri için stil menüsünden “Gray Text” stilini seçiniz.)</w:t>
      </w:r>
    </w:p>
    <w:p w14:paraId="66E5D4DA" w14:textId="77777777" w:rsidR="003050D4" w:rsidRPr="003050D4" w:rsidRDefault="003050D4" w:rsidP="003050D4">
      <w:pPr>
        <w:pStyle w:val="GrayText"/>
        <w:rPr>
          <w:lang w:val="tr-TR"/>
        </w:rPr>
      </w:pPr>
    </w:p>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9072"/>
      </w:tblGrid>
      <w:tr w:rsidR="00104F5E" w:rsidRPr="003050D4" w14:paraId="287A8A33" w14:textId="77777777" w:rsidTr="00EE2CB9">
        <w:tc>
          <w:tcPr>
            <w:tcW w:w="5000" w:type="pct"/>
            <w:shd w:val="clear" w:color="auto" w:fill="EAE5DA"/>
            <w:tcMar>
              <w:top w:w="28" w:type="dxa"/>
              <w:left w:w="142" w:type="dxa"/>
              <w:bottom w:w="28" w:type="dxa"/>
              <w:right w:w="142" w:type="dxa"/>
            </w:tcMar>
          </w:tcPr>
          <w:p w14:paraId="7FB54A07" w14:textId="161D84C1" w:rsidR="00104F5E" w:rsidRPr="003050D4" w:rsidRDefault="00104F5E" w:rsidP="00EE2CB9">
            <w:pPr>
              <w:pStyle w:val="HeadTitles"/>
            </w:pPr>
            <w:r>
              <w:t>ÖZET</w:t>
            </w:r>
            <w:r w:rsidR="0094191E">
              <w:t xml:space="preserve"> (Stil menüsünden “Head Titles” stilini seçiniz.)</w:t>
            </w:r>
          </w:p>
          <w:p w14:paraId="68E5E647" w14:textId="5767BEAC" w:rsidR="00104F5E" w:rsidRPr="00B12E87" w:rsidRDefault="00D22E10" w:rsidP="00EE2CB9">
            <w:pPr>
              <w:pStyle w:val="Abstract"/>
            </w:pPr>
            <w:r w:rsidRPr="00D22E10">
              <w:t xml:space="preserve">Özet metni </w:t>
            </w:r>
            <w:r w:rsidR="00FF7079">
              <w:t xml:space="preserve">için stiller menüsünden </w:t>
            </w:r>
            <w:r w:rsidR="00FF7079" w:rsidRPr="00FF7079">
              <w:rPr>
                <w:b/>
                <w:bCs/>
              </w:rPr>
              <w:t>Abstract</w:t>
            </w:r>
            <w:r w:rsidR="00FF7079">
              <w:t xml:space="preserve"> stilini seçiniz</w:t>
            </w:r>
            <w:r w:rsidRPr="00D22E10">
              <w:t>, en az 150 en fazla 300 kelimeden oluşan Türkçe “Öz</w:t>
            </w:r>
            <w:r>
              <w:t>et</w:t>
            </w:r>
            <w:r w:rsidRPr="00D22E10">
              <w:t>”’</w:t>
            </w:r>
            <w:r>
              <w:t>i</w:t>
            </w:r>
            <w:r w:rsidRPr="00D22E10">
              <w:t xml:space="preserve">n çevirisi eklenmelidir. Yabancı dildeki yazılarda Türkçe öz olmalıdır. Türkçe ve İngilizce dillerinin dışındaki yazılarda yazı dilindeki özet, Türkçe özet ve İngilizce özete yer verilmelidir. </w:t>
            </w:r>
            <w:r w:rsidRPr="00D22E10">
              <w:rPr>
                <w:b/>
                <w:bCs/>
              </w:rPr>
              <w:t>(Biçimlendirmeyi bozmadan buraya ekleyebilirsiniz.)</w:t>
            </w:r>
            <w:r>
              <w:rPr>
                <w:b/>
                <w:bCs/>
              </w:rPr>
              <w:t xml:space="preserve"> </w:t>
            </w:r>
            <w:r w:rsidRPr="00D22E10">
              <w:t>Özet metni Roboto Light, 9 punto, 1 satır aralığı olmalı, en az 150 en fazla 300 kelimeden oluşan Türkçe “Özet”’in çevirisi eklenmelidir. Yabancı dildeki yazılarda Türkçe öz olmalıdır. Türkçe ve İngilizce dillerinin dışındaki yazılarda yazı dilindeki özet, Türkçe özet ve İngilizce özete yer verilmelidir. (Biçimlendirmeyi bozmadan buraya ekleyebilirsiniz.)</w:t>
            </w:r>
            <w:r>
              <w:t xml:space="preserve"> </w:t>
            </w:r>
            <w:r w:rsidRPr="00D22E10">
              <w:t>Özet metni Roboto Light, 9 punto, 1 satır aralığı olmalı, en az 150 en fazla 300 kelimeden oluşan Türkçe “Özet”’in çevirisi eklenmelidir. Yabancı dildeki yazılarda Türkçe öz olmalıdır. Türkçe ve İngilizce dillerinin dışındaki yazılarda yazı dilindeki özet, Türkçe özet ve İngilizce özete yer verilmelidir. (Biçimlendirmeyi bozmadan buraya ekleyebilirsiniz.)</w:t>
            </w:r>
            <w:r>
              <w:t xml:space="preserve"> </w:t>
            </w:r>
            <w:r w:rsidRPr="00D22E10">
              <w:t>Özet metni Roboto Light, 9 punto, 1 satır aralığı olmalı, en az 150 en fazla 300 kelimeden oluşan Türkçe “Özet”’in çevirisi eklenmelidir. Yabancı dildeki yazılarda Türkçe öz olmalıdır. Türkçe ve İngilizce dillerinin dışındaki yazılarda yazı dilindeki özet, Türkçe özet ve İngilizce özete yer verilmelidir. (Biçimlendirmeyi bozmadan buraya ekleyebilirsiniz.)</w:t>
            </w:r>
          </w:p>
          <w:p w14:paraId="56C015D2" w14:textId="616E4506" w:rsidR="00104F5E" w:rsidRPr="003050D4" w:rsidRDefault="00104F5E" w:rsidP="00EE2CB9">
            <w:pPr>
              <w:pStyle w:val="HeadTitles"/>
            </w:pPr>
            <w:r w:rsidRPr="0094191E">
              <w:t>ANAHTAR KELİMELER</w:t>
            </w:r>
            <w:r w:rsidR="0094191E">
              <w:t xml:space="preserve"> (Head Titles)</w:t>
            </w:r>
          </w:p>
          <w:p w14:paraId="221205F0" w14:textId="1D334EF6" w:rsidR="00104F5E" w:rsidRPr="003050D4" w:rsidRDefault="00E17442" w:rsidP="00EE2CB9">
            <w:pPr>
              <w:pStyle w:val="Abstract"/>
            </w:pPr>
            <w:r>
              <w:t>Anahtar kelimeler en fazla beş tane</w:t>
            </w:r>
          </w:p>
        </w:tc>
      </w:tr>
    </w:tbl>
    <w:p w14:paraId="77EF5941" w14:textId="4D1F2963" w:rsidR="00104F5E" w:rsidRPr="003050D4" w:rsidRDefault="003D60F0" w:rsidP="003D60F0">
      <w:pPr>
        <w:pStyle w:val="KONUBALII"/>
      </w:pPr>
      <w:r w:rsidRPr="003050D4">
        <w:t>Makale başlığında sadece başlığın ilk harfi büyük olmalı</w:t>
      </w:r>
      <w:r>
        <w:t>, başlıkta özel isim var ise onun da ilk harfi büyük olmalı (Stil menüsünden “Konu Başlığı</w:t>
      </w:r>
      <w:r>
        <w:t xml:space="preserve"> (EN)</w:t>
      </w:r>
      <w:r>
        <w:t>” stilini seçiniz)</w:t>
      </w:r>
    </w:p>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9072"/>
      </w:tblGrid>
      <w:tr w:rsidR="007B1F39" w:rsidRPr="003050D4" w14:paraId="26648444" w14:textId="77777777" w:rsidTr="00725844">
        <w:tc>
          <w:tcPr>
            <w:tcW w:w="5000" w:type="pct"/>
            <w:shd w:val="clear" w:color="auto" w:fill="EAE5DA"/>
            <w:tcMar>
              <w:top w:w="28" w:type="dxa"/>
              <w:left w:w="142" w:type="dxa"/>
              <w:bottom w:w="28" w:type="dxa"/>
              <w:right w:w="142" w:type="dxa"/>
            </w:tcMar>
          </w:tcPr>
          <w:p w14:paraId="77FE13C1" w14:textId="318B502D" w:rsidR="007B1F39" w:rsidRPr="0094191E" w:rsidRDefault="007B1F39" w:rsidP="0094191E">
            <w:pPr>
              <w:pStyle w:val="HeadTitles"/>
            </w:pPr>
            <w:r w:rsidRPr="0094191E">
              <w:t>A</w:t>
            </w:r>
            <w:r w:rsidR="0094191E">
              <w:t>BSTRACT (Head Titles)</w:t>
            </w:r>
          </w:p>
          <w:p w14:paraId="127B0E90" w14:textId="43EEA72D" w:rsidR="007B1F39" w:rsidRPr="003050D4" w:rsidRDefault="00FF7079" w:rsidP="005D7DC8">
            <w:pPr>
              <w:pStyle w:val="Abstract"/>
            </w:pPr>
            <w:r w:rsidRPr="00FF7079">
              <w:t xml:space="preserve">For the </w:t>
            </w:r>
            <w:r>
              <w:t>abstract</w:t>
            </w:r>
            <w:r w:rsidRPr="00FF7079">
              <w:t xml:space="preserve"> text, select </w:t>
            </w:r>
            <w:r w:rsidRPr="00FF7079">
              <w:rPr>
                <w:b/>
                <w:bCs/>
              </w:rPr>
              <w:t xml:space="preserve">Abstract </w:t>
            </w:r>
            <w:r w:rsidRPr="00FF7079">
              <w:t>style from the styles menu.</w:t>
            </w:r>
            <w:r w:rsidR="00D22E10" w:rsidRPr="00D22E10">
              <w:t xml:space="preserve">, and a translation of the Turkish "Abstract" consisting of at least 150 and at most 300 words should be added. Articles in a foreign language must contain Turkish abstracts. In articles other than Turkish and English, a summary in the written language, a Turkish summary and an English summary should be included. </w:t>
            </w:r>
            <w:r w:rsidR="00D22E10" w:rsidRPr="00D22E10">
              <w:rPr>
                <w:b/>
                <w:bCs/>
              </w:rPr>
              <w:t>(You can add it here without disturbing the formatting.)</w:t>
            </w:r>
            <w:r w:rsidR="00D22E10">
              <w:rPr>
                <w:b/>
                <w:bCs/>
              </w:rPr>
              <w:t xml:space="preserve"> </w:t>
            </w:r>
            <w:r w:rsidR="00D22E10" w:rsidRPr="00D22E10">
              <w:t>The abstract text should be Roboto Light, 9 points, 1 line spacing, and a translation of the Turkish "Abstract" consisting of at least 150 and at most 300 words should be added. Articles in a foreign language must contain Turkish abstracts. In articles other than Turkish and English, a summary in the written language, a Turkish summary and an English summary should be included. (You can add it here without disturbing the formatting.)</w:t>
            </w:r>
            <w:r w:rsidR="00D22E10">
              <w:t xml:space="preserve"> </w:t>
            </w:r>
            <w:r w:rsidR="00D22E10" w:rsidRPr="00D22E10">
              <w:t xml:space="preserve">The abstract text should be Roboto Light, 9 points, 1 line spacing, and a translation of the Turkish "Abstract" </w:t>
            </w:r>
            <w:r w:rsidR="00D22E10" w:rsidRPr="00D22E10">
              <w:lastRenderedPageBreak/>
              <w:t>consisting of at least 150 and at most 300 words should be added. Articles in a foreign language must contain Turkish abstracts. In articles other than Turkish and English, a summary in the written language, a Turkish summary and an English summary should be included. (You can add it here without disturbing the formatting.)</w:t>
            </w:r>
          </w:p>
          <w:p w14:paraId="15EA52C7" w14:textId="488F9142" w:rsidR="00681477" w:rsidRPr="003050D4" w:rsidRDefault="00681477" w:rsidP="00681477">
            <w:pPr>
              <w:pStyle w:val="HeadTitles"/>
            </w:pPr>
            <w:r w:rsidRPr="003050D4">
              <w:t>KEYWORDS</w:t>
            </w:r>
            <w:r w:rsidR="0094191E">
              <w:t xml:space="preserve"> (Head Titles)</w:t>
            </w:r>
          </w:p>
          <w:p w14:paraId="6948BC16" w14:textId="49BFADFA" w:rsidR="00681477" w:rsidRPr="003050D4" w:rsidRDefault="00681477" w:rsidP="00681477">
            <w:pPr>
              <w:pStyle w:val="Abstract"/>
            </w:pPr>
            <w:r w:rsidRPr="003050D4">
              <w:t>Keyword keyword</w:t>
            </w:r>
            <w:r w:rsidR="004F3AB6">
              <w:t xml:space="preserve"> keyword keyword</w:t>
            </w:r>
          </w:p>
        </w:tc>
      </w:tr>
    </w:tbl>
    <w:p w14:paraId="3ED942ED" w14:textId="69CD07E4" w:rsidR="00BA6697" w:rsidRPr="003050D4" w:rsidRDefault="003050D4" w:rsidP="00BA6697">
      <w:pPr>
        <w:pStyle w:val="Balk1"/>
        <w:rPr>
          <w:lang w:val="tr-TR"/>
        </w:rPr>
      </w:pPr>
      <w:r>
        <w:rPr>
          <w:lang w:val="tr-TR"/>
        </w:rPr>
        <w:lastRenderedPageBreak/>
        <w:t>Giriş</w:t>
      </w:r>
      <w:r w:rsidR="00D22E10">
        <w:rPr>
          <w:lang w:val="tr-TR"/>
        </w:rPr>
        <w:t xml:space="preserve"> (</w:t>
      </w:r>
      <w:r w:rsidR="00FF7079">
        <w:rPr>
          <w:lang w:val="tr-TR"/>
        </w:rPr>
        <w:t>Stil menüsünden Başlık 1’i seçiniz</w:t>
      </w:r>
      <w:r w:rsidR="00D22E10">
        <w:rPr>
          <w:lang w:val="tr-TR"/>
        </w:rPr>
        <w:t>)</w:t>
      </w:r>
    </w:p>
    <w:p w14:paraId="08D55FDD" w14:textId="79BFE58E" w:rsidR="00D36604" w:rsidRDefault="0094191E" w:rsidP="00D36604">
      <w:pPr>
        <w:rPr>
          <w:b/>
          <w:bCs/>
          <w:lang w:val="tr-TR"/>
        </w:rPr>
      </w:pPr>
      <w:r>
        <w:rPr>
          <w:lang w:val="tr-TR"/>
        </w:rPr>
        <w:t xml:space="preserve">Metin </w:t>
      </w:r>
      <w:r w:rsidRPr="0094191E">
        <w:rPr>
          <w:lang w:val="tr-TR"/>
        </w:rPr>
        <w:t>için stiller menüsünden “Normal” stilini seçiniz.</w:t>
      </w:r>
      <w:r w:rsidR="00D22E10" w:rsidRPr="00D22E10">
        <w:rPr>
          <w:lang w:val="tr-TR"/>
        </w:rPr>
        <w:t xml:space="preserve"> </w:t>
      </w:r>
      <w:r>
        <w:rPr>
          <w:lang w:val="tr-TR"/>
        </w:rPr>
        <w:t>Ö</w:t>
      </w:r>
      <w:r w:rsidR="00D22E10" w:rsidRPr="00D22E10">
        <w:rPr>
          <w:lang w:val="tr-TR"/>
        </w:rPr>
        <w:t xml:space="preserve">zet de dahil olmak üzere APA stili ile hazırlanmış bir kâğıdın tüm bölümleri 1 aralıklı olmalıdır. Metin, alıntılar, tablo ve şekil numaraları, başlıklar, notlar ve referans listesi (girişler arası ve içi dahil). Paragraflardan önce veya sonra fazladan boşluk eklenmemelidir. Pragraflar girintisiz başlamalıdır.  Ana metin öz, abstract, görsel yazıları ile kaynakça hariç 4000-9000 kelime arasında olmalıdır. Metin içinde vurgulanması gereken kısımlar eğik harflerle (italik) yazılmalıdır.  Başlıklar numaralandırılmamalıdır. Yazı görseller dahil 30 sayfayı aşmamalıdır. </w:t>
      </w:r>
      <w:r w:rsidR="00D22E10" w:rsidRPr="00D22E10">
        <w:rPr>
          <w:b/>
          <w:bCs/>
          <w:lang w:val="tr-TR"/>
        </w:rPr>
        <w:t>(Biçimlendirmeyi bozmadan buraya ekleyebilirsiniz.)</w:t>
      </w:r>
    </w:p>
    <w:p w14:paraId="70ECB0EB" w14:textId="3308971E" w:rsidR="004F3AB6" w:rsidRPr="004F3AB6" w:rsidRDefault="004F3AB6" w:rsidP="004F3AB6">
      <w:pPr>
        <w:rPr>
          <w:color w:val="FF0000"/>
          <w:lang w:val="tr-TR"/>
        </w:rPr>
      </w:pPr>
      <w:r w:rsidRPr="004F3AB6">
        <w:rPr>
          <w:color w:val="FF0000"/>
          <w:lang w:val="tr-TR"/>
        </w:rPr>
        <w:t>Metin içif atıf şekli; Armağan (2020, s. 32), devam eden metin şeklinde, parantez içinde ise (Armağan, 2023, s. 32) şeklinde atıf verilmelidir.</w:t>
      </w:r>
    </w:p>
    <w:p w14:paraId="431DFB5B" w14:textId="7D19EF3A" w:rsidR="00D36604" w:rsidRPr="003050D4" w:rsidRDefault="003050D4" w:rsidP="00D36604">
      <w:pPr>
        <w:pStyle w:val="Balk1"/>
        <w:rPr>
          <w:lang w:val="tr-TR"/>
        </w:rPr>
      </w:pPr>
      <w:r>
        <w:rPr>
          <w:lang w:val="tr-TR"/>
        </w:rPr>
        <w:t>Yöntem</w:t>
      </w:r>
      <w:r w:rsidR="00D22E10">
        <w:rPr>
          <w:lang w:val="tr-TR"/>
        </w:rPr>
        <w:t xml:space="preserve"> (</w:t>
      </w:r>
      <w:r w:rsidR="00FF7079">
        <w:rPr>
          <w:lang w:val="tr-TR"/>
        </w:rPr>
        <w:t>Stil menüsünden Başlık 1’i seçiniz</w:t>
      </w:r>
      <w:r w:rsidR="00D22E10">
        <w:rPr>
          <w:lang w:val="tr-TR"/>
        </w:rPr>
        <w:t>)</w:t>
      </w:r>
    </w:p>
    <w:p w14:paraId="7040BC61" w14:textId="7D2409E9" w:rsidR="00D36604" w:rsidRDefault="005D7DC8" w:rsidP="00D36604">
      <w:pPr>
        <w:pStyle w:val="Balk2"/>
        <w:rPr>
          <w:lang w:val="tr-TR"/>
        </w:rPr>
      </w:pPr>
      <w:r>
        <w:rPr>
          <w:lang w:val="tr-TR"/>
        </w:rPr>
        <w:t>Araştırmanın deseni</w:t>
      </w:r>
      <w:r w:rsidR="00D22E10">
        <w:rPr>
          <w:lang w:val="tr-TR"/>
        </w:rPr>
        <w:t xml:space="preserve"> (</w:t>
      </w:r>
      <w:r w:rsidR="00FF7079" w:rsidRPr="00FF7079">
        <w:rPr>
          <w:lang w:val="tr-TR"/>
        </w:rPr>
        <w:t xml:space="preserve">Stil menüsünden Başlık </w:t>
      </w:r>
      <w:r w:rsidR="00FF7079">
        <w:rPr>
          <w:lang w:val="tr-TR"/>
        </w:rPr>
        <w:t>2</w:t>
      </w:r>
      <w:r w:rsidR="00FF7079" w:rsidRPr="00FF7079">
        <w:rPr>
          <w:lang w:val="tr-TR"/>
        </w:rPr>
        <w:t>’i seçiniz</w:t>
      </w:r>
      <w:r w:rsidR="00D22E10">
        <w:rPr>
          <w:lang w:val="tr-TR"/>
        </w:rPr>
        <w:t>)</w:t>
      </w:r>
    </w:p>
    <w:p w14:paraId="52C989F2" w14:textId="1DAAFD9B" w:rsidR="0094191E" w:rsidRPr="0094191E" w:rsidRDefault="0094191E" w:rsidP="0094191E">
      <w:pPr>
        <w:rPr>
          <w:lang w:val="tr-TR"/>
        </w:rPr>
      </w:pPr>
      <w:r w:rsidRPr="0094191E">
        <w:rPr>
          <w:lang w:val="tr-TR"/>
        </w:rPr>
        <w:t>Metin için stiller menüsünden “Normal” stilini seçiniz.</w:t>
      </w:r>
      <w:r>
        <w:rPr>
          <w:lang w:val="tr-TR"/>
        </w:rPr>
        <w:t xml:space="preserve"> </w:t>
      </w:r>
      <w:r w:rsidRPr="0094191E">
        <w:rPr>
          <w:lang w:val="tr-TR"/>
        </w:rPr>
        <w:t>Metin için stiller menüsünden “Normal” stilini seçiniz.</w:t>
      </w:r>
      <w:r>
        <w:rPr>
          <w:lang w:val="tr-TR"/>
        </w:rPr>
        <w:t xml:space="preserve"> </w:t>
      </w:r>
      <w:r w:rsidRPr="0094191E">
        <w:rPr>
          <w:lang w:val="tr-TR"/>
        </w:rPr>
        <w:t>Metin için stiller menüsünden “Normal” stilini seçiniz.</w:t>
      </w:r>
      <w:r>
        <w:rPr>
          <w:lang w:val="tr-TR"/>
        </w:rPr>
        <w:t xml:space="preserve"> </w:t>
      </w:r>
      <w:r w:rsidRPr="0094191E">
        <w:rPr>
          <w:lang w:val="tr-TR"/>
        </w:rPr>
        <w:t>Metin için stiller menüsünden “Normal” stilini seçiniz.</w:t>
      </w:r>
      <w:r>
        <w:rPr>
          <w:lang w:val="tr-TR"/>
        </w:rPr>
        <w:t xml:space="preserve"> </w:t>
      </w:r>
      <w:r w:rsidRPr="0094191E">
        <w:rPr>
          <w:lang w:val="tr-TR"/>
        </w:rPr>
        <w:t>Metin için stiller menüsünden “Normal” stilini seçiniz.</w:t>
      </w:r>
      <w:r>
        <w:rPr>
          <w:lang w:val="tr-TR"/>
        </w:rPr>
        <w:t xml:space="preserve"> </w:t>
      </w:r>
      <w:r w:rsidRPr="0094191E">
        <w:rPr>
          <w:lang w:val="tr-TR"/>
        </w:rPr>
        <w:t>Metin için stiller menüsünden “Normal” stilini seçiniz.</w:t>
      </w:r>
    </w:p>
    <w:p w14:paraId="1A961263" w14:textId="3E6DBC5F" w:rsidR="00576573" w:rsidRPr="00576573" w:rsidRDefault="00576573" w:rsidP="00AC129C">
      <w:pPr>
        <w:pStyle w:val="Balk3"/>
        <w:rPr>
          <w:lang w:val="tr-TR"/>
        </w:rPr>
      </w:pPr>
      <w:r w:rsidRPr="00576573">
        <w:rPr>
          <w:lang w:val="tr-TR"/>
        </w:rPr>
        <w:t>"TÜBİTAK ULAKBİM’in şartları doğrultusunda; dergiye gönderilecek yazılar için:</w:t>
      </w:r>
      <w:r w:rsidR="00FF7079">
        <w:rPr>
          <w:lang w:val="tr-TR"/>
        </w:rPr>
        <w:t xml:space="preserve"> (</w:t>
      </w:r>
      <w:r w:rsidR="00FF7079" w:rsidRPr="00FF7079">
        <w:rPr>
          <w:lang w:val="tr-TR"/>
        </w:rPr>
        <w:t xml:space="preserve">Stil menüsünden Başlık </w:t>
      </w:r>
      <w:r w:rsidR="00FF7079">
        <w:rPr>
          <w:lang w:val="tr-TR"/>
        </w:rPr>
        <w:t>3</w:t>
      </w:r>
      <w:r w:rsidR="00FF7079" w:rsidRPr="00FF7079">
        <w:rPr>
          <w:lang w:val="tr-TR"/>
        </w:rPr>
        <w:t>’</w:t>
      </w:r>
      <w:r w:rsidR="00FF7079">
        <w:rPr>
          <w:lang w:val="tr-TR"/>
        </w:rPr>
        <w:t>ü</w:t>
      </w:r>
      <w:r w:rsidR="00FF7079" w:rsidRPr="00FF7079">
        <w:rPr>
          <w:lang w:val="tr-TR"/>
        </w:rPr>
        <w:t xml:space="preserve"> seçiniz</w:t>
      </w:r>
      <w:r w:rsidR="00FF7079">
        <w:rPr>
          <w:lang w:val="tr-TR"/>
        </w:rPr>
        <w:t>)</w:t>
      </w:r>
    </w:p>
    <w:p w14:paraId="0A4C26B3" w14:textId="77777777" w:rsidR="00576573" w:rsidRPr="00576573" w:rsidRDefault="00576573" w:rsidP="00576573">
      <w:pPr>
        <w:rPr>
          <w:lang w:val="tr-TR"/>
        </w:rPr>
      </w:pPr>
      <w:r w:rsidRPr="00576573">
        <w:rPr>
          <w:lang w:val="tr-TR"/>
        </w:rPr>
        <w:t>Ölçek, anket, görüşme, gözlem gibi yollarla veri toplamayı gerektiren araştırmalar için etik kurul onayı alındığının (etik kurul adı, karar tarihi ve sayısı) makalenin ilk-son sayfasında ve yöntem bölümünde belirtilmesi ve belgelendirilmesi,</w:t>
      </w:r>
    </w:p>
    <w:p w14:paraId="2675667D" w14:textId="77777777" w:rsidR="00576573" w:rsidRPr="00576573" w:rsidRDefault="00576573" w:rsidP="00576573">
      <w:pPr>
        <w:rPr>
          <w:lang w:val="tr-TR"/>
        </w:rPr>
      </w:pPr>
      <w:r w:rsidRPr="00576573">
        <w:rPr>
          <w:lang w:val="tr-TR"/>
        </w:rPr>
        <w:t>Bilgilendirilmiş gönüllü olur/onam formunun imzalatıldığına ilişkin bilgiye makalede yer verilmesi,</w:t>
      </w:r>
    </w:p>
    <w:p w14:paraId="00E98B80" w14:textId="77777777" w:rsidR="00576573" w:rsidRPr="00576573" w:rsidRDefault="00576573" w:rsidP="00576573">
      <w:pPr>
        <w:rPr>
          <w:lang w:val="tr-TR"/>
        </w:rPr>
      </w:pPr>
      <w:r w:rsidRPr="00576573">
        <w:rPr>
          <w:lang w:val="tr-TR"/>
        </w:rPr>
        <w:t>Veri toplama sürecinde etik ilkelere özen gösterildiğinin kanıtlarının (başkalarının ölçek, anket, belgelerinin kullanılması için izin alınması gibi) makale içinde sunulması,</w:t>
      </w:r>
    </w:p>
    <w:p w14:paraId="1A9968EC" w14:textId="77777777" w:rsidR="00576573" w:rsidRPr="00576573" w:rsidRDefault="00576573" w:rsidP="00576573">
      <w:pPr>
        <w:rPr>
          <w:lang w:val="tr-TR"/>
        </w:rPr>
      </w:pPr>
      <w:r w:rsidRPr="00576573">
        <w:rPr>
          <w:lang w:val="tr-TR"/>
        </w:rPr>
        <w:t>Makalelerde araştırma ve yayın etiğine uyulduğunun belirtilmesi gerekmektedir." buna dayalı olarak,</w:t>
      </w:r>
    </w:p>
    <w:p w14:paraId="0A5ADACA" w14:textId="77777777" w:rsidR="00576573" w:rsidRPr="00576573" w:rsidRDefault="00576573" w:rsidP="00576573">
      <w:pPr>
        <w:rPr>
          <w:lang w:val="tr-TR"/>
        </w:rPr>
      </w:pPr>
      <w:r w:rsidRPr="00576573">
        <w:rPr>
          <w:lang w:val="tr-TR"/>
        </w:rPr>
        <w:t>Etik kurul izni gerektiren çalışmalarda, izinle ilgili bilgiler (kurul adı, tarih ve sayı no) yöntem bölümünde ve ayrıca makale ilk sayfasında yer verilmelidir.</w:t>
      </w:r>
    </w:p>
    <w:p w14:paraId="5A882713" w14:textId="51538586" w:rsidR="00576573" w:rsidRPr="00576573" w:rsidRDefault="00576573" w:rsidP="00AC129C">
      <w:pPr>
        <w:pStyle w:val="Balk3"/>
        <w:rPr>
          <w:lang w:val="tr-TR"/>
        </w:rPr>
      </w:pPr>
      <w:r w:rsidRPr="00576573">
        <w:rPr>
          <w:lang w:val="tr-TR"/>
        </w:rPr>
        <w:t xml:space="preserve">Tablo ve Görseller başlığı </w:t>
      </w:r>
      <w:r w:rsidR="00FF7079">
        <w:rPr>
          <w:lang w:val="tr-TR"/>
        </w:rPr>
        <w:t>için stiller menüsünden “Aralık yok, Table &amp; Staements” başlığını seçiniz</w:t>
      </w:r>
    </w:p>
    <w:p w14:paraId="20D225CB" w14:textId="61900F2E" w:rsidR="00576573" w:rsidRDefault="00576573" w:rsidP="00576573">
      <w:pPr>
        <w:rPr>
          <w:b/>
          <w:bCs/>
          <w:lang w:val="tr-TR"/>
        </w:rPr>
      </w:pPr>
      <w:r w:rsidRPr="00576573">
        <w:rPr>
          <w:lang w:val="tr-TR"/>
        </w:rPr>
        <w:t>Makalede kullanılan tablo ve şekil numaraları (bold), başlıklar ve notlar sola yaslanmalıdır</w:t>
      </w:r>
      <w:r>
        <w:rPr>
          <w:lang w:val="tr-TR"/>
        </w:rPr>
        <w:t>. Roboto Light</w:t>
      </w:r>
      <w:r w:rsidRPr="00576573">
        <w:rPr>
          <w:lang w:val="tr-TR"/>
        </w:rPr>
        <w:t xml:space="preserve">, 10 punto olmalı ve Tablo dışındaki bütün şekiller “Görsel” olarak adlandırılmalıdır. Tablolar ve Görseller ardışık olarak numaralandırılmalıdır. Bunlara metin içinde (Tablo 1, Görsel 1) şeklinde atıfta bulunulmalıdır. Her bir görsel ve tablo için uygun bir kısa tanım kullanılmalı ve tanım görselin altına numarasıyla birlikte yazılmalıdır; ayrıca görsel veya tablo bir başka kaynaktan alındıysa kaynak bilgisine de yer verilmelidir. Makaledeki tüm tablo ve görseller en fazla 20 adet olmalıdır. </w:t>
      </w:r>
      <w:r w:rsidRPr="00576573">
        <w:rPr>
          <w:b/>
          <w:bCs/>
          <w:lang w:val="tr-TR"/>
        </w:rPr>
        <w:t>(Biçimlendirmeyi bozmadan buraya ekleyebilirsiniz.)</w:t>
      </w:r>
    </w:p>
    <w:p w14:paraId="16BC9FF4" w14:textId="77777777" w:rsidR="004F3AB6" w:rsidRPr="003050D4" w:rsidRDefault="004F3AB6" w:rsidP="00576573">
      <w:pPr>
        <w:rPr>
          <w:lang w:val="tr-TR"/>
        </w:rPr>
      </w:pPr>
    </w:p>
    <w:p w14:paraId="1855BEB2" w14:textId="0A058623" w:rsidR="00611671" w:rsidRPr="003050D4" w:rsidRDefault="00611671" w:rsidP="00350E00">
      <w:pPr>
        <w:pStyle w:val="AralkYok"/>
        <w:rPr>
          <w:lang w:val="tr-TR"/>
        </w:rPr>
      </w:pPr>
      <w:r w:rsidRPr="003050D4">
        <w:rPr>
          <w:b/>
          <w:bCs/>
          <w:lang w:val="tr-TR"/>
        </w:rPr>
        <w:lastRenderedPageBreak/>
        <w:t>Table 1</w:t>
      </w:r>
      <w:r w:rsidR="0077558C" w:rsidRPr="003050D4">
        <w:rPr>
          <w:b/>
          <w:bCs/>
          <w:lang w:val="tr-TR"/>
        </w:rPr>
        <w:t xml:space="preserve"> </w:t>
      </w:r>
      <w:r w:rsidR="00FF7079" w:rsidRPr="00FF7079">
        <w:rPr>
          <w:lang w:val="tr-TR"/>
        </w:rPr>
        <w:t xml:space="preserve">Tablo ve Görseller başlığı için stiller menüsünden </w:t>
      </w:r>
      <w:r w:rsidR="00FF7079" w:rsidRPr="00FF7079">
        <w:rPr>
          <w:b/>
          <w:bCs/>
          <w:lang w:val="tr-TR"/>
        </w:rPr>
        <w:t>“Aralık yok, Table &amp; Staements”</w:t>
      </w:r>
      <w:r w:rsidR="00FF7079" w:rsidRPr="00FF7079">
        <w:rPr>
          <w:lang w:val="tr-TR"/>
        </w:rPr>
        <w:t xml:space="preserve"> başlığını seçini</w:t>
      </w:r>
      <w:r w:rsidR="00FF7079">
        <w:rPr>
          <w:lang w:val="tr-TR"/>
        </w:rPr>
        <w:t>z</w:t>
      </w:r>
      <w:r w:rsidR="00D22E10">
        <w:rPr>
          <w:lang w:val="tr-TR"/>
        </w:rPr>
        <w:t xml:space="preserve">, tablo ve numarası </w:t>
      </w:r>
      <w:r w:rsidR="00D22E10" w:rsidRPr="00D22E10">
        <w:rPr>
          <w:b/>
          <w:bCs/>
          <w:lang w:val="tr-TR"/>
        </w:rPr>
        <w:t>bold</w:t>
      </w:r>
    </w:p>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5"/>
        <w:gridCol w:w="5897"/>
      </w:tblGrid>
      <w:tr w:rsidR="00D36604" w:rsidRPr="003050D4" w14:paraId="4605A971" w14:textId="77777777" w:rsidTr="005D79CD">
        <w:tc>
          <w:tcPr>
            <w:tcW w:w="5000" w:type="pct"/>
            <w:gridSpan w:val="2"/>
            <w:tcBorders>
              <w:top w:val="single" w:sz="4" w:space="0" w:color="auto"/>
              <w:bottom w:val="single" w:sz="4" w:space="0" w:color="auto"/>
            </w:tcBorders>
          </w:tcPr>
          <w:p w14:paraId="53D8FA42" w14:textId="2307F720" w:rsidR="00D36604" w:rsidRPr="003050D4" w:rsidRDefault="00D36604" w:rsidP="005D79CD">
            <w:pPr>
              <w:pStyle w:val="AralkYok"/>
              <w:rPr>
                <w:lang w:val="tr-TR"/>
              </w:rPr>
            </w:pPr>
            <w:r w:rsidRPr="003050D4">
              <w:rPr>
                <w:lang w:val="tr-TR"/>
              </w:rPr>
              <w:t>Positive Experiences</w:t>
            </w:r>
          </w:p>
        </w:tc>
      </w:tr>
      <w:tr w:rsidR="00D36604" w:rsidRPr="003050D4" w14:paraId="3885987B" w14:textId="77777777" w:rsidTr="005D79CD">
        <w:trPr>
          <w:trHeight w:val="232"/>
        </w:trPr>
        <w:tc>
          <w:tcPr>
            <w:tcW w:w="1750" w:type="pct"/>
            <w:tcBorders>
              <w:top w:val="single" w:sz="4" w:space="0" w:color="auto"/>
            </w:tcBorders>
          </w:tcPr>
          <w:p w14:paraId="1F603B95" w14:textId="06B78A58" w:rsidR="00D36604" w:rsidRPr="003050D4" w:rsidRDefault="00D36604" w:rsidP="005D79CD">
            <w:pPr>
              <w:pStyle w:val="AralkYok"/>
              <w:rPr>
                <w:lang w:val="tr-TR"/>
              </w:rPr>
            </w:pPr>
            <w:r w:rsidRPr="003050D4">
              <w:rPr>
                <w:lang w:val="tr-TR"/>
              </w:rPr>
              <w:t>Classification</w:t>
            </w:r>
          </w:p>
        </w:tc>
        <w:tc>
          <w:tcPr>
            <w:tcW w:w="2500" w:type="pct"/>
            <w:tcBorders>
              <w:top w:val="single" w:sz="4" w:space="0" w:color="auto"/>
            </w:tcBorders>
          </w:tcPr>
          <w:p w14:paraId="4FCAF77F" w14:textId="491A6E61" w:rsidR="00D36604" w:rsidRPr="003050D4" w:rsidRDefault="00D36604" w:rsidP="005D79CD">
            <w:pPr>
              <w:pStyle w:val="AralkYok"/>
              <w:rPr>
                <w:lang w:val="tr-TR"/>
              </w:rPr>
            </w:pPr>
            <w:r w:rsidRPr="003050D4">
              <w:rPr>
                <w:lang w:val="tr-TR"/>
              </w:rPr>
              <w:t>Embodied Metaphors</w:t>
            </w:r>
          </w:p>
        </w:tc>
      </w:tr>
      <w:tr w:rsidR="00D36604" w:rsidRPr="003050D4" w14:paraId="37C198FD" w14:textId="77777777" w:rsidTr="005D79CD">
        <w:trPr>
          <w:trHeight w:val="232"/>
        </w:trPr>
        <w:tc>
          <w:tcPr>
            <w:tcW w:w="1750" w:type="pct"/>
            <w:tcBorders>
              <w:top w:val="single" w:sz="4" w:space="0" w:color="auto"/>
            </w:tcBorders>
          </w:tcPr>
          <w:p w14:paraId="0FF8957A" w14:textId="0540FB82" w:rsidR="00D36604" w:rsidRPr="003050D4" w:rsidRDefault="00D36604" w:rsidP="005D79CD">
            <w:pPr>
              <w:pStyle w:val="AralkYok"/>
              <w:rPr>
                <w:lang w:val="tr-TR"/>
              </w:rPr>
            </w:pPr>
            <w:r w:rsidRPr="003050D4">
              <w:rPr>
                <w:lang w:val="tr-TR"/>
              </w:rPr>
              <w:t>Abstract</w:t>
            </w:r>
          </w:p>
        </w:tc>
        <w:tc>
          <w:tcPr>
            <w:tcW w:w="2500" w:type="pct"/>
            <w:tcBorders>
              <w:top w:val="single" w:sz="4" w:space="0" w:color="auto"/>
            </w:tcBorders>
          </w:tcPr>
          <w:p w14:paraId="2366BF32" w14:textId="31C25F62" w:rsidR="00D36604" w:rsidRPr="003050D4" w:rsidRDefault="00D36604" w:rsidP="005D79CD">
            <w:pPr>
              <w:pStyle w:val="AralkYok"/>
              <w:rPr>
                <w:lang w:val="tr-TR"/>
              </w:rPr>
            </w:pPr>
            <w:r w:rsidRPr="003050D4">
              <w:rPr>
                <w:lang w:val="tr-TR"/>
              </w:rPr>
              <w:t>jungle, driving force, game-changer, underprivileged</w:t>
            </w:r>
          </w:p>
        </w:tc>
      </w:tr>
      <w:tr w:rsidR="00D36604" w:rsidRPr="003050D4" w14:paraId="30BBC399" w14:textId="77777777" w:rsidTr="005D79CD">
        <w:trPr>
          <w:trHeight w:val="232"/>
        </w:trPr>
        <w:tc>
          <w:tcPr>
            <w:tcW w:w="1750" w:type="pct"/>
          </w:tcPr>
          <w:p w14:paraId="03A68DBA" w14:textId="51B381FE" w:rsidR="00D36604" w:rsidRPr="003050D4" w:rsidRDefault="00D36604" w:rsidP="005D79CD">
            <w:pPr>
              <w:pStyle w:val="AralkYok"/>
              <w:rPr>
                <w:lang w:val="tr-TR"/>
              </w:rPr>
            </w:pPr>
            <w:r w:rsidRPr="003050D4">
              <w:rPr>
                <w:lang w:val="tr-TR"/>
              </w:rPr>
              <w:t>Concrete</w:t>
            </w:r>
          </w:p>
        </w:tc>
        <w:tc>
          <w:tcPr>
            <w:tcW w:w="2500" w:type="pct"/>
          </w:tcPr>
          <w:p w14:paraId="72909BF4" w14:textId="02FDEDD9" w:rsidR="00D36604" w:rsidRPr="003050D4" w:rsidRDefault="00D36604" w:rsidP="005D79CD">
            <w:pPr>
              <w:pStyle w:val="AralkYok"/>
              <w:rPr>
                <w:lang w:val="tr-TR"/>
              </w:rPr>
            </w:pPr>
            <w:r w:rsidRPr="003050D4">
              <w:rPr>
                <w:lang w:val="tr-TR"/>
              </w:rPr>
              <w:t>stones, heart, fumes</w:t>
            </w:r>
          </w:p>
        </w:tc>
      </w:tr>
      <w:tr w:rsidR="00D36604" w:rsidRPr="003050D4" w14:paraId="42F4228F" w14:textId="77777777" w:rsidTr="005D79CD">
        <w:trPr>
          <w:trHeight w:val="232"/>
        </w:trPr>
        <w:tc>
          <w:tcPr>
            <w:tcW w:w="1750" w:type="pct"/>
            <w:tcBorders>
              <w:bottom w:val="single" w:sz="4" w:space="0" w:color="auto"/>
            </w:tcBorders>
          </w:tcPr>
          <w:p w14:paraId="5DF47BBF" w14:textId="26B58A16" w:rsidR="00D36604" w:rsidRPr="003050D4" w:rsidRDefault="00D36604" w:rsidP="005D79CD">
            <w:pPr>
              <w:pStyle w:val="AralkYok"/>
              <w:rPr>
                <w:lang w:val="tr-TR"/>
              </w:rPr>
            </w:pPr>
            <w:r w:rsidRPr="003050D4">
              <w:rPr>
                <w:lang w:val="tr-TR"/>
              </w:rPr>
              <w:t xml:space="preserve">Non-living </w:t>
            </w:r>
          </w:p>
        </w:tc>
        <w:tc>
          <w:tcPr>
            <w:tcW w:w="2500" w:type="pct"/>
            <w:tcBorders>
              <w:bottom w:val="single" w:sz="4" w:space="0" w:color="auto"/>
            </w:tcBorders>
          </w:tcPr>
          <w:p w14:paraId="6D326FB3" w14:textId="629A555A" w:rsidR="00D36604" w:rsidRPr="003050D4" w:rsidRDefault="00D36604" w:rsidP="005D79CD">
            <w:pPr>
              <w:pStyle w:val="AralkYok"/>
              <w:rPr>
                <w:lang w:val="tr-TR"/>
              </w:rPr>
            </w:pPr>
            <w:r w:rsidRPr="003050D4">
              <w:rPr>
                <w:lang w:val="tr-TR"/>
              </w:rPr>
              <w:t xml:space="preserve">technology, browser </w:t>
            </w:r>
          </w:p>
        </w:tc>
      </w:tr>
    </w:tbl>
    <w:p w14:paraId="58A17033" w14:textId="519ACA5D" w:rsidR="00B12E87" w:rsidRDefault="00B12E87" w:rsidP="00B12E87">
      <w:pPr>
        <w:pStyle w:val="Balk1"/>
        <w:jc w:val="center"/>
        <w:rPr>
          <w:lang w:val="tr-TR"/>
        </w:rPr>
      </w:pPr>
      <w:r>
        <w:rPr>
          <w:noProof/>
          <w:lang w:val="tr-TR"/>
        </w:rPr>
        <w:drawing>
          <wp:inline distT="0" distB="0" distL="0" distR="0" wp14:anchorId="3A523B49" wp14:editId="554269E5">
            <wp:extent cx="2025650" cy="2049319"/>
            <wp:effectExtent l="0" t="0" r="0" b="8255"/>
            <wp:docPr id="1360106629" name="Resim 1" descr="metin, daire, logo, grafik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0106629" name="Resim 1" descr="metin, daire, logo, grafik içeren bir resim&#10;&#10;Açıklama otomatik olarak oluşturuldu"/>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30037" cy="2053757"/>
                    </a:xfrm>
                    <a:prstGeom prst="rect">
                      <a:avLst/>
                    </a:prstGeom>
                  </pic:spPr>
                </pic:pic>
              </a:graphicData>
            </a:graphic>
          </wp:inline>
        </w:drawing>
      </w:r>
    </w:p>
    <w:p w14:paraId="71F99649" w14:textId="3AA355B9" w:rsidR="00B12E87" w:rsidRDefault="00B12E87" w:rsidP="00B12E87">
      <w:pPr>
        <w:rPr>
          <w:b/>
          <w:bCs/>
          <w:sz w:val="20"/>
          <w:szCs w:val="20"/>
          <w:lang w:val="tr-TR"/>
        </w:rPr>
      </w:pPr>
      <w:r w:rsidRPr="00E17442">
        <w:rPr>
          <w:b/>
          <w:bCs/>
          <w:sz w:val="20"/>
          <w:szCs w:val="20"/>
          <w:lang w:val="tr-TR"/>
        </w:rPr>
        <w:t>Görsel 1</w:t>
      </w:r>
      <w:r w:rsidRPr="00B12E87">
        <w:rPr>
          <w:sz w:val="20"/>
          <w:szCs w:val="20"/>
          <w:lang w:val="tr-TR"/>
        </w:rPr>
        <w:t xml:space="preserve"> </w:t>
      </w:r>
      <w:r w:rsidR="00FF7079" w:rsidRPr="00FF7079">
        <w:rPr>
          <w:sz w:val="20"/>
          <w:szCs w:val="20"/>
          <w:lang w:val="tr-TR"/>
        </w:rPr>
        <w:t xml:space="preserve">Tablo ve Görseller başlığı için stiller menüsünden </w:t>
      </w:r>
      <w:r w:rsidR="00FF7079" w:rsidRPr="00FF7079">
        <w:rPr>
          <w:b/>
          <w:bCs/>
          <w:sz w:val="20"/>
          <w:szCs w:val="20"/>
          <w:lang w:val="tr-TR"/>
        </w:rPr>
        <w:t xml:space="preserve">“Aralık yok, Table &amp; Staements” </w:t>
      </w:r>
      <w:r w:rsidR="00FF7079" w:rsidRPr="00FF7079">
        <w:rPr>
          <w:sz w:val="20"/>
          <w:szCs w:val="20"/>
          <w:lang w:val="tr-TR"/>
        </w:rPr>
        <w:t>başlığını seçiniz</w:t>
      </w:r>
      <w:r w:rsidR="00FF7079">
        <w:rPr>
          <w:sz w:val="20"/>
          <w:szCs w:val="20"/>
          <w:lang w:val="tr-TR"/>
        </w:rPr>
        <w:t xml:space="preserve">, </w:t>
      </w:r>
      <w:r w:rsidR="00576573">
        <w:rPr>
          <w:sz w:val="20"/>
          <w:szCs w:val="20"/>
          <w:lang w:val="tr-TR"/>
        </w:rPr>
        <w:t>görsel</w:t>
      </w:r>
      <w:r w:rsidR="00576573" w:rsidRPr="00576573">
        <w:rPr>
          <w:sz w:val="20"/>
          <w:szCs w:val="20"/>
          <w:lang w:val="tr-TR"/>
        </w:rPr>
        <w:t xml:space="preserve"> ve numarası </w:t>
      </w:r>
      <w:r w:rsidR="00576573" w:rsidRPr="00576573">
        <w:rPr>
          <w:b/>
          <w:bCs/>
          <w:sz w:val="20"/>
          <w:szCs w:val="20"/>
          <w:lang w:val="tr-TR"/>
        </w:rPr>
        <w:t>bold</w:t>
      </w:r>
    </w:p>
    <w:p w14:paraId="4CE5843E" w14:textId="14AF7229" w:rsidR="00576573" w:rsidRDefault="00576573" w:rsidP="00576573">
      <w:pPr>
        <w:rPr>
          <w:b/>
          <w:bCs/>
          <w:lang w:val="tr-TR"/>
        </w:rPr>
      </w:pPr>
      <w:r w:rsidRPr="00576573">
        <w:rPr>
          <w:lang w:val="tr-TR"/>
        </w:rPr>
        <w:t xml:space="preserve">Makalede kullanılan tablo ve şekil numaraları (bold), başlıklar ve notlar sola yaslanmalıdır. Roboto Light, 10 punto olmalı </w:t>
      </w:r>
      <w:r w:rsidR="00FF7079">
        <w:rPr>
          <w:lang w:val="tr-TR"/>
        </w:rPr>
        <w:t xml:space="preserve">(Stiller menüsü </w:t>
      </w:r>
      <w:r w:rsidR="00FF7079" w:rsidRPr="00FF7079">
        <w:rPr>
          <w:lang w:val="tr-TR"/>
        </w:rPr>
        <w:t>“Aralık yok, Table &amp; Staements”</w:t>
      </w:r>
      <w:r w:rsidR="00FF7079">
        <w:rPr>
          <w:lang w:val="tr-TR"/>
        </w:rPr>
        <w:t xml:space="preserve">) </w:t>
      </w:r>
      <w:r w:rsidRPr="00576573">
        <w:rPr>
          <w:lang w:val="tr-TR"/>
        </w:rPr>
        <w:t xml:space="preserve">ve Tablo dışındaki bütün şekiller “Görsel” olarak adlandırılmalıdır. Tablolar ve Görseller ardışık olarak numaralandırılmalıdır. Bunlara metin içinde (Tablo 1, Görsel 1) şeklinde atıfta bulunulmalıdır. Her bir görsel ve tablo için uygun bir kısa tanım kullanılmalı ve tanım görselin altına numarasıyla birlikte yazılmalıdır; ayrıca görsel veya tablo bir başka kaynaktan alındıysa kaynak bilgisine de yer verilmelidir. Makaledeki tüm tablo ve görseller en fazla 20 adet olmalıdır. </w:t>
      </w:r>
      <w:r w:rsidRPr="00576573">
        <w:rPr>
          <w:b/>
          <w:bCs/>
          <w:lang w:val="tr-TR"/>
        </w:rPr>
        <w:t>(Biçimlendirmeyi bozmadan buraya ekleyebilirsiniz.)</w:t>
      </w:r>
    </w:p>
    <w:p w14:paraId="4995BE9D" w14:textId="77777777" w:rsidR="005A5F47" w:rsidRDefault="005A5F47" w:rsidP="005A5F47">
      <w:r w:rsidRPr="00C41E92">
        <w:t xml:space="preserve">** Makale içerisinde kullanılan “tablo bilgileri” tablonun </w:t>
      </w:r>
      <w:r w:rsidRPr="000B51C0">
        <w:rPr>
          <w:b/>
        </w:rPr>
        <w:t>üzerinde;</w:t>
      </w:r>
      <w:r w:rsidRPr="00C41E92">
        <w:t xml:space="preserve"> “görsel bilgileri” ise görselin </w:t>
      </w:r>
      <w:r w:rsidRPr="000B51C0">
        <w:rPr>
          <w:b/>
        </w:rPr>
        <w:t>altında</w:t>
      </w:r>
      <w:r w:rsidRPr="00C41E92">
        <w:t xml:space="preserve"> ortalı bir şekilde yazılmalıdır.</w:t>
      </w:r>
    </w:p>
    <w:p w14:paraId="10BE6D9F" w14:textId="5E5EABFD" w:rsidR="005A5F47" w:rsidRPr="003B6D41" w:rsidRDefault="005A5F47" w:rsidP="005A5F47">
      <w:pPr>
        <w:pStyle w:val="Balk1"/>
        <w:rPr>
          <w:rFonts w:eastAsia="Calibri"/>
          <w:iCs/>
          <w:color w:val="FF0000"/>
          <w:sz w:val="20"/>
          <w:szCs w:val="20"/>
        </w:rPr>
      </w:pPr>
      <w:r w:rsidRPr="00C41E92">
        <w:rPr>
          <w:shd w:val="clear" w:color="auto" w:fill="FFFFFF"/>
        </w:rPr>
        <w:t xml:space="preserve">Sonuç ve Öneriler başlığı </w:t>
      </w:r>
      <w:r w:rsidR="00FF7079">
        <w:rPr>
          <w:lang w:val="tr-TR"/>
        </w:rPr>
        <w:t>(Stil menüsünden Başlık 1’i seçiniz)</w:t>
      </w:r>
    </w:p>
    <w:p w14:paraId="02646DED" w14:textId="68CF03A6" w:rsidR="0094191E" w:rsidRDefault="0094191E" w:rsidP="0094191E">
      <w:pPr>
        <w:rPr>
          <w:shd w:val="clear" w:color="auto" w:fill="FFFFFF"/>
        </w:rPr>
      </w:pPr>
      <w:bookmarkStart w:id="0" w:name="_Toc535220775"/>
      <w:r>
        <w:rPr>
          <w:shd w:val="clear" w:color="auto" w:fill="FFFFFF"/>
        </w:rPr>
        <w:t xml:space="preserve">Sonuç ve öneriler metni </w:t>
      </w:r>
      <w:r w:rsidRPr="0094191E">
        <w:rPr>
          <w:shd w:val="clear" w:color="auto" w:fill="FFFFFF"/>
        </w:rPr>
        <w:t>için stiller menüsünden “Normal” stilini seçiniz.</w:t>
      </w:r>
    </w:p>
    <w:p w14:paraId="0FD38F95" w14:textId="1338BAD6" w:rsidR="00AC129C" w:rsidRDefault="005A5F47" w:rsidP="00AC129C">
      <w:pPr>
        <w:pStyle w:val="Balk1"/>
        <w:rPr>
          <w:sz w:val="20"/>
          <w:szCs w:val="20"/>
          <w:shd w:val="clear" w:color="auto" w:fill="FFFFFF"/>
        </w:rPr>
      </w:pPr>
      <w:r>
        <w:rPr>
          <w:shd w:val="clear" w:color="auto" w:fill="FFFFFF"/>
        </w:rPr>
        <w:t>Yazar Katkı Oranları</w:t>
      </w:r>
      <w:r w:rsidRPr="00C41E92">
        <w:rPr>
          <w:shd w:val="clear" w:color="auto" w:fill="FFFFFF"/>
        </w:rPr>
        <w:t xml:space="preserve"> başlığı </w:t>
      </w:r>
      <w:bookmarkStart w:id="1" w:name="_Hlk84500894"/>
      <w:r w:rsidR="00FF7079">
        <w:rPr>
          <w:lang w:val="tr-TR"/>
        </w:rPr>
        <w:t>(Stil menüsünden Başlık 1’i seçiniz)</w:t>
      </w:r>
    </w:p>
    <w:p w14:paraId="7327ECE8" w14:textId="7EB8BA64" w:rsidR="005A5F47" w:rsidRPr="00AC129C" w:rsidRDefault="005A5F47" w:rsidP="00AC129C">
      <w:pPr>
        <w:rPr>
          <w:b/>
          <w:color w:val="FF0000"/>
          <w:shd w:val="clear" w:color="auto" w:fill="FFFFFF"/>
        </w:rPr>
      </w:pPr>
      <w:r w:rsidRPr="00AC129C">
        <w:rPr>
          <w:color w:val="FF0000"/>
          <w:shd w:val="clear" w:color="auto" w:fill="FFFFFF"/>
        </w:rPr>
        <w:t>(</w:t>
      </w:r>
      <w:r w:rsidR="00AC129C" w:rsidRPr="00AC129C">
        <w:rPr>
          <w:color w:val="FF0000"/>
          <w:shd w:val="clear" w:color="auto" w:fill="FFFFFF"/>
        </w:rPr>
        <w:t xml:space="preserve">Bu bilgiler </w:t>
      </w:r>
      <w:r w:rsidRPr="00AC129C">
        <w:rPr>
          <w:color w:val="FF0000"/>
          <w:shd w:val="clear" w:color="auto" w:fill="FFFFFF"/>
        </w:rPr>
        <w:t xml:space="preserve"> hakem sürecinden sonra doldurulacak)</w:t>
      </w:r>
      <w:r w:rsidRPr="00AC129C">
        <w:rPr>
          <w:b/>
          <w:color w:val="FF0000"/>
          <w:shd w:val="clear" w:color="auto" w:fill="FFFFFF"/>
        </w:rPr>
        <w:t xml:space="preserve"> </w:t>
      </w:r>
      <w:bookmarkEnd w:id="1"/>
    </w:p>
    <w:p w14:paraId="07B902BB" w14:textId="02BC01F0" w:rsidR="005A5F47" w:rsidRPr="00C41E92" w:rsidRDefault="005A5F47" w:rsidP="00AC129C">
      <w:pPr>
        <w:rPr>
          <w:color w:val="000000"/>
          <w:shd w:val="clear" w:color="auto" w:fill="FFFFFF"/>
        </w:rPr>
      </w:pPr>
      <w:r w:rsidRPr="00C41E92">
        <w:rPr>
          <w:color w:val="000000"/>
          <w:shd w:val="clear" w:color="auto" w:fill="FFFFFF"/>
        </w:rPr>
        <w:t xml:space="preserve">Yazar katkıları metni </w:t>
      </w:r>
      <w:r w:rsidR="00FF7079">
        <w:rPr>
          <w:color w:val="000000"/>
          <w:shd w:val="clear" w:color="auto" w:fill="FFFFFF"/>
        </w:rPr>
        <w:t xml:space="preserve">için stiller menüsünden “Normal” stilini seçiniz. </w:t>
      </w:r>
      <w:r w:rsidRPr="00C41E92">
        <w:rPr>
          <w:color w:val="000000"/>
          <w:shd w:val="clear" w:color="auto" w:fill="FFFFFF"/>
        </w:rPr>
        <w:t xml:space="preserve">Çalışmaya 1. Yazar: %....., 2. Yazar: %....., oranında katkı sağlamıştır. </w:t>
      </w:r>
    </w:p>
    <w:p w14:paraId="49469B93" w14:textId="506CD752" w:rsidR="00AC129C" w:rsidRDefault="005A5F47" w:rsidP="00AC129C">
      <w:pPr>
        <w:pStyle w:val="Balk1"/>
        <w:rPr>
          <w:shd w:val="clear" w:color="auto" w:fill="FFFFFF"/>
        </w:rPr>
      </w:pPr>
      <w:r w:rsidRPr="00C41E92">
        <w:rPr>
          <w:shd w:val="clear" w:color="auto" w:fill="FFFFFF"/>
        </w:rPr>
        <w:t xml:space="preserve">Çıkar Çatışması Beyanı başlığı </w:t>
      </w:r>
      <w:r w:rsidR="00FF7079">
        <w:rPr>
          <w:lang w:val="tr-TR"/>
        </w:rPr>
        <w:t>(Stil menüsünden Başlık 1’i seçiniz)</w:t>
      </w:r>
    </w:p>
    <w:p w14:paraId="5FAA81B8" w14:textId="01DAFDC8" w:rsidR="005A5F47" w:rsidRPr="00AC129C" w:rsidRDefault="005A5F47" w:rsidP="00AC129C">
      <w:pPr>
        <w:rPr>
          <w:b/>
          <w:color w:val="FF0000"/>
          <w:shd w:val="clear" w:color="auto" w:fill="FFFFFF"/>
        </w:rPr>
      </w:pPr>
      <w:r w:rsidRPr="00AC129C">
        <w:rPr>
          <w:color w:val="FF0000"/>
          <w:shd w:val="clear" w:color="auto" w:fill="FFFFFF"/>
        </w:rPr>
        <w:t>(hakem sürecinden sonra tüm yazılar doldurulacak)</w:t>
      </w:r>
    </w:p>
    <w:p w14:paraId="2B3F5C1E" w14:textId="77777777" w:rsidR="005A5F47" w:rsidRPr="00C41E92" w:rsidRDefault="005A5F47" w:rsidP="00AC129C">
      <w:pPr>
        <w:rPr>
          <w:color w:val="000000"/>
          <w:shd w:val="clear" w:color="auto" w:fill="FFFFFF"/>
        </w:rPr>
      </w:pPr>
      <w:r w:rsidRPr="00C41E92">
        <w:rPr>
          <w:color w:val="000000"/>
          <w:shd w:val="clear" w:color="auto" w:fill="FFFFFF"/>
        </w:rPr>
        <w:t>“……………………………………………………………………………………………………………………………………………………………………………………………………………………..” başlıklı makalemiz</w:t>
      </w:r>
      <w:r>
        <w:rPr>
          <w:color w:val="000000"/>
          <w:shd w:val="clear" w:color="auto" w:fill="FFFFFF"/>
        </w:rPr>
        <w:t xml:space="preserve">in </w:t>
      </w:r>
      <w:r w:rsidRPr="00C41E92">
        <w:rPr>
          <w:color w:val="000000"/>
          <w:shd w:val="clear" w:color="auto" w:fill="FFFFFF"/>
        </w:rPr>
        <w:t xml:space="preserve">herhangi bir kurum, kuruluş, kişi ile </w:t>
      </w:r>
      <w:r>
        <w:rPr>
          <w:color w:val="000000"/>
          <w:shd w:val="clear" w:color="auto" w:fill="FFFFFF"/>
        </w:rPr>
        <w:t>mali çıkar çatışması yoktur. Y</w:t>
      </w:r>
      <w:r w:rsidRPr="00C41E92">
        <w:rPr>
          <w:color w:val="000000"/>
          <w:shd w:val="clear" w:color="auto" w:fill="FFFFFF"/>
        </w:rPr>
        <w:t>azarlar arasında da herhangi bir çıkar çatışması bulunmamaktadır.</w:t>
      </w:r>
    </w:p>
    <w:p w14:paraId="38BDB06F" w14:textId="77777777" w:rsidR="005A5F47" w:rsidRPr="00C41E92" w:rsidRDefault="005A5F47" w:rsidP="00AC129C">
      <w:pPr>
        <w:rPr>
          <w:color w:val="000000"/>
          <w:shd w:val="clear" w:color="auto" w:fill="FFFFFF"/>
        </w:rPr>
      </w:pPr>
      <w:r w:rsidRPr="00C41E92">
        <w:rPr>
          <w:color w:val="000000"/>
          <w:shd w:val="clear" w:color="auto" w:fill="FFFFFF"/>
        </w:rPr>
        <w:t>Çıkar çatışması olması halinde aşağıdaki alana çıkar çatışmasının kapsamını açıklayınız.</w:t>
      </w:r>
    </w:p>
    <w:p w14:paraId="60265B61" w14:textId="64C34971" w:rsidR="005A5F47" w:rsidRPr="00C41E92" w:rsidRDefault="005A5F47" w:rsidP="00AC129C">
      <w:pPr>
        <w:pStyle w:val="Balk1"/>
        <w:rPr>
          <w:color w:val="000000"/>
          <w:sz w:val="20"/>
          <w:szCs w:val="20"/>
          <w:shd w:val="clear" w:color="auto" w:fill="FFFFFF"/>
        </w:rPr>
      </w:pPr>
      <w:r w:rsidRPr="00C41E92">
        <w:lastRenderedPageBreak/>
        <w:t xml:space="preserve">Kaynakça </w:t>
      </w:r>
      <w:r>
        <w:t xml:space="preserve">Başlığı </w:t>
      </w:r>
      <w:r w:rsidR="00FF7079">
        <w:rPr>
          <w:lang w:val="tr-TR"/>
        </w:rPr>
        <w:t>(Stil menüsünden Başlık 1’i seçiniz)</w:t>
      </w:r>
    </w:p>
    <w:p w14:paraId="3A8C75E6" w14:textId="589B4EFE" w:rsidR="005A5F47" w:rsidRPr="00AC129C" w:rsidRDefault="005A5F47" w:rsidP="00AC129C">
      <w:r w:rsidRPr="00C41E92">
        <w:t>Kaynakça</w:t>
      </w:r>
      <w:r w:rsidR="00FF7079">
        <w:t xml:space="preserve"> için stiller menüsünden </w:t>
      </w:r>
      <w:r w:rsidR="00FF7079" w:rsidRPr="00FF7079">
        <w:rPr>
          <w:b/>
          <w:bCs/>
        </w:rPr>
        <w:t>“Alıntı, References”</w:t>
      </w:r>
      <w:r w:rsidR="00FF7079">
        <w:t xml:space="preserve"> stilini seçiniz</w:t>
      </w:r>
      <w:r w:rsidRPr="00C41E92">
        <w:t xml:space="preserve">. Odü Sosyal Bilimler Enstitüsü Sosyal Bilimler Araştırmaları dergisine gönderilecek makalelerde atıf ve kaynak gösterme konusunda </w:t>
      </w:r>
      <w:r w:rsidRPr="00C41E92">
        <w:rPr>
          <w:b/>
        </w:rPr>
        <w:t>APA 7.0</w:t>
      </w:r>
      <w:r w:rsidRPr="00C41E92">
        <w:t xml:space="preserve"> kullanılmalıdır. </w:t>
      </w:r>
      <w:bookmarkEnd w:id="0"/>
      <w:r w:rsidRPr="00AC129C">
        <w:rPr>
          <w:rFonts w:eastAsia="Calibri"/>
          <w:color w:val="FF0000"/>
        </w:rPr>
        <w:t>(Biçimlendirmeyi bozmadan buraya ekleyebilirsiniz.)</w:t>
      </w:r>
    </w:p>
    <w:p w14:paraId="3993D458" w14:textId="6602E838" w:rsidR="005A5F47" w:rsidRPr="00C41E92" w:rsidRDefault="005A5F47" w:rsidP="00EE0A7D">
      <w:pPr>
        <w:pStyle w:val="HeadTitles"/>
        <w:rPr>
          <w:i/>
          <w:iCs/>
          <w:szCs w:val="20"/>
        </w:rPr>
      </w:pPr>
      <w:r w:rsidRPr="00C41E92">
        <w:t xml:space="preserve">Extended Abstract (Genişletilmiş Özet), </w:t>
      </w:r>
      <w:r w:rsidR="00FF7079">
        <w:rPr>
          <w:lang w:val="tr-TR"/>
        </w:rPr>
        <w:t xml:space="preserve">(Stil menüsünden </w:t>
      </w:r>
      <w:r w:rsidR="00EE0A7D">
        <w:rPr>
          <w:lang w:val="tr-TR"/>
        </w:rPr>
        <w:t>Head Title</w:t>
      </w:r>
      <w:r w:rsidR="00FF7079">
        <w:rPr>
          <w:lang w:val="tr-TR"/>
        </w:rPr>
        <w:t>’i seçiniz)</w:t>
      </w:r>
    </w:p>
    <w:p w14:paraId="7745FAFF" w14:textId="248FE3CD" w:rsidR="005A5F47" w:rsidRPr="00B726B3" w:rsidRDefault="005A5F47" w:rsidP="00EE0A7D">
      <w:pPr>
        <w:pStyle w:val="Abstract"/>
        <w:rPr>
          <w:rFonts w:eastAsia="Calibri"/>
          <w:iCs/>
          <w:color w:val="FF0000"/>
        </w:rPr>
      </w:pPr>
      <w:r w:rsidRPr="00C41E92">
        <w:t xml:space="preserve">Metin </w:t>
      </w:r>
      <w:r w:rsidR="00FF7079">
        <w:rPr>
          <w:color w:val="000000"/>
          <w:shd w:val="clear" w:color="auto" w:fill="FFFFFF"/>
        </w:rPr>
        <w:t>için stiller menüsünden “</w:t>
      </w:r>
      <w:r w:rsidR="00EE0A7D">
        <w:rPr>
          <w:color w:val="000000"/>
          <w:shd w:val="clear" w:color="auto" w:fill="FFFFFF"/>
        </w:rPr>
        <w:t>Abstract</w:t>
      </w:r>
      <w:r w:rsidR="00FF7079">
        <w:rPr>
          <w:color w:val="000000"/>
          <w:shd w:val="clear" w:color="auto" w:fill="FFFFFF"/>
        </w:rPr>
        <w:t>” stilini seçiniz</w:t>
      </w:r>
      <w:r w:rsidRPr="00C41E92">
        <w:rPr>
          <w:b/>
        </w:rPr>
        <w:t>, en az 500 en fazla 1000 kelime</w:t>
      </w:r>
      <w:r w:rsidRPr="00C41E92">
        <w:t xml:space="preserve"> olmak kaydı ile Türkçe yazılarda genişletilmiş İngilizce özet (Extended Abstract), İngilizce yazılarda ise Genişletilmiş Türkçe Özet olmalıdır. </w:t>
      </w:r>
      <w:r w:rsidRPr="00A65B9F">
        <w:t>Farklı bir dil kullanılmış ise o dilde de özet olmalıdır.</w:t>
      </w:r>
      <w:r>
        <w:t xml:space="preserve"> </w:t>
      </w:r>
      <w:r w:rsidRPr="00C41E92">
        <w:rPr>
          <w:rFonts w:eastAsia="Calibri"/>
          <w:iCs/>
          <w:color w:val="FF0000"/>
        </w:rPr>
        <w:t>(Biçimlendirmeyi bozmadan buraya ekleyebilirsiniz.)</w:t>
      </w:r>
    </w:p>
    <w:p w14:paraId="6D6E64EB" w14:textId="77777777" w:rsidR="005A5F47" w:rsidRPr="00AC129C" w:rsidRDefault="005A5F47" w:rsidP="00AC129C">
      <w:pPr>
        <w:rPr>
          <w:color w:val="FF0000"/>
        </w:rPr>
      </w:pPr>
      <w:r w:rsidRPr="00AC129C">
        <w:rPr>
          <w:color w:val="FF0000"/>
        </w:rPr>
        <w:t>*Şablon üzerindeki biçimlendirmenin bozulmamasına dikkat ediniz.</w:t>
      </w:r>
    </w:p>
    <w:p w14:paraId="50222943" w14:textId="1F5CE68D" w:rsidR="005A5F47" w:rsidRPr="00AC129C" w:rsidRDefault="005A5F47" w:rsidP="00576573">
      <w:pPr>
        <w:rPr>
          <w:color w:val="FF0000"/>
        </w:rPr>
      </w:pPr>
      <w:r w:rsidRPr="00AC129C">
        <w:rPr>
          <w:color w:val="FF0000"/>
        </w:rPr>
        <w:t xml:space="preserve">*Bu Şablona uygun olarak hazırlanmayan çalışmaların yayın değerlendirme süreci </w:t>
      </w:r>
      <w:r w:rsidRPr="00AC129C">
        <w:rPr>
          <w:color w:val="FF0000"/>
          <w:u w:val="single"/>
        </w:rPr>
        <w:t>başlatılmayacaktır.</w:t>
      </w:r>
    </w:p>
    <w:p w14:paraId="294FD359" w14:textId="44C2DD03" w:rsidR="00BA6697" w:rsidRPr="003050D4" w:rsidRDefault="003050D4" w:rsidP="004C0204">
      <w:pPr>
        <w:pStyle w:val="Balk1"/>
        <w:rPr>
          <w:lang w:val="tr-TR"/>
        </w:rPr>
      </w:pPr>
      <w:r>
        <w:rPr>
          <w:lang w:val="tr-TR"/>
        </w:rPr>
        <w:t>Kaynaklar</w:t>
      </w:r>
    </w:p>
    <w:p w14:paraId="1D1ED545" w14:textId="41FC893A" w:rsidR="006951F9" w:rsidRPr="003050D4" w:rsidRDefault="006951F9" w:rsidP="006951F9">
      <w:pPr>
        <w:pStyle w:val="Alnt"/>
        <w:rPr>
          <w:lang w:val="tr-TR"/>
        </w:rPr>
      </w:pPr>
      <w:r w:rsidRPr="003050D4">
        <w:rPr>
          <w:lang w:val="tr-TR"/>
        </w:rPr>
        <w:t xml:space="preserve">Agayon, A. J., R. Agayon, A. K., &amp; T. Pentang, J. (2022). Teachers in </w:t>
      </w:r>
      <w:r w:rsidR="00E31A16" w:rsidRPr="003050D4">
        <w:rPr>
          <w:lang w:val="tr-TR"/>
        </w:rPr>
        <w:t>the new normal</w:t>
      </w:r>
      <w:r w:rsidRPr="003050D4">
        <w:rPr>
          <w:lang w:val="tr-TR"/>
        </w:rPr>
        <w:t xml:space="preserve">: Challenges and </w:t>
      </w:r>
      <w:r w:rsidR="00E31A16" w:rsidRPr="003050D4">
        <w:rPr>
          <w:lang w:val="tr-TR"/>
        </w:rPr>
        <w:t>coping mechanisms in secondary schools</w:t>
      </w:r>
      <w:r w:rsidRPr="003050D4">
        <w:rPr>
          <w:lang w:val="tr-TR"/>
        </w:rPr>
        <w:t xml:space="preserve">. </w:t>
      </w:r>
      <w:r w:rsidRPr="003050D4">
        <w:rPr>
          <w:i/>
          <w:lang w:val="tr-TR"/>
        </w:rPr>
        <w:t>Journal of Humanities and Education Development</w:t>
      </w:r>
      <w:r w:rsidRPr="003050D4">
        <w:rPr>
          <w:lang w:val="tr-TR"/>
        </w:rPr>
        <w:t xml:space="preserve">, </w:t>
      </w:r>
      <w:r w:rsidRPr="003050D4">
        <w:rPr>
          <w:i/>
          <w:lang w:val="tr-TR"/>
        </w:rPr>
        <w:t>4</w:t>
      </w:r>
      <w:r w:rsidRPr="003050D4">
        <w:rPr>
          <w:lang w:val="tr-TR"/>
        </w:rPr>
        <w:t xml:space="preserve">(1), 67–75. </w:t>
      </w:r>
      <w:hyperlink r:id="rId11" w:history="1">
        <w:r w:rsidRPr="003050D4">
          <w:rPr>
            <w:rStyle w:val="Kpr"/>
            <w:color w:val="000000" w:themeColor="text1"/>
            <w:u w:val="none"/>
            <w:lang w:val="tr-TR"/>
          </w:rPr>
          <w:t>https://doi.org/10.22161/jhed.4.1.8</w:t>
        </w:r>
      </w:hyperlink>
      <w:r w:rsidR="000F3761">
        <w:rPr>
          <w:rStyle w:val="Kpr"/>
          <w:color w:val="000000" w:themeColor="text1"/>
          <w:u w:val="none"/>
          <w:lang w:val="tr-TR"/>
        </w:rPr>
        <w:t xml:space="preserve"> </w:t>
      </w:r>
    </w:p>
    <w:p w14:paraId="42E871B0" w14:textId="5115D4B3" w:rsidR="006951F9" w:rsidRPr="003050D4" w:rsidRDefault="006951F9" w:rsidP="006951F9">
      <w:pPr>
        <w:pStyle w:val="Alnt"/>
        <w:rPr>
          <w:lang w:val="tr-TR"/>
        </w:rPr>
      </w:pPr>
      <w:r w:rsidRPr="003050D4">
        <w:rPr>
          <w:lang w:val="tr-TR"/>
        </w:rPr>
        <w:t xml:space="preserve">Akkaya, B. (2021). The </w:t>
      </w:r>
      <w:r w:rsidR="00E31A16" w:rsidRPr="003050D4">
        <w:rPr>
          <w:lang w:val="tr-TR"/>
        </w:rPr>
        <w:t>analysis of metaphorical perceptions of teachers related to teachers in terms of teaching approaches they adopt</w:t>
      </w:r>
      <w:r w:rsidRPr="003050D4">
        <w:rPr>
          <w:lang w:val="tr-TR"/>
        </w:rPr>
        <w:t xml:space="preserve">. </w:t>
      </w:r>
      <w:r w:rsidRPr="003050D4">
        <w:rPr>
          <w:i/>
          <w:lang w:val="tr-TR"/>
        </w:rPr>
        <w:t>Journal of Education and Learning</w:t>
      </w:r>
      <w:r w:rsidRPr="003050D4">
        <w:rPr>
          <w:lang w:val="tr-TR"/>
        </w:rPr>
        <w:t xml:space="preserve">, </w:t>
      </w:r>
      <w:r w:rsidRPr="003050D4">
        <w:rPr>
          <w:i/>
          <w:lang w:val="tr-TR"/>
        </w:rPr>
        <w:t>10</w:t>
      </w:r>
      <w:r w:rsidRPr="003050D4">
        <w:rPr>
          <w:lang w:val="tr-TR"/>
        </w:rPr>
        <w:t xml:space="preserve">(5), 109. </w:t>
      </w:r>
      <w:hyperlink r:id="rId12" w:history="1">
        <w:r w:rsidRPr="003050D4">
          <w:rPr>
            <w:rStyle w:val="Kpr"/>
            <w:color w:val="000000" w:themeColor="text1"/>
            <w:u w:val="none"/>
            <w:lang w:val="tr-TR"/>
          </w:rPr>
          <w:t>https://doi.org/10.5539/jel.v10n5p109</w:t>
        </w:r>
      </w:hyperlink>
    </w:p>
    <w:p w14:paraId="6A5E3A90" w14:textId="1DB19DEB" w:rsidR="006951F9" w:rsidRDefault="006951F9" w:rsidP="006951F9">
      <w:pPr>
        <w:pStyle w:val="Alnt"/>
        <w:rPr>
          <w:rStyle w:val="Kpr"/>
          <w:color w:val="000000" w:themeColor="text1"/>
          <w:u w:val="none"/>
          <w:lang w:val="tr-TR"/>
        </w:rPr>
      </w:pPr>
      <w:r w:rsidRPr="003050D4">
        <w:rPr>
          <w:lang w:val="tr-TR"/>
        </w:rPr>
        <w:t xml:space="preserve">Al-Hasnawi, A. (2007). A </w:t>
      </w:r>
      <w:r w:rsidR="00E31A16" w:rsidRPr="003050D4">
        <w:rPr>
          <w:lang w:val="tr-TR"/>
        </w:rPr>
        <w:t>cognitive approach to translating metaphor</w:t>
      </w:r>
      <w:r w:rsidRPr="003050D4">
        <w:rPr>
          <w:lang w:val="tr-TR"/>
        </w:rPr>
        <w:t xml:space="preserve">. </w:t>
      </w:r>
      <w:r w:rsidRPr="003050D4">
        <w:rPr>
          <w:i/>
          <w:lang w:val="tr-TR"/>
        </w:rPr>
        <w:t>Translation Journal</w:t>
      </w:r>
      <w:r w:rsidRPr="003050D4">
        <w:rPr>
          <w:lang w:val="tr-TR"/>
        </w:rPr>
        <w:t xml:space="preserve">, </w:t>
      </w:r>
      <w:r w:rsidRPr="003050D4">
        <w:rPr>
          <w:i/>
          <w:lang w:val="tr-TR"/>
        </w:rPr>
        <w:t>11</w:t>
      </w:r>
      <w:r w:rsidRPr="003050D4">
        <w:rPr>
          <w:lang w:val="tr-TR"/>
        </w:rPr>
        <w:t xml:space="preserve">(3). Retrieved from </w:t>
      </w:r>
      <w:hyperlink r:id="rId13" w:history="1">
        <w:r w:rsidRPr="003050D4">
          <w:rPr>
            <w:rStyle w:val="Kpr"/>
            <w:color w:val="000000" w:themeColor="text1"/>
            <w:u w:val="none"/>
            <w:lang w:val="tr-TR"/>
          </w:rPr>
          <w:t>https://translationjournal.net/journal/41metaphor.htm</w:t>
        </w:r>
      </w:hyperlink>
    </w:p>
    <w:p w14:paraId="3ED3BF8E" w14:textId="03E6E6B5" w:rsidR="00576573" w:rsidRPr="005A5F47" w:rsidRDefault="00576573" w:rsidP="005A5F47">
      <w:pPr>
        <w:pStyle w:val="Balk1"/>
        <w:rPr>
          <w:lang w:val="tr-TR"/>
        </w:rPr>
      </w:pPr>
      <w:r w:rsidRPr="005A5F47">
        <w:t>Kaynak Yazım Örneği</w:t>
      </w:r>
      <w:r w:rsidR="00EE0A7D">
        <w:t xml:space="preserve"> </w:t>
      </w:r>
      <w:r w:rsidR="00EE0A7D" w:rsidRPr="00EE0A7D">
        <w:rPr>
          <w:color w:val="FF0000"/>
        </w:rPr>
        <w:t>(Kaynakçayı APA 7’ye göre yazdıktan sonra stiller başlığı altında “References” stilini seçiniz).</w:t>
      </w:r>
    </w:p>
    <w:p w14:paraId="5C688373" w14:textId="033C17A8" w:rsidR="00576573" w:rsidRPr="005A5F47" w:rsidRDefault="00576573" w:rsidP="005A5F47">
      <w:pPr>
        <w:pStyle w:val="Balk2"/>
      </w:pPr>
      <w:r w:rsidRPr="005A5F47">
        <w:t>Süreli Yayınlar</w:t>
      </w:r>
    </w:p>
    <w:p w14:paraId="3087BCF4" w14:textId="2ED278BD" w:rsidR="00576573" w:rsidRPr="005A5F47" w:rsidRDefault="00576573" w:rsidP="005A5F47">
      <w:pPr>
        <w:jc w:val="left"/>
      </w:pPr>
      <w:r w:rsidRPr="005A5F47">
        <w:rPr>
          <w:rStyle w:val="Balk3Char"/>
        </w:rPr>
        <w:t>1. DOI numarası olan dergi makalesi</w:t>
      </w:r>
      <w:r w:rsidRPr="005A5F47">
        <w:br/>
      </w:r>
      <w:r w:rsidRPr="005A5F47">
        <w:rPr>
          <w:rStyle w:val="AlntChar"/>
        </w:rPr>
        <w:t>McCauley, S. M., &amp; Christiansen, M. H. (2019). Language learning as language use: A cross-linguistic model of child language development. Psychological Review, 126(1), 1-51. http://doi.org/10.1037/rev0000126 </w:t>
      </w:r>
      <w:r w:rsidRPr="005A5F47">
        <w:rPr>
          <w:rStyle w:val="AlntChar"/>
        </w:rPr>
        <w:br/>
        <w:t>Parenteziçi alıntı: (McCauley ve Christiansen, 2019)</w:t>
      </w:r>
      <w:r w:rsidRPr="005A5F47">
        <w:rPr>
          <w:rStyle w:val="AlntChar"/>
        </w:rPr>
        <w:br/>
      </w:r>
      <w:r w:rsidR="005A5F47" w:rsidRPr="005A5F47">
        <w:rPr>
          <w:rStyle w:val="AlntChar"/>
        </w:rPr>
        <w:t>Anlatı</w:t>
      </w:r>
      <w:r w:rsidRPr="005A5F47">
        <w:rPr>
          <w:rStyle w:val="AlntChar"/>
        </w:rPr>
        <w:t xml:space="preserve"> alıntı: McCauley ve Christiansen (2019)</w:t>
      </w:r>
    </w:p>
    <w:p w14:paraId="62689EE0" w14:textId="77777777" w:rsidR="00576573" w:rsidRPr="005A5F47" w:rsidRDefault="00576573" w:rsidP="005A5F47">
      <w:pPr>
        <w:jc w:val="left"/>
      </w:pPr>
      <w:r w:rsidRPr="005A5F47">
        <w:rPr>
          <w:rStyle w:val="Balk3Char"/>
        </w:rPr>
        <w:t>2. Veritabanı olmayan URL’li, DOI’siz dergi makalesi</w:t>
      </w:r>
      <w:r w:rsidRPr="005A5F47">
        <w:br/>
        <w:t>Chambers, D. W., &amp; Turnbull, D. (1989). Science worlds: An integrated approach to social studies of science teaching. </w:t>
      </w:r>
      <w:r w:rsidRPr="005A5F47">
        <w:rPr>
          <w:i/>
          <w:iCs/>
        </w:rPr>
        <w:t>Social Studies of Science, 19</w:t>
      </w:r>
      <w:r w:rsidRPr="005A5F47">
        <w:t>(1), 155–179. </w:t>
      </w:r>
      <w:hyperlink r:id="rId14" w:history="1">
        <w:r w:rsidRPr="005A5F47">
          <w:rPr>
            <w:rStyle w:val="Kpr"/>
            <w:rFonts w:cs="Poppins"/>
            <w:color w:val="0B58A2"/>
            <w:sz w:val="21"/>
            <w:szCs w:val="21"/>
          </w:rPr>
          <w:t>http://www.jstor.org/stable/285047</w:t>
        </w:r>
      </w:hyperlink>
      <w:r w:rsidRPr="005A5F47">
        <w:t> </w:t>
      </w:r>
      <w:r w:rsidRPr="005A5F47">
        <w:br/>
        <w:t>Parenteziçi alıntı: (Chambers ve Turnbull, 1989)</w:t>
      </w:r>
      <w:r w:rsidRPr="005A5F47">
        <w:br/>
        <w:t>Anlatı alıntı: Chambers ve Turnbull (1989)</w:t>
      </w:r>
    </w:p>
    <w:p w14:paraId="62A3E717" w14:textId="77777777" w:rsidR="00576573" w:rsidRPr="005A5F47" w:rsidRDefault="00576573" w:rsidP="005A5F47">
      <w:pPr>
        <w:jc w:val="left"/>
      </w:pPr>
      <w:r w:rsidRPr="005A5F47">
        <w:rPr>
          <w:rStyle w:val="Balk3Char"/>
        </w:rPr>
        <w:t>3. Çoğu akademik araştırma veritabanından veya basılı versiyondan, DOI'si olmayan dergi, dergi veya gazete makalesi</w:t>
      </w:r>
      <w:r w:rsidRPr="005A5F47">
        <w:br/>
        <w:t>Anderson, M. (2018). Getting consistent with consequences. </w:t>
      </w:r>
      <w:r w:rsidRPr="005A5F47">
        <w:rPr>
          <w:i/>
          <w:iCs/>
        </w:rPr>
        <w:t>Educational Leadership, 76</w:t>
      </w:r>
      <w:r w:rsidRPr="005A5F47">
        <w:t>(1), 26-33.</w:t>
      </w:r>
      <w:r w:rsidRPr="005A5F47">
        <w:br/>
        <w:t>Goldman, C. (2018, Kasım 28). The complicated calibration of love, especially in adoption. </w:t>
      </w:r>
      <w:r w:rsidRPr="005A5F47">
        <w:rPr>
          <w:i/>
          <w:iCs/>
        </w:rPr>
        <w:t>Chicago Tribune.</w:t>
      </w:r>
      <w:r w:rsidRPr="005A5F47">
        <w:br/>
        <w:t>Parenteziçi alıntı: (Anderson, 2018; Goldman, 2018)</w:t>
      </w:r>
      <w:r w:rsidRPr="005A5F47">
        <w:br/>
        <w:t>Anlatı alıntı: Anderson (2018) ve Goldman (2018)</w:t>
      </w:r>
    </w:p>
    <w:p w14:paraId="44E556E4" w14:textId="77777777" w:rsidR="00576573" w:rsidRPr="005A5F47" w:rsidRDefault="00576573" w:rsidP="005A5F47">
      <w:pPr>
        <w:jc w:val="left"/>
      </w:pPr>
      <w:r w:rsidRPr="005A5F47">
        <w:rPr>
          <w:rStyle w:val="Balk3Char"/>
        </w:rPr>
        <w:t>4. DOI'li, 21 veya daha fazla yazarlı dergi makalesi</w:t>
      </w:r>
      <w:r w:rsidRPr="005A5F47">
        <w:br/>
        <w:t xml:space="preserve">Bozkurt, A., Jung, I., Xiao, J., Vladimirschi, V., Schuwer, R., Egorov, G., Lambert, S., Al-Freih, M., </w:t>
      </w:r>
      <w:r w:rsidRPr="005A5F47">
        <w:lastRenderedPageBreak/>
        <w:t>Pete, J., Olcott, Jr., D., Rodes, V., Aranciaga, I., Bali, M., Alvarez, A. J., Roberts, J., Pazurek, A., Raffaghelli, J. E., Panagiotou, N., de Coëtlogon, P., Shahadu, S., Brown, M., Asino, T. I., Tumwesige, J., Ramírez Reyes, T., Barrios Ipenza, E., Ossiannilsson, … Paskevicius, M. (2020). A global outlook to the interruption of education due to COVID-19 pandemic: Navigating in a time of uncertainty and crisis. </w:t>
      </w:r>
      <w:r w:rsidRPr="005A5F47">
        <w:rPr>
          <w:i/>
          <w:iCs/>
        </w:rPr>
        <w:t>Asian Journal of Distance Education, 15</w:t>
      </w:r>
      <w:r w:rsidRPr="005A5F47">
        <w:t>(1), 1-126. </w:t>
      </w:r>
      <w:hyperlink r:id="rId15" w:history="1">
        <w:r w:rsidRPr="005A5F47">
          <w:rPr>
            <w:rStyle w:val="Kpr"/>
            <w:rFonts w:cs="Poppins"/>
            <w:color w:val="0B58A2"/>
            <w:sz w:val="21"/>
            <w:szCs w:val="21"/>
          </w:rPr>
          <w:t>http://doi.org/10.5281/zenodo.3878572</w:t>
        </w:r>
      </w:hyperlink>
      <w:r w:rsidRPr="005A5F47">
        <w:t> </w:t>
      </w:r>
      <w:r w:rsidRPr="005A5F47">
        <w:br/>
        <w:t>Parenteziçi alıntı: (Bozkurt vd., 2020)</w:t>
      </w:r>
      <w:r w:rsidRPr="005A5F47">
        <w:br/>
        <w:t>Anlatı alıntı: Bozkurt vd., (2020)</w:t>
      </w:r>
    </w:p>
    <w:p w14:paraId="2D433422" w14:textId="77777777" w:rsidR="00576573" w:rsidRPr="005A5F47" w:rsidRDefault="00576573" w:rsidP="005A5F47">
      <w:pPr>
        <w:jc w:val="left"/>
      </w:pPr>
      <w:r w:rsidRPr="005A5F47">
        <w:rPr>
          <w:rStyle w:val="Balk3Char"/>
        </w:rPr>
        <w:t>5. DOI'li dergi makalesi, bireysel ve grup yazarların birleşimi</w:t>
      </w:r>
      <w:r w:rsidRPr="005A5F47">
        <w:br/>
        <w:t>De Vries, R., Neiuwenhuijze, M., Buitendijk, S. E., &amp; the members of Midwifery Science Work Group. (2013). What does it take to have a strong and independent profession of midwifery? Lessons from the Netherlands. </w:t>
      </w:r>
      <w:r w:rsidRPr="005A5F47">
        <w:rPr>
          <w:i/>
          <w:iCs/>
        </w:rPr>
        <w:t>Midwifery, 29</w:t>
      </w:r>
      <w:r w:rsidRPr="005A5F47">
        <w:t>(10), 1122-1128. </w:t>
      </w:r>
      <w:hyperlink r:id="rId16" w:history="1">
        <w:r w:rsidRPr="005A5F47">
          <w:rPr>
            <w:rStyle w:val="Kpr"/>
            <w:rFonts w:cs="Poppins"/>
            <w:color w:val="0B58A2"/>
            <w:sz w:val="21"/>
            <w:szCs w:val="21"/>
          </w:rPr>
          <w:t>http://doi.org/10.1016/j.midw.2013.07.007</w:t>
        </w:r>
      </w:hyperlink>
      <w:r w:rsidRPr="005A5F47">
        <w:t> </w:t>
      </w:r>
      <w:r w:rsidRPr="005A5F47">
        <w:br/>
        <w:t>Parenteziçi alıntı: (De Vries at al., 2013)</w:t>
      </w:r>
      <w:r w:rsidRPr="005A5F47">
        <w:br/>
        <w:t>Anlatı alıntı: De Vries at al., (2013)</w:t>
      </w:r>
    </w:p>
    <w:p w14:paraId="0633C4E3" w14:textId="77777777" w:rsidR="00576573" w:rsidRPr="005A5F47" w:rsidRDefault="00576573" w:rsidP="005A5F47">
      <w:pPr>
        <w:jc w:val="left"/>
      </w:pPr>
      <w:r w:rsidRPr="005A5F47">
        <w:rPr>
          <w:rStyle w:val="Balk3Char"/>
        </w:rPr>
        <w:t>6. Makale numarası veya eLocator içeren dergi makalesi</w:t>
      </w:r>
      <w:r w:rsidRPr="005A5F47">
        <w:br/>
        <w:t>Clabough, J. (2021). Using thematic social studies teaching to explore the civil rights movement. </w:t>
      </w:r>
      <w:r w:rsidRPr="005A5F47">
        <w:rPr>
          <w:i/>
          <w:iCs/>
        </w:rPr>
        <w:t>The Social Studies, 112</w:t>
      </w:r>
      <w:r w:rsidRPr="005A5F47">
        <w:t>(4), 177-189. EJ1297598. </w:t>
      </w:r>
      <w:hyperlink r:id="rId17" w:history="1">
        <w:r w:rsidRPr="005A5F47">
          <w:rPr>
            <w:rStyle w:val="Kpr"/>
            <w:rFonts w:cs="Poppins"/>
            <w:color w:val="0B58A2"/>
            <w:sz w:val="21"/>
            <w:szCs w:val="21"/>
          </w:rPr>
          <w:t>http://dx.doi.org/10.1080/00377996.2021.1871579</w:t>
        </w:r>
      </w:hyperlink>
      <w:r w:rsidRPr="005A5F47">
        <w:t> </w:t>
      </w:r>
      <w:r w:rsidRPr="005A5F47">
        <w:br/>
        <w:t>Parenteziçi alıntı: (Clabough, 2013)</w:t>
      </w:r>
      <w:r w:rsidRPr="005A5F47">
        <w:br/>
        <w:t>Anlatı alıntı: Clabough (2013)</w:t>
      </w:r>
    </w:p>
    <w:p w14:paraId="0B14E55A" w14:textId="77777777" w:rsidR="00576573" w:rsidRPr="005A5F47" w:rsidRDefault="00576573" w:rsidP="005A5F47">
      <w:pPr>
        <w:jc w:val="left"/>
      </w:pPr>
      <w:r w:rsidRPr="005A5F47">
        <w:rPr>
          <w:rStyle w:val="Balk3Char"/>
        </w:rPr>
        <w:t>7. Baskıda dergi makalesi</w:t>
      </w:r>
      <w:r w:rsidRPr="005A5F47">
        <w:br/>
        <w:t>Pachur, t., &amp; Scheibehenne, B. (in press). Unpacking buyer-seller differences in valuation from experience: A cognitive modeling approach. </w:t>
      </w:r>
      <w:r w:rsidRPr="005A5F47">
        <w:rPr>
          <w:i/>
          <w:iCs/>
        </w:rPr>
        <w:t>Psychonomic Bulletin &amp; Review.</w:t>
      </w:r>
      <w:r w:rsidRPr="005A5F47">
        <w:br/>
        <w:t>Parenteziçi alıntı: (Pachur &amp; Scheibehenne, in press)</w:t>
      </w:r>
      <w:r w:rsidRPr="005A5F47">
        <w:br/>
        <w:t>Anlatı alıntı: Pachur &amp; Scheibehenne (in press)</w:t>
      </w:r>
    </w:p>
    <w:p w14:paraId="3BAF599B" w14:textId="77777777" w:rsidR="00576573" w:rsidRPr="005A5F47" w:rsidRDefault="00576573" w:rsidP="005A5F47">
      <w:pPr>
        <w:jc w:val="left"/>
      </w:pPr>
      <w:r w:rsidRPr="005A5F47">
        <w:rPr>
          <w:rStyle w:val="Balk3Char"/>
        </w:rPr>
        <w:t>8. Başka bir dilde yayınlanan dergi makalesi</w:t>
      </w:r>
      <w:r w:rsidRPr="005A5F47">
        <w:br/>
        <w:t>Yaylak, E. (2020). Sosyal bilgiler öğretmenlerinin öğretim yöntem ve uygulamalarının değerlendirilmesi. [Evaluation of Teaching Methods and Practices of Social Studies Teachers]. </w:t>
      </w:r>
      <w:r w:rsidRPr="005A5F47">
        <w:rPr>
          <w:i/>
          <w:iCs/>
        </w:rPr>
        <w:t>Ahi Evran Üniversitesi Sosyal Bilimler Enstitüsü Dergisi, 6</w:t>
      </w:r>
      <w:r w:rsidRPr="005A5F47">
        <w:t>(1), 187-205. </w:t>
      </w:r>
      <w:hyperlink r:id="rId18" w:history="1">
        <w:r w:rsidRPr="005A5F47">
          <w:rPr>
            <w:rStyle w:val="Kpr"/>
            <w:rFonts w:cs="Poppins"/>
            <w:color w:val="0B58A2"/>
            <w:sz w:val="21"/>
            <w:szCs w:val="21"/>
          </w:rPr>
          <w:t>http://doi.org/10.31592/aeusbed.621664</w:t>
        </w:r>
      </w:hyperlink>
      <w:r w:rsidRPr="005A5F47">
        <w:t> </w:t>
      </w:r>
      <w:r w:rsidRPr="005A5F47">
        <w:br/>
        <w:t>Parenteziçi alıntı: (Yaylak, 2020)</w:t>
      </w:r>
      <w:r w:rsidRPr="005A5F47">
        <w:br/>
        <w:t>Anlatı alıntı: Yaylak (2020)</w:t>
      </w:r>
    </w:p>
    <w:p w14:paraId="510D53B8" w14:textId="77777777" w:rsidR="00576573" w:rsidRPr="005A5F47" w:rsidRDefault="00576573" w:rsidP="005A5F47">
      <w:pPr>
        <w:jc w:val="left"/>
      </w:pPr>
      <w:r w:rsidRPr="005A5F47">
        <w:rPr>
          <w:rStyle w:val="Balk3Char"/>
        </w:rPr>
        <w:t>9. Çeviride yeniden yayınlanan dergi makalesi</w:t>
      </w:r>
      <w:r w:rsidRPr="005A5F47">
        <w:br/>
        <w:t>Piaget, J. (1972). Intellectual evolution from adolescence to adulthood (J. Bliss &amp; H. Furth, Trans.). </w:t>
      </w:r>
      <w:r w:rsidRPr="005A5F47">
        <w:rPr>
          <w:i/>
          <w:iCs/>
        </w:rPr>
        <w:t>Human Development, 15</w:t>
      </w:r>
      <w:r w:rsidRPr="005A5F47">
        <w:t>(1), 1-12. </w:t>
      </w:r>
      <w:hyperlink r:id="rId19" w:history="1">
        <w:r w:rsidRPr="005A5F47">
          <w:rPr>
            <w:rStyle w:val="Kpr"/>
            <w:rFonts w:cs="Poppins"/>
            <w:color w:val="0B58A2"/>
            <w:sz w:val="21"/>
            <w:szCs w:val="21"/>
          </w:rPr>
          <w:t>http://doi.org/10.1159/000271225</w:t>
        </w:r>
      </w:hyperlink>
      <w:r w:rsidRPr="005A5F47">
        <w:t> (Original work published 1970)</w:t>
      </w:r>
      <w:r w:rsidRPr="005A5F47">
        <w:br/>
        <w:t>Parenteziçi alıntı: (Piaget, 1970/1972)</w:t>
      </w:r>
      <w:r w:rsidRPr="005A5F47">
        <w:br/>
        <w:t>Anlatı alıntı: Piaget (1970/1972)</w:t>
      </w:r>
    </w:p>
    <w:p w14:paraId="07518D78" w14:textId="3DDAB146" w:rsidR="00576573" w:rsidRPr="005A5F47" w:rsidRDefault="00576573" w:rsidP="005A5F47">
      <w:pPr>
        <w:jc w:val="left"/>
      </w:pPr>
      <w:r w:rsidRPr="005A5F47">
        <w:rPr>
          <w:rStyle w:val="Balk3Char"/>
        </w:rPr>
        <w:t>10. Bir dergide özel bölüm veya özel sayı</w:t>
      </w:r>
      <w:r w:rsidRPr="005A5F47">
        <w:br/>
        <w:t>Lilienfeld, S. O. (Ed.). (2018). Heterodox issues in psychology [Özel bölüm]. Archives of Scientific Psychology, 6(19, 51-104.</w:t>
      </w:r>
      <w:r w:rsidRPr="005A5F47">
        <w:br/>
        <w:t>McDaniel, s. H., Salas, E., &amp; Kazak, A. E. (Eds). (2018). The science of teamwork [Özel sayı]. </w:t>
      </w:r>
      <w:r w:rsidRPr="005A5F47">
        <w:rPr>
          <w:i/>
          <w:iCs/>
        </w:rPr>
        <w:t>American Psychologist, 73</w:t>
      </w:r>
      <w:r w:rsidRPr="005A5F47">
        <w:t>(4).</w:t>
      </w:r>
      <w:r w:rsidRPr="005A5F47">
        <w:br/>
        <w:t>Parenteziçi alıntı: (Lilienfeld, 2018; McDaniel vd., 2018)</w:t>
      </w:r>
      <w:r w:rsidRPr="005A5F47">
        <w:br/>
        <w:t>Anlatı alıntı: Lilienfeld (2018) ve McDaniel vd. (2018)</w:t>
      </w:r>
      <w:r w:rsidRPr="005A5F47">
        <w:br/>
      </w:r>
      <w:r w:rsidRPr="005A5F47">
        <w:br/>
      </w:r>
      <w:r w:rsidRPr="005A5F47">
        <w:rPr>
          <w:rStyle w:val="Balk2Char"/>
        </w:rPr>
        <w:t>Kitap ve Referans Çalışmaları</w:t>
      </w:r>
    </w:p>
    <w:p w14:paraId="5EACDCFB" w14:textId="77777777" w:rsidR="00576573" w:rsidRPr="005A5F47" w:rsidRDefault="00576573" w:rsidP="005A5F47">
      <w:pPr>
        <w:jc w:val="left"/>
      </w:pPr>
      <w:r w:rsidRPr="005A5F47">
        <w:rPr>
          <w:rStyle w:val="Balk3Char"/>
        </w:rPr>
        <w:t>11. DOI numaralı kitap</w:t>
      </w:r>
      <w:r w:rsidRPr="005A5F47">
        <w:br/>
        <w:t>Brown, L. S. (2019).</w:t>
      </w:r>
      <w:r w:rsidRPr="005A5F47">
        <w:rPr>
          <w:i/>
          <w:iCs/>
        </w:rPr>
        <w:t> Feminist therapy</w:t>
      </w:r>
      <w:r w:rsidRPr="005A5F47">
        <w:t> (2nd ed.). American Psychological Association. </w:t>
      </w:r>
      <w:hyperlink r:id="rId20" w:history="1">
        <w:r w:rsidRPr="005A5F47">
          <w:rPr>
            <w:rStyle w:val="Kpr"/>
            <w:rFonts w:cs="Poppins"/>
            <w:color w:val="0B58A2"/>
            <w:sz w:val="21"/>
            <w:szCs w:val="21"/>
          </w:rPr>
          <w:t>http://doi.org/10.1037/0000092-000</w:t>
        </w:r>
      </w:hyperlink>
      <w:r w:rsidRPr="005A5F47">
        <w:t> </w:t>
      </w:r>
      <w:r w:rsidRPr="005A5F47">
        <w:br/>
      </w:r>
      <w:r w:rsidRPr="005A5F47">
        <w:lastRenderedPageBreak/>
        <w:t>Parenteziçi alıntı: (Brown, 2018)</w:t>
      </w:r>
      <w:r w:rsidRPr="005A5F47">
        <w:br/>
        <w:t>Anlatı alıntı: Brown (2018)</w:t>
      </w:r>
    </w:p>
    <w:p w14:paraId="28A65F5A" w14:textId="77777777" w:rsidR="00576573" w:rsidRPr="005A5F47" w:rsidRDefault="00576573" w:rsidP="005A5F47">
      <w:pPr>
        <w:jc w:val="left"/>
      </w:pPr>
      <w:r w:rsidRPr="005A5F47">
        <w:rPr>
          <w:rStyle w:val="Balk3Char"/>
        </w:rPr>
        <w:t>12. Çoğu akademik araştırma veri tabanından veya basılı versiyondan DOI olmadan yazılmış kitap</w:t>
      </w:r>
      <w:r w:rsidRPr="005A5F47">
        <w:br/>
        <w:t>Burgess, R. (2019).</w:t>
      </w:r>
      <w:r w:rsidRPr="005A5F47">
        <w:rPr>
          <w:i/>
          <w:iCs/>
        </w:rPr>
        <w:t> Rethinking global health: Framework of power.</w:t>
      </w:r>
      <w:r w:rsidRPr="005A5F47">
        <w:t> Routledge.</w:t>
      </w:r>
      <w:r w:rsidRPr="005A5F47">
        <w:br/>
        <w:t>Parenteziçi alıntı: (Brown, 2018)</w:t>
      </w:r>
      <w:r w:rsidRPr="005A5F47">
        <w:br/>
        <w:t>Anlatı alıntı: Brown (2018)</w:t>
      </w:r>
    </w:p>
    <w:p w14:paraId="11A4D531" w14:textId="77777777" w:rsidR="00576573" w:rsidRPr="005A5F47" w:rsidRDefault="00576573" w:rsidP="005A5F47">
      <w:pPr>
        <w:jc w:val="left"/>
      </w:pPr>
      <w:r w:rsidRPr="005A5F47">
        <w:rPr>
          <w:rStyle w:val="Balk3Char"/>
        </w:rPr>
        <w:t>13. Çoğu akademik araştırma veri tabanından veya basılı versiyondan DOI numarası olmayan editörlü kitap</w:t>
      </w:r>
      <w:r w:rsidRPr="005A5F47">
        <w:br/>
        <w:t>Hacker Hughes, J. (Ed.). (2017). </w:t>
      </w:r>
      <w:r w:rsidRPr="005A5F47">
        <w:rPr>
          <w:i/>
          <w:iCs/>
        </w:rPr>
        <w:t>Military veteran psychological health and social care: Contemporary approaches. </w:t>
      </w:r>
      <w:r w:rsidRPr="005A5F47">
        <w:t>Routledge.</w:t>
      </w:r>
      <w:r w:rsidRPr="005A5F47">
        <w:br/>
        <w:t>Parenteziçi alıntı: (Hacker Hughes, 2017)</w:t>
      </w:r>
      <w:r w:rsidRPr="005A5F47">
        <w:br/>
        <w:t>Anlatı alıntı: Hacker Hughes (2017)</w:t>
      </w:r>
    </w:p>
    <w:p w14:paraId="7B9375F0" w14:textId="77777777" w:rsidR="00576573" w:rsidRPr="005A5F47" w:rsidRDefault="00576573" w:rsidP="005A5F47">
      <w:pPr>
        <w:jc w:val="left"/>
      </w:pPr>
      <w:r w:rsidRPr="005A5F47">
        <w:rPr>
          <w:rStyle w:val="Balk3Char"/>
        </w:rPr>
        <w:t>14. Editörlü e-kitap (ör. Kindle kitabı) veya DOI’si olmayan, veritabanı olmayan bir URL’ye sahip sesli kitap</w:t>
      </w:r>
      <w:r w:rsidRPr="005A5F47">
        <w:br/>
        <w:t>Pridham, K. F., Limbo, R,. &amp; Schroeder, M. (Eds.). (2018). </w:t>
      </w:r>
      <w:r w:rsidRPr="005A5F47">
        <w:rPr>
          <w:i/>
          <w:iCs/>
        </w:rPr>
        <w:t>Guided participation in pediatric nursing practice: Relationship-based teaching and learning with parents, children, and adolescents.</w:t>
      </w:r>
      <w:r w:rsidRPr="005A5F47">
        <w:t> Springer Publishing Cpmpany. </w:t>
      </w:r>
      <w:hyperlink r:id="rId21" w:history="1">
        <w:r w:rsidRPr="005A5F47">
          <w:rPr>
            <w:rStyle w:val="Kpr"/>
            <w:rFonts w:cs="Poppins"/>
            <w:color w:val="0B58A2"/>
            <w:sz w:val="21"/>
            <w:szCs w:val="21"/>
          </w:rPr>
          <w:t>http://a.co/0IAiVgt</w:t>
        </w:r>
      </w:hyperlink>
      <w:r w:rsidRPr="005A5F47">
        <w:t> </w:t>
      </w:r>
      <w:r w:rsidRPr="005A5F47">
        <w:br/>
        <w:t>Parenteziçi alıntı: (Pridham vd., 2018)</w:t>
      </w:r>
      <w:r w:rsidRPr="005A5F47">
        <w:br/>
        <w:t>Anlatı alıntı: Pridham vd. (2018)</w:t>
      </w:r>
    </w:p>
    <w:p w14:paraId="632080C8" w14:textId="3191B508" w:rsidR="00576573" w:rsidRPr="005A5F47" w:rsidRDefault="00576573" w:rsidP="005A5F47">
      <w:pPr>
        <w:jc w:val="left"/>
      </w:pPr>
      <w:r w:rsidRPr="005A5F47">
        <w:rPr>
          <w:rStyle w:val="Balk3Char"/>
        </w:rPr>
        <w:t>15. Kitap serileri</w:t>
      </w:r>
      <w:r w:rsidRPr="005A5F47">
        <w:br/>
        <w:t>Turan, R., Sünbül, A. M., &amp; Akdağ, H. (Eds.). (2014). </w:t>
      </w:r>
      <w:r w:rsidRPr="005A5F47">
        <w:rPr>
          <w:i/>
          <w:iCs/>
        </w:rPr>
        <w:t>Sosyal bilgiler öğretiminde alternatif yaklaşımlar – 1.</w:t>
      </w:r>
      <w:r w:rsidRPr="005A5F47">
        <w:t> [Alternative approaches in social studies teaching]. Ankara: Pegem Akademi.</w:t>
      </w:r>
      <w:r w:rsidRPr="005A5F47">
        <w:br/>
        <w:t>Parenteziçi alıntı: (Turan vd., 2014)</w:t>
      </w:r>
      <w:r w:rsidRPr="005A5F47">
        <w:br/>
        <w:t>Anlatı alıntı: Turan vd. (2014)</w:t>
      </w:r>
      <w:r w:rsidRPr="005A5F47">
        <w:br/>
      </w:r>
      <w:r w:rsidRPr="005A5F47">
        <w:br/>
      </w:r>
      <w:r w:rsidRPr="005A5F47">
        <w:rPr>
          <w:rStyle w:val="Balk2Char"/>
        </w:rPr>
        <w:t>Editörlü Kitap Bölümü</w:t>
      </w:r>
    </w:p>
    <w:p w14:paraId="70F95796" w14:textId="77777777" w:rsidR="00576573" w:rsidRPr="005A5F47" w:rsidRDefault="00576573" w:rsidP="005A5F47">
      <w:pPr>
        <w:jc w:val="left"/>
      </w:pPr>
      <w:r w:rsidRPr="005A5F47">
        <w:rPr>
          <w:rStyle w:val="Balk3Char"/>
        </w:rPr>
        <w:t>16. Editörlü bir kitapta DOI numaralı bir bölüm</w:t>
      </w:r>
      <w:r w:rsidRPr="005A5F47">
        <w:br/>
        <w:t>Balsam, K. F., Martell, C. R., Jones, K. P., &amp; Safren, S. A. (2019). Affirmative cognitive behavior therapy with sexual and gender minority people. G. Y. Iwamasa &amp; P. A. Hays (Ed.), </w:t>
      </w:r>
      <w:r w:rsidRPr="005A5F47">
        <w:rPr>
          <w:i/>
          <w:iCs/>
        </w:rPr>
        <w:t>Culturally responsive cognitive behavior therapy: Practice and supervision</w:t>
      </w:r>
      <w:r w:rsidRPr="005A5F47">
        <w:t> içinde (2nd ed., pp. 287-314). American Psychological Association. </w:t>
      </w:r>
      <w:hyperlink r:id="rId22" w:history="1">
        <w:r w:rsidRPr="005A5F47">
          <w:rPr>
            <w:rStyle w:val="Kpr"/>
            <w:rFonts w:cs="Poppins"/>
            <w:color w:val="0B58A2"/>
            <w:sz w:val="21"/>
            <w:szCs w:val="21"/>
          </w:rPr>
          <w:t>http://doi.org/10.1037/0000119-012</w:t>
        </w:r>
      </w:hyperlink>
      <w:r w:rsidRPr="005A5F47">
        <w:t> </w:t>
      </w:r>
      <w:r w:rsidRPr="005A5F47">
        <w:br/>
        <w:t>Parenteziçi alıntı: (Balsam vd., 2019)</w:t>
      </w:r>
      <w:r w:rsidRPr="005A5F47">
        <w:br/>
        <w:t>Anlatı alıntı: Balsam vd. (2019)</w:t>
      </w:r>
    </w:p>
    <w:p w14:paraId="28A21B04" w14:textId="6AE014FA" w:rsidR="00576573" w:rsidRPr="005A5F47" w:rsidRDefault="00576573" w:rsidP="005A5F47">
      <w:pPr>
        <w:jc w:val="left"/>
      </w:pPr>
      <w:r w:rsidRPr="005A5F47">
        <w:rPr>
          <w:rStyle w:val="Balk3Char"/>
        </w:rPr>
        <w:t>17. Çoğu akademik araştırma veri tabanından veya basılı versiyondan, DOI olmadan bölüm ve editörlü kitap</w:t>
      </w:r>
      <w:r w:rsidRPr="005A5F47">
        <w:br/>
        <w:t>Weinstock, R., Leong, G. B., &amp; Silva, J. A. (2003). Defining forensic psychiatry: Roles and responsibilities. R. Rosner (Ed.), </w:t>
      </w:r>
      <w:r w:rsidRPr="005A5F47">
        <w:rPr>
          <w:i/>
          <w:iCs/>
        </w:rPr>
        <w:t>Principles and practices of forensic psychiatry</w:t>
      </w:r>
      <w:r w:rsidRPr="005A5F47">
        <w:t> içinde (2nd ed., pp. 7-13). CRC Press.</w:t>
      </w:r>
      <w:r w:rsidRPr="005A5F47">
        <w:br/>
        <w:t>Parenteziçi alıntı: (Weinstock vd., 2003)</w:t>
      </w:r>
      <w:r w:rsidRPr="005A5F47">
        <w:br/>
        <w:t>Anlatı alıntı: Weinstock vd. (2003)</w:t>
      </w:r>
      <w:r w:rsidRPr="005A5F47">
        <w:br/>
      </w:r>
      <w:r w:rsidRPr="005A5F47">
        <w:br/>
      </w:r>
      <w:r w:rsidRPr="005A5F47">
        <w:rPr>
          <w:rStyle w:val="Balk2Char"/>
        </w:rPr>
        <w:t>Raporlar ve Gri Literatür</w:t>
      </w:r>
    </w:p>
    <w:p w14:paraId="6DF3364D" w14:textId="77777777" w:rsidR="00576573" w:rsidRPr="005A5F47" w:rsidRDefault="00576573" w:rsidP="005A5F47">
      <w:pPr>
        <w:jc w:val="left"/>
      </w:pPr>
      <w:r w:rsidRPr="005A5F47">
        <w:rPr>
          <w:rStyle w:val="Balk3Char"/>
        </w:rPr>
        <w:t>18. Bir devlet kurumu veya başka bir kuruluş tarafından hazırlanan rapor</w:t>
      </w:r>
      <w:r w:rsidRPr="005A5F47">
        <w:br/>
        <w:t>Australian Government Productivity Commission &amp; Zealand Productivity Commission. (2012). </w:t>
      </w:r>
      <w:r w:rsidRPr="005A5F47">
        <w:rPr>
          <w:i/>
          <w:iCs/>
        </w:rPr>
        <w:t>Strengthening trans-Tasman economic relations.</w:t>
      </w:r>
      <w:r w:rsidRPr="005A5F47">
        <w:t> </w:t>
      </w:r>
      <w:hyperlink r:id="rId23" w:history="1">
        <w:r w:rsidRPr="005A5F47">
          <w:rPr>
            <w:rStyle w:val="Kpr"/>
            <w:rFonts w:cs="Poppins"/>
            <w:color w:val="0B58A2"/>
            <w:sz w:val="21"/>
            <w:szCs w:val="21"/>
          </w:rPr>
          <w:t>https://www.pc.gov.au/inquiries/completed/australia-new-zealand/report/trans-tasman.pdf</w:t>
        </w:r>
      </w:hyperlink>
      <w:r w:rsidRPr="005A5F47">
        <w:t> </w:t>
      </w:r>
      <w:r w:rsidRPr="005A5F47">
        <w:br/>
        <w:t>Parenteziçi alıntı: (Australian Government Productivity Commission ve Zealand Productivity Commission, 2012)</w:t>
      </w:r>
      <w:r w:rsidRPr="005A5F47">
        <w:br/>
      </w:r>
      <w:r w:rsidRPr="005A5F47">
        <w:lastRenderedPageBreak/>
        <w:t>Anlatı alıntı: Australian Government Productivity Commission ve Zealand Productivity Commission (2012)</w:t>
      </w:r>
    </w:p>
    <w:p w14:paraId="26771D9D" w14:textId="77777777" w:rsidR="00576573" w:rsidRPr="005A5F47" w:rsidRDefault="00576573" w:rsidP="005A5F47">
      <w:pPr>
        <w:jc w:val="left"/>
      </w:pPr>
      <w:r w:rsidRPr="005A5F47">
        <w:rPr>
          <w:rStyle w:val="Balk3Char"/>
        </w:rPr>
        <w:t>19. Bireysel yazarlar tarafından bir devlet kurumuna veya başka bir kuruluşa verilen rapor</w:t>
      </w:r>
      <w:r w:rsidRPr="005A5F47">
        <w:br/>
        <w:t>Fried, D., &amp; Polyakova, A. (2018). </w:t>
      </w:r>
      <w:r w:rsidRPr="005A5F47">
        <w:rPr>
          <w:i/>
          <w:iCs/>
        </w:rPr>
        <w:t>Democratic defense against disinformation. </w:t>
      </w:r>
      <w:r w:rsidRPr="005A5F47">
        <w:t>Atlantic Council. </w:t>
      </w:r>
      <w:hyperlink r:id="rId24" w:history="1">
        <w:r w:rsidRPr="005A5F47">
          <w:rPr>
            <w:rStyle w:val="Kpr"/>
            <w:rFonts w:cs="Poppins"/>
            <w:color w:val="0B58A2"/>
            <w:sz w:val="21"/>
            <w:szCs w:val="21"/>
          </w:rPr>
          <w:t>https://www.atlanticcouncil.org/wp-content/uploads/2019/06/Democratic_Defense_Against_Disinformation_2.0.pdf</w:t>
        </w:r>
      </w:hyperlink>
      <w:r w:rsidRPr="005A5F47">
        <w:t> </w:t>
      </w:r>
      <w:r w:rsidRPr="005A5F47">
        <w:br/>
        <w:t>Parenteziçi alıntı: (Fried ve Polyakova, 2018)</w:t>
      </w:r>
      <w:r w:rsidRPr="005A5F47">
        <w:br/>
        <w:t>Anlatı alıntı: Fried ve Polyakova (2018)</w:t>
      </w:r>
    </w:p>
    <w:p w14:paraId="42B7CA68" w14:textId="0F49B755" w:rsidR="00576573" w:rsidRPr="005A5F47" w:rsidRDefault="00576573" w:rsidP="005A5F47">
      <w:pPr>
        <w:jc w:val="left"/>
      </w:pPr>
      <w:r w:rsidRPr="005A5F47">
        <w:rPr>
          <w:rStyle w:val="Balk3Char"/>
        </w:rPr>
        <w:t>20. Yıllık rapor</w:t>
      </w:r>
      <w:r w:rsidRPr="005A5F47">
        <w:br/>
        <w:t>U.S. Securities and Exchange Commission. (2017). </w:t>
      </w:r>
      <w:r w:rsidRPr="005A5F47">
        <w:rPr>
          <w:i/>
          <w:iCs/>
        </w:rPr>
        <w:t> </w:t>
      </w:r>
      <w:r w:rsidRPr="005A5F47">
        <w:t> </w:t>
      </w:r>
      <w:hyperlink r:id="rId25" w:history="1">
        <w:r w:rsidRPr="005A5F47">
          <w:rPr>
            <w:rStyle w:val="Kpr"/>
            <w:rFonts w:cs="Poppins"/>
            <w:color w:val="0B58A2"/>
            <w:sz w:val="21"/>
            <w:szCs w:val="21"/>
          </w:rPr>
          <w:t>https://www.sec.gov/files/sec-2017-agency-financial-report.pdf</w:t>
        </w:r>
      </w:hyperlink>
      <w:r w:rsidRPr="005A5F47">
        <w:t> </w:t>
      </w:r>
      <w:r w:rsidRPr="005A5F47">
        <w:br/>
        <w:t>Parenteziçi alıntı: (U.S. Securities and Exchange Commission, 2017)</w:t>
      </w:r>
      <w:r w:rsidRPr="005A5F47">
        <w:br/>
        <w:t>Anlatı alıntı: U.S. Securities and Exchange Commission (2017)</w:t>
      </w:r>
      <w:r w:rsidRPr="005A5F47">
        <w:br/>
      </w:r>
      <w:r w:rsidRPr="005A5F47">
        <w:br/>
      </w:r>
      <w:r w:rsidRPr="005A5F47">
        <w:rPr>
          <w:rStyle w:val="Balk2Char"/>
        </w:rPr>
        <w:t>Konferans Oturumları ve Sunumları</w:t>
      </w:r>
    </w:p>
    <w:p w14:paraId="1FDCBE5E" w14:textId="77777777" w:rsidR="00576573" w:rsidRPr="005A5F47" w:rsidRDefault="00576573" w:rsidP="005A5F47">
      <w:pPr>
        <w:jc w:val="left"/>
      </w:pPr>
      <w:r w:rsidRPr="005A5F47">
        <w:rPr>
          <w:rStyle w:val="Balk3Char"/>
        </w:rPr>
        <w:t>21. Konferans oturumları</w:t>
      </w:r>
      <w:r w:rsidRPr="005A5F47">
        <w:br/>
        <w:t>Fistek, A., Jester, E., &amp; Sonnenberg, K. (2017, July 12-15). Everybody’s got a little music in them: Using music therapy to connect, engage, and motivate [Konfernas oturumu]. Autism Society National Conference, Milwaukee, Wl, United States. </w:t>
      </w:r>
      <w:hyperlink r:id="rId26" w:history="1">
        <w:r w:rsidRPr="005A5F47">
          <w:rPr>
            <w:rStyle w:val="Kpr"/>
            <w:rFonts w:cs="Poppins"/>
            <w:color w:val="0B58A2"/>
            <w:sz w:val="21"/>
            <w:szCs w:val="21"/>
          </w:rPr>
          <w:t>https://asa.confex.com/asa/2017/webprogramarchives/Session9517.html</w:t>
        </w:r>
      </w:hyperlink>
      <w:r w:rsidRPr="005A5F47">
        <w:t> </w:t>
      </w:r>
      <w:r w:rsidRPr="005A5F47">
        <w:br/>
        <w:t>Parenteziçi alıntı: (Fistek at al., 2017)</w:t>
      </w:r>
      <w:r w:rsidRPr="005A5F47">
        <w:br/>
        <w:t>Anlatı alıntı: Fistek at al. (2017)</w:t>
      </w:r>
    </w:p>
    <w:p w14:paraId="727FD3AB" w14:textId="77777777" w:rsidR="00576573" w:rsidRPr="005A5F47" w:rsidRDefault="00576573" w:rsidP="005A5F47">
      <w:pPr>
        <w:jc w:val="left"/>
      </w:pPr>
      <w:r w:rsidRPr="005A5F47">
        <w:rPr>
          <w:rStyle w:val="Balk3Char"/>
        </w:rPr>
        <w:t>22. Bildiri sunumu</w:t>
      </w:r>
      <w:r w:rsidRPr="005A5F47">
        <w:br/>
        <w:t>Maddox, S., Hurling, J., Stewart, E., &amp; Edwards, A. (2016, March 30-April 2). </w:t>
      </w:r>
      <w:r w:rsidRPr="005A5F47">
        <w:rPr>
          <w:i/>
          <w:iCs/>
        </w:rPr>
        <w:t>If mama ain’t happy, nobody’s happy: The effect of parental depression on mood dysregulation in children</w:t>
      </w:r>
      <w:r w:rsidRPr="005A5F47">
        <w:t> [Bildiri sunumu]. Southeastern Psychological Association 62nd Annual Meeting, New Orleans, LA, United States.</w:t>
      </w:r>
      <w:r w:rsidRPr="005A5F47">
        <w:br/>
        <w:t>Parenteziçi alıntı: (Maddox vd., 2016)</w:t>
      </w:r>
      <w:r w:rsidRPr="005A5F47">
        <w:br/>
        <w:t>Anlatı alıntı: Maddox vd. (2016)</w:t>
      </w:r>
    </w:p>
    <w:p w14:paraId="2CE837D1" w14:textId="581095A5" w:rsidR="00576573" w:rsidRPr="005A5F47" w:rsidRDefault="00576573" w:rsidP="005A5F47">
      <w:pPr>
        <w:jc w:val="left"/>
      </w:pPr>
      <w:r w:rsidRPr="005A5F47">
        <w:rPr>
          <w:rStyle w:val="Balk3Char"/>
        </w:rPr>
        <w:t>23. Sempozyum katılımı</w:t>
      </w:r>
      <w:r w:rsidRPr="005A5F47">
        <w:br/>
        <w:t>De Boer, D., &amp; LaFavor, T. (2018, Nisan 26-29). The art and significance of successfully identifying resilient individuals: A person-focused approach. In A. M. Schmidt &amp; A. Kryvanos (Chairs),</w:t>
      </w:r>
      <w:r w:rsidRPr="005A5F47">
        <w:rPr>
          <w:i/>
          <w:iCs/>
        </w:rPr>
        <w:t> Perspectives on resilience: Conceptualization, measurement, and enhancement</w:t>
      </w:r>
      <w:r w:rsidRPr="005A5F47">
        <w:t> [Sempozyum]. Western Psychological Association 98th Annual Convention, Portland, OR, United States.</w:t>
      </w:r>
      <w:r w:rsidRPr="005A5F47">
        <w:br/>
        <w:t>Parenteziçi alıntı: (De Boer ve LaFavor, 2018)</w:t>
      </w:r>
      <w:r w:rsidRPr="005A5F47">
        <w:br/>
        <w:t>Anlatı alıntı: De Boer ve LaFavor (2018)</w:t>
      </w:r>
      <w:r w:rsidRPr="005A5F47">
        <w:br/>
      </w:r>
      <w:r w:rsidRPr="005A5F47">
        <w:br/>
      </w:r>
      <w:r w:rsidRPr="00AC129C">
        <w:rPr>
          <w:rStyle w:val="Balk2Char"/>
        </w:rPr>
        <w:t>Yüksek Lisans ve Doktora Tezi</w:t>
      </w:r>
    </w:p>
    <w:p w14:paraId="63B20798" w14:textId="77777777" w:rsidR="00576573" w:rsidRPr="005A5F47" w:rsidRDefault="00576573" w:rsidP="005A5F47">
      <w:pPr>
        <w:jc w:val="left"/>
      </w:pPr>
      <w:r w:rsidRPr="005A5F47">
        <w:rPr>
          <w:rStyle w:val="Balk3Char"/>
        </w:rPr>
        <w:t>24. Yayınlanmamış yüksek lisans veya doktora tezi</w:t>
      </w:r>
      <w:r w:rsidRPr="005A5F47">
        <w:br/>
        <w:t>Harris, L. (2014).</w:t>
      </w:r>
      <w:r w:rsidRPr="005A5F47">
        <w:rPr>
          <w:i/>
          <w:iCs/>
        </w:rPr>
        <w:t> Instructional leadership perceptions and practices of elementary school leaders</w:t>
      </w:r>
      <w:r w:rsidRPr="005A5F47">
        <w:t> [Yayınlanmamış doktora tezi]. University of Virginia.</w:t>
      </w:r>
      <w:r w:rsidRPr="005A5F47">
        <w:br/>
        <w:t>Parenteziçi alıntı: (Harris, 2014)</w:t>
      </w:r>
      <w:r w:rsidRPr="005A5F47">
        <w:br/>
        <w:t>Anlatı alıntı: Harris (2014)</w:t>
      </w:r>
    </w:p>
    <w:p w14:paraId="3FDA34AD" w14:textId="77777777" w:rsidR="00576573" w:rsidRPr="005A5F47" w:rsidRDefault="00576573" w:rsidP="005A5F47">
      <w:pPr>
        <w:jc w:val="left"/>
      </w:pPr>
      <w:r w:rsidRPr="005A5F47">
        <w:rPr>
          <w:rStyle w:val="Balk3Char"/>
        </w:rPr>
        <w:t>25. Bir veritabanından doktora veya yüksek lisans tezi</w:t>
      </w:r>
      <w:r w:rsidRPr="005A5F47">
        <w:br/>
        <w:t>Hollander, M. M. (2017). </w:t>
      </w:r>
      <w:r w:rsidRPr="005A5F47">
        <w:rPr>
          <w:i/>
          <w:iCs/>
        </w:rPr>
        <w:t>Resistance to authority: Methodological innovations and new lessons from the Milgram experiment </w:t>
      </w:r>
      <w:r w:rsidRPr="005A5F47">
        <w:t>(Yayın No. 10289373) [Doctora tezi, University of Wisconsin-Madison]. ProQuest Dissertations and Thesis Global.</w:t>
      </w:r>
      <w:r w:rsidRPr="005A5F47">
        <w:br/>
        <w:t>Parenteziçi alıntı: (Hollander, 2017)</w:t>
      </w:r>
      <w:r w:rsidRPr="005A5F47">
        <w:br/>
        <w:t>Anlatı alıntı: Hollander (2017)</w:t>
      </w:r>
    </w:p>
    <w:p w14:paraId="31239E40" w14:textId="111B9219" w:rsidR="00576573" w:rsidRPr="005A5F47" w:rsidRDefault="00576573" w:rsidP="005A5F47">
      <w:pPr>
        <w:jc w:val="left"/>
      </w:pPr>
      <w:r w:rsidRPr="005A5F47">
        <w:rPr>
          <w:rStyle w:val="Balk3Char"/>
        </w:rPr>
        <w:lastRenderedPageBreak/>
        <w:t>26. Çevrimiçi yayınlanan tez (veritabanında değil)</w:t>
      </w:r>
      <w:r w:rsidRPr="005A5F47">
        <w:br/>
        <w:t>Hutcheson, V. H. (2012). </w:t>
      </w:r>
      <w:r w:rsidRPr="005A5F47">
        <w:rPr>
          <w:i/>
          <w:iCs/>
        </w:rPr>
        <w:t>Dealing with dual differences: Social coping strategies of gifted and lesbian, gay, bisexual, transgender, and queer adolescents.</w:t>
      </w:r>
      <w:r w:rsidRPr="005A5F47">
        <w:t> [Yüksek lisans tezi, The Collage of William &amp; Mary]. William &amp; Mary Digital Archive. </w:t>
      </w:r>
      <w:hyperlink r:id="rId27" w:history="1">
        <w:r w:rsidRPr="005A5F47">
          <w:rPr>
            <w:rStyle w:val="Kpr"/>
            <w:rFonts w:cs="Poppins"/>
            <w:color w:val="0B58A2"/>
            <w:sz w:val="21"/>
            <w:szCs w:val="21"/>
          </w:rPr>
          <w:t>https://digitalarchive.wm.edu/bitstream/handle/10288/16594/HutchesonVirginia2012.pdf?sequence=1&amp;isAllowed=y</w:t>
        </w:r>
      </w:hyperlink>
      <w:r w:rsidRPr="005A5F47">
        <w:t> </w:t>
      </w:r>
      <w:r w:rsidRPr="005A5F47">
        <w:br/>
        <w:t>Parenteziçi alıntı: (Hutcheson, 2012)</w:t>
      </w:r>
      <w:r w:rsidRPr="005A5F47">
        <w:br/>
        <w:t>Anlatı alıntı: Hutcheson (2012)</w:t>
      </w:r>
      <w:r w:rsidRPr="005A5F47">
        <w:br/>
      </w:r>
      <w:r w:rsidRPr="005A5F47">
        <w:br/>
      </w:r>
      <w:r w:rsidRPr="005A5F47">
        <w:rPr>
          <w:rStyle w:val="Balk2Char"/>
        </w:rPr>
        <w:t>Gözden Geçirme/İncelemeler</w:t>
      </w:r>
    </w:p>
    <w:p w14:paraId="3E7AC914" w14:textId="77777777" w:rsidR="00576573" w:rsidRPr="005A5F47" w:rsidRDefault="00576573" w:rsidP="005A5F47">
      <w:pPr>
        <w:jc w:val="left"/>
      </w:pPr>
      <w:r w:rsidRPr="005A5F47">
        <w:rPr>
          <w:rStyle w:val="Balk3Char"/>
        </w:rPr>
        <w:t>27. Bir dergide yayınlanan film incelemesi</w:t>
      </w:r>
      <w:r w:rsidRPr="005A5F47">
        <w:br/>
        <w:t>Mirabito, L. A., &amp; Heck, N. C. (2016). Bringing LGBTQ youth theater into spotlight [Review of the film </w:t>
      </w:r>
      <w:r w:rsidRPr="005A5F47">
        <w:rPr>
          <w:i/>
          <w:iCs/>
        </w:rPr>
        <w:t>The year we thought about love</w:t>
      </w:r>
      <w:r w:rsidRPr="005A5F47">
        <w:t>, by E. Brodsky, Dir.]. </w:t>
      </w:r>
      <w:r w:rsidRPr="005A5F47">
        <w:rPr>
          <w:i/>
          <w:iCs/>
        </w:rPr>
        <w:t>Psychology of Sexual Orientation and Gender Diversity, 3</w:t>
      </w:r>
      <w:r w:rsidRPr="005A5F47">
        <w:t>(4), 499-500. </w:t>
      </w:r>
      <w:hyperlink r:id="rId28" w:history="1">
        <w:r w:rsidRPr="005A5F47">
          <w:rPr>
            <w:rStyle w:val="Kpr"/>
            <w:rFonts w:cs="Poppins"/>
            <w:color w:val="0B58A2"/>
            <w:sz w:val="21"/>
            <w:szCs w:val="21"/>
          </w:rPr>
          <w:t>http://doi.org.10.1037/sgd0000205</w:t>
        </w:r>
      </w:hyperlink>
      <w:r w:rsidRPr="005A5F47">
        <w:t> </w:t>
      </w:r>
      <w:r w:rsidRPr="005A5F47">
        <w:br/>
        <w:t>Parenteziçi alıntı: (Mirabito &amp; Heck, 2016)</w:t>
      </w:r>
      <w:r w:rsidRPr="005A5F47">
        <w:br/>
        <w:t>Anlatı alıntı: Mirabito and Heck (2016)</w:t>
      </w:r>
    </w:p>
    <w:p w14:paraId="0780D737" w14:textId="77777777" w:rsidR="00576573" w:rsidRPr="005A5F47" w:rsidRDefault="00576573" w:rsidP="005A5F47">
      <w:pPr>
        <w:jc w:val="left"/>
      </w:pPr>
      <w:r w:rsidRPr="005A5F47">
        <w:rPr>
          <w:rStyle w:val="Balk3Char"/>
        </w:rPr>
        <w:t>28. Gazetede yayınlanan kitap incelemesi</w:t>
      </w:r>
      <w:r w:rsidRPr="005A5F47">
        <w:br/>
        <w:t>Santos, F. (2019, January 11). Reframing refugee children’s stories [Review of the book </w:t>
      </w:r>
      <w:r w:rsidRPr="005A5F47">
        <w:rPr>
          <w:i/>
          <w:iCs/>
        </w:rPr>
        <w:t>We are displaced: My journey and stories from refugee girls around the wolrd, </w:t>
      </w:r>
      <w:r w:rsidRPr="005A5F47">
        <w:t>by M. Yousafzai]. </w:t>
      </w:r>
      <w:r w:rsidRPr="005A5F47">
        <w:rPr>
          <w:i/>
          <w:iCs/>
        </w:rPr>
        <w:t>The New York Times.</w:t>
      </w:r>
      <w:r w:rsidRPr="005A5F47">
        <w:t> </w:t>
      </w:r>
      <w:hyperlink r:id="rId29" w:history="1">
        <w:r w:rsidRPr="005A5F47">
          <w:rPr>
            <w:rStyle w:val="Kpr"/>
            <w:rFonts w:cs="Poppins"/>
            <w:color w:val="0B58A2"/>
            <w:sz w:val="21"/>
            <w:szCs w:val="21"/>
          </w:rPr>
          <w:t>http://nyti.ms/2Hlgjk3</w:t>
        </w:r>
      </w:hyperlink>
      <w:r w:rsidRPr="005A5F47">
        <w:t> </w:t>
      </w:r>
      <w:r w:rsidRPr="005A5F47">
        <w:br/>
        <w:t>Parenteziçi alıntı: (Santos, 2019)</w:t>
      </w:r>
      <w:r w:rsidRPr="005A5F47">
        <w:br/>
        <w:t>Anlatı alıntı: Santos (2019)</w:t>
      </w:r>
    </w:p>
    <w:p w14:paraId="74CD0F60" w14:textId="7B3DE8DE" w:rsidR="00576573" w:rsidRPr="005A5F47" w:rsidRDefault="00576573" w:rsidP="005A5F47">
      <w:pPr>
        <w:jc w:val="left"/>
      </w:pPr>
      <w:r w:rsidRPr="005A5F47">
        <w:rPr>
          <w:rStyle w:val="Balk3Char"/>
        </w:rPr>
        <w:t>29. Bir internet sitesinde yayınlanan dizi bölüm incelemesi</w:t>
      </w:r>
      <w:r w:rsidRPr="005A5F47">
        <w:br/>
        <w:t>Perkins, D. (2018, February 1). </w:t>
      </w:r>
      <w:r w:rsidRPr="005A5F47">
        <w:rPr>
          <w:i/>
          <w:iCs/>
        </w:rPr>
        <w:t>The good place ends its remarkable second season with irrational hope, unexpected gifts, and a smile</w:t>
      </w:r>
      <w:r w:rsidRPr="005A5F47">
        <w:t> [Review of the TV series episode “Somewhere else,” by M. Schur, Writer &amp; Dir.]. A. V. Club</w:t>
      </w:r>
      <w:r w:rsidRPr="005A5F47">
        <w:br/>
        <w:t>Parenteziçi alıntı: (Perkins, 2018)</w:t>
      </w:r>
      <w:r w:rsidRPr="005A5F47">
        <w:br/>
        <w:t>Anlatı alıntı: Perkins (2018)</w:t>
      </w:r>
      <w:r w:rsidRPr="005A5F47">
        <w:br/>
      </w:r>
      <w:r w:rsidRPr="005A5F47">
        <w:br/>
      </w:r>
      <w:r w:rsidRPr="005A5F47">
        <w:rPr>
          <w:rStyle w:val="Balk2Char"/>
        </w:rPr>
        <w:t>Yayınlanmamış Çalışmalar ve Gayri Resmi Olarak Yayınlanmış Çalışmalar</w:t>
      </w:r>
    </w:p>
    <w:p w14:paraId="79D3D121" w14:textId="77777777" w:rsidR="00576573" w:rsidRPr="005A5F47" w:rsidRDefault="00576573" w:rsidP="005A5F47">
      <w:pPr>
        <w:jc w:val="left"/>
      </w:pPr>
      <w:r w:rsidRPr="005A5F47">
        <w:rPr>
          <w:rStyle w:val="Balk3Char"/>
        </w:rPr>
        <w:t>30. Yayınlanmamış makale</w:t>
      </w:r>
      <w:r w:rsidRPr="005A5F47">
        <w:br/>
        <w:t>Yoo, J., miyamoto, y., Rigotti, A., &amp; Ryff, C. (2016). </w:t>
      </w:r>
      <w:r w:rsidRPr="005A5F47">
        <w:rPr>
          <w:i/>
          <w:iCs/>
        </w:rPr>
        <w:t>Linking positive affect to blood lipids: A cultural perspective </w:t>
      </w:r>
      <w:r w:rsidRPr="005A5F47">
        <w:t>[Yayınlanmamış makale]. Department of Psychology, University of Wisconsin-Madison.</w:t>
      </w:r>
      <w:r w:rsidRPr="005A5F47">
        <w:br/>
        <w:t>Parenteziçi alıntı: (Yoo vd., 2016)</w:t>
      </w:r>
      <w:r w:rsidRPr="005A5F47">
        <w:br/>
        <w:t>Anlatı alıntı: Yoo vd. (2016)</w:t>
      </w:r>
    </w:p>
    <w:p w14:paraId="4E0AD78C" w14:textId="77777777" w:rsidR="00576573" w:rsidRPr="005A5F47" w:rsidRDefault="00576573" w:rsidP="005A5F47">
      <w:pPr>
        <w:jc w:val="left"/>
      </w:pPr>
      <w:r w:rsidRPr="005A5F47">
        <w:rPr>
          <w:rStyle w:val="Balk3Char"/>
        </w:rPr>
        <w:t>31. Hazırlık aşamasında makale</w:t>
      </w:r>
      <w:r w:rsidRPr="005A5F47">
        <w:br/>
        <w:t>O’Shea, M. (2018). </w:t>
      </w:r>
      <w:r w:rsidRPr="005A5F47">
        <w:rPr>
          <w:i/>
          <w:iCs/>
        </w:rPr>
        <w:t>Understanding proactive behavior in the workplace as a function of gender </w:t>
      </w:r>
      <w:r w:rsidRPr="005A5F47">
        <w:t>[Hazırlık aşamasında makale]. Department of Management, University of Kansas.</w:t>
      </w:r>
      <w:r w:rsidRPr="005A5F47">
        <w:br/>
        <w:t>Parenteziçi alıntı: (O’Shea, 2018)</w:t>
      </w:r>
      <w:r w:rsidRPr="005A5F47">
        <w:br/>
        <w:t>Anlatı alıntı: O’Shea (2016)</w:t>
      </w:r>
    </w:p>
    <w:p w14:paraId="10FBF9BE" w14:textId="4D48C1C1" w:rsidR="00576573" w:rsidRPr="005A5F47" w:rsidRDefault="00576573" w:rsidP="005A5F47">
      <w:pPr>
        <w:jc w:val="left"/>
      </w:pPr>
      <w:r w:rsidRPr="005A5F47">
        <w:rPr>
          <w:rStyle w:val="Balk3Char"/>
        </w:rPr>
        <w:t>32. Yayınlanmak üzere gönderilen makale</w:t>
      </w:r>
      <w:r w:rsidRPr="005A5F47">
        <w:br/>
        <w:t>Lippincott, T., &amp; Poindexter, E. K. (2019). </w:t>
      </w:r>
      <w:r w:rsidRPr="005A5F47">
        <w:rPr>
          <w:i/>
          <w:iCs/>
        </w:rPr>
        <w:t>Emotion recognition as a function of facial cues: Implications for practice </w:t>
      </w:r>
      <w:r w:rsidRPr="005A5F47">
        <w:t>[Yayınlanmak üzere gönderilen makale]. Department of Psychology, University of Washington.</w:t>
      </w:r>
      <w:r w:rsidRPr="005A5F47">
        <w:br/>
        <w:t>Parenteziçi alıntı: (Lippincott ve Poindexter, 2019)</w:t>
      </w:r>
      <w:r w:rsidRPr="005A5F47">
        <w:br/>
        <w:t>Anlatı alıntı: Lippincott ve Poindexter (2019)</w:t>
      </w:r>
      <w:r w:rsidRPr="005A5F47">
        <w:br/>
      </w:r>
      <w:r w:rsidRPr="005A5F47">
        <w:br/>
      </w:r>
      <w:r w:rsidRPr="005A5F47">
        <w:rPr>
          <w:rStyle w:val="Balk2Char"/>
        </w:rPr>
        <w:t>Bilgisayar Yazılımı, Mobil Uygulamalar, Cihazlar ve Ekipmanlar</w:t>
      </w:r>
    </w:p>
    <w:p w14:paraId="2DA8A65F" w14:textId="77777777" w:rsidR="00576573" w:rsidRPr="005A5F47" w:rsidRDefault="00576573" w:rsidP="005A5F47">
      <w:pPr>
        <w:jc w:val="left"/>
      </w:pPr>
      <w:r w:rsidRPr="005A5F47">
        <w:rPr>
          <w:rStyle w:val="Balk3Char"/>
        </w:rPr>
        <w:t>33. Yazılım</w:t>
      </w:r>
      <w:r w:rsidRPr="005A5F47">
        <w:br/>
        <w:t>Borenstein, M., Hedges, L., Higgins, J., Rothstein, H. (2014). </w:t>
      </w:r>
      <w:r w:rsidRPr="005A5F47">
        <w:rPr>
          <w:i/>
          <w:iCs/>
        </w:rPr>
        <w:t>Comprehensive meta-</w:t>
      </w:r>
      <w:r w:rsidRPr="005A5F47">
        <w:rPr>
          <w:i/>
          <w:iCs/>
        </w:rPr>
        <w:lastRenderedPageBreak/>
        <w:t>analysis </w:t>
      </w:r>
      <w:r w:rsidRPr="005A5F47">
        <w:t>(Version 3.3.070) [Bilgisayar yazılımı]. Biostat. </w:t>
      </w:r>
      <w:hyperlink r:id="rId30" w:history="1">
        <w:r w:rsidRPr="005A5F47">
          <w:rPr>
            <w:rStyle w:val="Kpr"/>
            <w:rFonts w:cs="Poppins"/>
            <w:color w:val="0B58A2"/>
            <w:sz w:val="21"/>
            <w:szCs w:val="21"/>
          </w:rPr>
          <w:t>http://wwwmeta-analysis.com</w:t>
        </w:r>
      </w:hyperlink>
      <w:r w:rsidRPr="005A5F47">
        <w:t> </w:t>
      </w:r>
      <w:r w:rsidRPr="005A5F47">
        <w:br/>
        <w:t>Parenteziçi alıntı: (Borenstein vd., 2014)</w:t>
      </w:r>
      <w:r w:rsidRPr="005A5F47">
        <w:br/>
        <w:t>Anlatı alıntı: Borenstein vd. (2014)</w:t>
      </w:r>
    </w:p>
    <w:p w14:paraId="3A0354C4" w14:textId="5000E472" w:rsidR="00576573" w:rsidRPr="005A5F47" w:rsidRDefault="00576573" w:rsidP="005A5F47">
      <w:pPr>
        <w:jc w:val="left"/>
      </w:pPr>
      <w:r w:rsidRPr="005A5F47">
        <w:rPr>
          <w:rStyle w:val="Balk3Char"/>
        </w:rPr>
        <w:t>34. Mobil uygulama</w:t>
      </w:r>
      <w:r w:rsidRPr="005A5F47">
        <w:br/>
        <w:t>Epocrates. (2019). </w:t>
      </w:r>
      <w:r w:rsidRPr="005A5F47">
        <w:rPr>
          <w:i/>
          <w:iCs/>
        </w:rPr>
        <w:t>Epocrates medical references </w:t>
      </w:r>
      <w:r w:rsidRPr="005A5F47">
        <w:t>(Version 18.12) [Mobil uygulama]. App Store. </w:t>
      </w:r>
      <w:hyperlink r:id="rId31" w:history="1">
        <w:r w:rsidRPr="005A5F47">
          <w:rPr>
            <w:rStyle w:val="Kpr"/>
            <w:rFonts w:cs="Poppins"/>
            <w:color w:val="0B58A2"/>
            <w:sz w:val="21"/>
            <w:szCs w:val="21"/>
          </w:rPr>
          <w:t>https://apps.apple.com/us/app/epocrates/id281935788</w:t>
        </w:r>
      </w:hyperlink>
      <w:r w:rsidRPr="005A5F47">
        <w:t> </w:t>
      </w:r>
      <w:r w:rsidRPr="005A5F47">
        <w:br/>
        <w:t>Parenteziçi alıntı: (Epocrates, 2019)</w:t>
      </w:r>
      <w:r w:rsidRPr="005A5F47">
        <w:br/>
        <w:t>Anlatı alıntı: Epocrates (2019)</w:t>
      </w:r>
      <w:r w:rsidRPr="005A5F47">
        <w:br/>
      </w:r>
      <w:r w:rsidRPr="005A5F47">
        <w:br/>
      </w:r>
      <w:r w:rsidRPr="005A5F47">
        <w:rPr>
          <w:rStyle w:val="Balk2Char"/>
        </w:rPr>
        <w:t>Görsel-İşitsel Çalışmalar</w:t>
      </w:r>
    </w:p>
    <w:p w14:paraId="2CD7BD45" w14:textId="77777777" w:rsidR="00576573" w:rsidRPr="005A5F47" w:rsidRDefault="00576573" w:rsidP="005A5F47">
      <w:pPr>
        <w:jc w:val="left"/>
      </w:pPr>
      <w:r w:rsidRPr="005A5F47">
        <w:rPr>
          <w:rStyle w:val="Balk3Char"/>
        </w:rPr>
        <w:t>35. TED Talk</w:t>
      </w:r>
      <w:r w:rsidRPr="005A5F47">
        <w:br/>
        <w:t>Robinson, K. (Sir) (2006). </w:t>
      </w:r>
      <w:r w:rsidRPr="005A5F47">
        <w:rPr>
          <w:i/>
          <w:iCs/>
        </w:rPr>
        <w:t>Do schools kill creativity? </w:t>
      </w:r>
      <w:r w:rsidRPr="005A5F47">
        <w:t>[Video]. Ted Conferences. </w:t>
      </w:r>
      <w:hyperlink r:id="rId32" w:history="1">
        <w:r w:rsidRPr="005A5F47">
          <w:rPr>
            <w:rStyle w:val="Kpr"/>
            <w:rFonts w:cs="Poppins"/>
            <w:color w:val="0B58A2"/>
            <w:sz w:val="21"/>
            <w:szCs w:val="21"/>
          </w:rPr>
          <w:t>https://www.ted.com/talks/sir_ken_robinson_do_schools_kill_creativity/up-next</w:t>
        </w:r>
      </w:hyperlink>
      <w:r w:rsidRPr="005A5F47">
        <w:t> </w:t>
      </w:r>
      <w:r w:rsidRPr="005A5F47">
        <w:br/>
        <w:t>Parenteziçi alıntı: (Robinson, 2006)</w:t>
      </w:r>
      <w:r w:rsidRPr="005A5F47">
        <w:br/>
        <w:t>Anlatı alıntı: Robinson (2006)</w:t>
      </w:r>
    </w:p>
    <w:p w14:paraId="6B84C047" w14:textId="77777777" w:rsidR="00576573" w:rsidRPr="005A5F47" w:rsidRDefault="00576573" w:rsidP="005A5F47">
      <w:pPr>
        <w:jc w:val="left"/>
      </w:pPr>
      <w:r w:rsidRPr="005A5F47">
        <w:rPr>
          <w:rStyle w:val="Balk3Char"/>
        </w:rPr>
        <w:t>36. Kayıtlı web seminerleri</w:t>
      </w:r>
      <w:r w:rsidRPr="005A5F47">
        <w:br/>
        <w:t>Goldberg, J. F. (2018). </w:t>
      </w:r>
      <w:r w:rsidRPr="005A5F47">
        <w:rPr>
          <w:i/>
          <w:iCs/>
        </w:rPr>
        <w:t>Evaluating adverse drug effects</w:t>
      </w:r>
      <w:r w:rsidRPr="005A5F47">
        <w:t> [Webinar]. American Psychiatric Association. </w:t>
      </w:r>
      <w:hyperlink r:id="rId33" w:history="1">
        <w:r w:rsidRPr="005A5F47">
          <w:rPr>
            <w:rStyle w:val="Kpr"/>
            <w:rFonts w:cs="Poppins"/>
            <w:color w:val="0B58A2"/>
            <w:sz w:val="21"/>
            <w:szCs w:val="21"/>
          </w:rPr>
          <w:t>https://education.psychiatry.org/Users/ProductDetails.aspx?ActivityID=6172</w:t>
        </w:r>
      </w:hyperlink>
      <w:r w:rsidRPr="005A5F47">
        <w:t> </w:t>
      </w:r>
      <w:r w:rsidRPr="005A5F47">
        <w:br/>
        <w:t>Parenteziçi alıntı: (Goldberg, 2018)</w:t>
      </w:r>
      <w:r w:rsidRPr="005A5F47">
        <w:br/>
        <w:t>Anlatı alıntı: Goldberg (2018)</w:t>
      </w:r>
    </w:p>
    <w:p w14:paraId="5ED1572E" w14:textId="2785B86D" w:rsidR="00576573" w:rsidRPr="005A5F47" w:rsidRDefault="00576573" w:rsidP="005A5F47">
      <w:pPr>
        <w:jc w:val="left"/>
      </w:pPr>
      <w:r w:rsidRPr="005A5F47">
        <w:rPr>
          <w:rStyle w:val="Balk3Char"/>
        </w:rPr>
        <w:t>37. YouTube videosu veya başka bir akışlı (stream) video</w:t>
      </w:r>
      <w:r w:rsidRPr="005A5F47">
        <w:br/>
        <w:t>Cutts, S. (2017, Kasım 24). </w:t>
      </w:r>
      <w:r w:rsidRPr="005A5F47">
        <w:rPr>
          <w:i/>
          <w:iCs/>
        </w:rPr>
        <w:t>Happiness</w:t>
      </w:r>
      <w:r w:rsidRPr="005A5F47">
        <w:t> [Video]. Vimeo. </w:t>
      </w:r>
      <w:hyperlink r:id="rId34" w:history="1">
        <w:r w:rsidRPr="005A5F47">
          <w:rPr>
            <w:rStyle w:val="Kpr"/>
            <w:rFonts w:cs="Poppins"/>
            <w:color w:val="0B58A2"/>
            <w:sz w:val="21"/>
            <w:szCs w:val="21"/>
          </w:rPr>
          <w:t>http://vimeo.com/244405542</w:t>
        </w:r>
      </w:hyperlink>
      <w:r w:rsidRPr="005A5F47">
        <w:t> </w:t>
      </w:r>
      <w:r w:rsidRPr="005A5F47">
        <w:br/>
        <w:t>Parenteziçi alıntı: (Cutts, 2017)</w:t>
      </w:r>
      <w:r w:rsidRPr="005A5F47">
        <w:br/>
        <w:t>Anlatı alıntı: Cutts (2017)</w:t>
      </w:r>
      <w:r w:rsidRPr="005A5F47">
        <w:br/>
      </w:r>
      <w:r w:rsidRPr="005A5F47">
        <w:br/>
      </w:r>
      <w:r w:rsidRPr="005A5F47">
        <w:rPr>
          <w:rStyle w:val="Balk2Char"/>
        </w:rPr>
        <w:t>Ses Çalışmaları</w:t>
      </w:r>
    </w:p>
    <w:p w14:paraId="200A756D" w14:textId="77777777" w:rsidR="00576573" w:rsidRPr="005A5F47" w:rsidRDefault="00576573" w:rsidP="005A5F47">
      <w:pPr>
        <w:jc w:val="left"/>
      </w:pPr>
      <w:r w:rsidRPr="005A5F47">
        <w:rPr>
          <w:rStyle w:val="Balk3Char"/>
        </w:rPr>
        <w:t>38. Podcast</w:t>
      </w:r>
      <w:r w:rsidRPr="005A5F47">
        <w:br/>
        <w:t>Vedantam, S. (Host). (2015-Güncel). </w:t>
      </w:r>
      <w:r w:rsidRPr="005A5F47">
        <w:rPr>
          <w:i/>
          <w:iCs/>
        </w:rPr>
        <w:t>Hidden brain</w:t>
      </w:r>
      <w:r w:rsidRPr="005A5F47">
        <w:t> [Ses podcast’i]. NPR. </w:t>
      </w:r>
      <w:hyperlink r:id="rId35" w:history="1">
        <w:r w:rsidRPr="005A5F47">
          <w:rPr>
            <w:rStyle w:val="Kpr"/>
            <w:rFonts w:cs="Poppins"/>
            <w:color w:val="0B58A2"/>
            <w:sz w:val="21"/>
            <w:szCs w:val="21"/>
          </w:rPr>
          <w:t>http://www.npr.org/series/42302056/hidden-brain</w:t>
        </w:r>
      </w:hyperlink>
      <w:r w:rsidRPr="005A5F47">
        <w:t> </w:t>
      </w:r>
      <w:r w:rsidRPr="005A5F47">
        <w:br/>
        <w:t>Parenteziçi alıntı: (Vedantam, 2015-güncel)</w:t>
      </w:r>
      <w:r w:rsidRPr="005A5F47">
        <w:br/>
        <w:t>Anlatı alıntı: Vedantam (2015-güncel)</w:t>
      </w:r>
    </w:p>
    <w:p w14:paraId="4C4797C9" w14:textId="77777777" w:rsidR="00576573" w:rsidRPr="005A5F47" w:rsidRDefault="00576573" w:rsidP="005A5F47">
      <w:pPr>
        <w:jc w:val="left"/>
      </w:pPr>
      <w:r w:rsidRPr="005A5F47">
        <w:rPr>
          <w:rStyle w:val="Balk3Char"/>
        </w:rPr>
        <w:t>39. Dijital arşivde radyo röportaj kaydı</w:t>
      </w:r>
      <w:r w:rsidRPr="005A5F47">
        <w:br/>
        <w:t>de Beauvoir, S. (1960, Mayıs 4). Simone de Beauvoir discusses the art of writing [Röportaj/görüşme]. Studs Terkel Radio Archive; The Chicago History Museum. https://studsterkel.wfmt.com/programs/simone-de-beauvoir-discusses-art-writing</w:t>
      </w:r>
      <w:r w:rsidRPr="005A5F47">
        <w:br/>
        <w:t>Parenteziçi alıntı: (de Beauvoir, 1960)</w:t>
      </w:r>
      <w:r w:rsidRPr="005A5F47">
        <w:br/>
        <w:t>Anlatı alıntı: de Beauvoir (1960)</w:t>
      </w:r>
    </w:p>
    <w:p w14:paraId="7196D4E8" w14:textId="2A7AAA3A" w:rsidR="00576573" w:rsidRPr="005A5F47" w:rsidRDefault="00576573" w:rsidP="005A5F47">
      <w:pPr>
        <w:jc w:val="left"/>
      </w:pPr>
      <w:r w:rsidRPr="005A5F47">
        <w:rPr>
          <w:rStyle w:val="Balk3Char"/>
        </w:rPr>
        <w:t>40. Konuşma ses kaydı</w:t>
      </w:r>
      <w:r w:rsidRPr="005A5F47">
        <w:br/>
        <w:t>King, M. L., Jr. (1963, Ağustos 28). </w:t>
      </w:r>
      <w:r w:rsidRPr="005A5F47">
        <w:rPr>
          <w:i/>
          <w:iCs/>
        </w:rPr>
        <w:t>I have a dream </w:t>
      </w:r>
      <w:r w:rsidRPr="005A5F47">
        <w:t>[Konuşma ses kaydı]. American Rhetoric. </w:t>
      </w:r>
      <w:hyperlink r:id="rId36" w:history="1">
        <w:r w:rsidRPr="005A5F47">
          <w:rPr>
            <w:rStyle w:val="Kpr"/>
            <w:rFonts w:cs="Poppins"/>
            <w:color w:val="0B58A2"/>
            <w:sz w:val="21"/>
            <w:szCs w:val="21"/>
          </w:rPr>
          <w:t>https://www.americanrhetoric.com/speeches/mlkihaveadream.htm</w:t>
        </w:r>
      </w:hyperlink>
      <w:r w:rsidRPr="005A5F47">
        <w:t> </w:t>
      </w:r>
      <w:r w:rsidRPr="005A5F47">
        <w:br/>
        <w:t>Parenteziçi alıntı: (King, 1963)</w:t>
      </w:r>
      <w:r w:rsidRPr="005A5F47">
        <w:br/>
        <w:t>Anlatı alıntı: King (1963)</w:t>
      </w:r>
      <w:r w:rsidRPr="005A5F47">
        <w:br/>
      </w:r>
      <w:r w:rsidRPr="005A5F47">
        <w:br/>
      </w:r>
      <w:r w:rsidRPr="005A5F47">
        <w:rPr>
          <w:rStyle w:val="Balk2Char"/>
        </w:rPr>
        <w:t>Görsel Çalışmalar</w:t>
      </w:r>
    </w:p>
    <w:p w14:paraId="4272AEC9" w14:textId="77777777" w:rsidR="00576573" w:rsidRPr="005A5F47" w:rsidRDefault="00576573" w:rsidP="005A5F47">
      <w:pPr>
        <w:jc w:val="left"/>
      </w:pPr>
      <w:r w:rsidRPr="005A5F47">
        <w:rPr>
          <w:rStyle w:val="Balk3Char"/>
        </w:rPr>
        <w:t>41. Bilgigrafik</w:t>
      </w:r>
      <w:r w:rsidRPr="005A5F47">
        <w:br/>
        <w:t>Rossman, J., &amp; Palmer, R. (2015). </w:t>
      </w:r>
      <w:r w:rsidRPr="005A5F47">
        <w:rPr>
          <w:i/>
          <w:iCs/>
        </w:rPr>
        <w:t>Sorting through our space junk</w:t>
      </w:r>
      <w:r w:rsidRPr="005A5F47">
        <w:t> [Bilgigrafik]. World Science Festival. </w:t>
      </w:r>
      <w:hyperlink r:id="rId37" w:history="1">
        <w:r w:rsidRPr="005A5F47">
          <w:rPr>
            <w:rStyle w:val="Kpr"/>
            <w:rFonts w:cs="Poppins"/>
            <w:color w:val="0B58A2"/>
            <w:sz w:val="21"/>
            <w:szCs w:val="21"/>
          </w:rPr>
          <w:t>https://www.worldsciencefestival.com/infographics/space-junk-infographic/</w:t>
        </w:r>
      </w:hyperlink>
      <w:r w:rsidRPr="005A5F47">
        <w:t> </w:t>
      </w:r>
      <w:r w:rsidRPr="005A5F47">
        <w:br/>
        <w:t>Parenteziçi alıntı: (Rossman ve Palmer, 2015)</w:t>
      </w:r>
      <w:r w:rsidRPr="005A5F47">
        <w:br/>
        <w:t>Anlatı alıntı: Rossman ve Palmer (2015)</w:t>
      </w:r>
    </w:p>
    <w:p w14:paraId="44A81B14" w14:textId="77777777" w:rsidR="00576573" w:rsidRPr="005A5F47" w:rsidRDefault="00576573" w:rsidP="005A5F47">
      <w:pPr>
        <w:jc w:val="left"/>
      </w:pPr>
      <w:r w:rsidRPr="005A5F47">
        <w:rPr>
          <w:rStyle w:val="Balk3Char"/>
        </w:rPr>
        <w:lastRenderedPageBreak/>
        <w:t>42. Harita</w:t>
      </w:r>
      <w:r w:rsidRPr="005A5F47">
        <w:br/>
        <w:t>Cable, D. (2013). </w:t>
      </w:r>
      <w:r w:rsidRPr="005A5F47">
        <w:rPr>
          <w:i/>
          <w:iCs/>
        </w:rPr>
        <w:t>The racial dot map </w:t>
      </w:r>
      <w:r w:rsidRPr="005A5F47">
        <w:t>[Harita]. University of Virginia, Weldon Cooper Center for Public Service. </w:t>
      </w:r>
      <w:hyperlink r:id="rId38" w:history="1">
        <w:r w:rsidRPr="005A5F47">
          <w:rPr>
            <w:rStyle w:val="Kpr"/>
            <w:rFonts w:cs="Poppins"/>
            <w:color w:val="0B58A2"/>
            <w:sz w:val="21"/>
            <w:szCs w:val="21"/>
          </w:rPr>
          <w:t>https://demographics.coopercenter.org/Racial-Dot-Map</w:t>
        </w:r>
      </w:hyperlink>
      <w:r w:rsidRPr="005A5F47">
        <w:t> </w:t>
      </w:r>
      <w:r w:rsidRPr="005A5F47">
        <w:br/>
        <w:t>Parenteziçi alıntı: (Cable, 2013)</w:t>
      </w:r>
      <w:r w:rsidRPr="005A5F47">
        <w:br/>
        <w:t>Anlatı alıntı: Cable (2013)</w:t>
      </w:r>
    </w:p>
    <w:p w14:paraId="0023A1BD" w14:textId="77777777" w:rsidR="00576573" w:rsidRPr="005A5F47" w:rsidRDefault="00576573" w:rsidP="005A5F47">
      <w:pPr>
        <w:jc w:val="left"/>
      </w:pPr>
      <w:r w:rsidRPr="005A5F47">
        <w:rPr>
          <w:rStyle w:val="Balk3Char"/>
        </w:rPr>
        <w:t>43. Fotoğraf</w:t>
      </w:r>
      <w:r w:rsidRPr="005A5F47">
        <w:br/>
        <w:t>McCurry, S. (1985).</w:t>
      </w:r>
      <w:r w:rsidRPr="005A5F47">
        <w:rPr>
          <w:i/>
          <w:iCs/>
        </w:rPr>
        <w:t> Afghan girl</w:t>
      </w:r>
      <w:r w:rsidRPr="005A5F47">
        <w:t> [Photograph]. National Geographic. </w:t>
      </w:r>
      <w:hyperlink r:id="rId39" w:anchor="/ngm-1985-jun-714.jpg" w:history="1">
        <w:r w:rsidRPr="005A5F47">
          <w:rPr>
            <w:rStyle w:val="Kpr"/>
            <w:rFonts w:cs="Poppins"/>
            <w:color w:val="0B58A2"/>
            <w:sz w:val="21"/>
            <w:szCs w:val="21"/>
          </w:rPr>
          <w:t>https://www.nationalgeographic.com/magazine/article/national-geographic-magazine-50-years-of-covers#/ngm-1985-jun-714.jpg</w:t>
        </w:r>
      </w:hyperlink>
      <w:r w:rsidRPr="005A5F47">
        <w:t> </w:t>
      </w:r>
      <w:r w:rsidRPr="005A5F47">
        <w:br/>
        <w:t>Parenteziçi alıntı: (McCurry, 1985)</w:t>
      </w:r>
      <w:r w:rsidRPr="005A5F47">
        <w:br/>
        <w:t>Anlatı alıntı: McCurry (1985)</w:t>
      </w:r>
    </w:p>
    <w:p w14:paraId="72009078" w14:textId="71E99EB6" w:rsidR="00576573" w:rsidRPr="005A5F47" w:rsidRDefault="00576573" w:rsidP="005A5F47">
      <w:pPr>
        <w:jc w:val="left"/>
      </w:pPr>
      <w:r w:rsidRPr="005A5F47">
        <w:rPr>
          <w:rStyle w:val="Balk3Char"/>
        </w:rPr>
        <w:t>44. PowerPoint slaytları ya da ders notları</w:t>
      </w:r>
      <w:r w:rsidRPr="005A5F47">
        <w:br/>
        <w:t>Canan, E., &amp; Vasilev, J. (2019, May 22). [Lecture notes on resource allocation]. Department of Management Control and Information Systems, University of Chile. </w:t>
      </w:r>
      <w:hyperlink r:id="rId40" w:history="1">
        <w:r w:rsidRPr="005A5F47">
          <w:rPr>
            <w:rStyle w:val="Kpr"/>
            <w:rFonts w:cs="Poppins"/>
            <w:color w:val="0B58A2"/>
            <w:sz w:val="21"/>
            <w:szCs w:val="21"/>
          </w:rPr>
          <w:t>https://uchilefau.academia.edu/ElseZCanan</w:t>
        </w:r>
      </w:hyperlink>
      <w:r w:rsidRPr="005A5F47">
        <w:t> </w:t>
      </w:r>
      <w:r w:rsidRPr="005A5F47">
        <w:br/>
        <w:t>Parenteziçi alıntı: (Canan &amp; Vasilev, 2019)</w:t>
      </w:r>
      <w:r w:rsidRPr="005A5F47">
        <w:br/>
        <w:t>Anlatı alıntı: Canan and Vasilev (2019)</w:t>
      </w:r>
      <w:r w:rsidRPr="005A5F47">
        <w:br/>
      </w:r>
      <w:r w:rsidRPr="005A5F47">
        <w:br/>
      </w:r>
      <w:r w:rsidRPr="005A5F47">
        <w:rPr>
          <w:rStyle w:val="Balk2Char"/>
        </w:rPr>
        <w:t>Sosyal Medya</w:t>
      </w:r>
    </w:p>
    <w:p w14:paraId="1AB3505F" w14:textId="77777777" w:rsidR="00576573" w:rsidRPr="005A5F47" w:rsidRDefault="00576573" w:rsidP="005A5F47">
      <w:pPr>
        <w:jc w:val="left"/>
      </w:pPr>
      <w:r w:rsidRPr="005A5F47">
        <w:rPr>
          <w:rStyle w:val="Balk3Char"/>
        </w:rPr>
        <w:t>45. Tweet</w:t>
      </w:r>
      <w:r w:rsidRPr="005A5F47">
        <w:br/>
        <w:t>APA Education [@APAEducation]. (2018, Haziran 29). </w:t>
      </w:r>
      <w:r w:rsidRPr="005A5F47">
        <w:rPr>
          <w:i/>
          <w:iCs/>
        </w:rPr>
        <w:t>Collage students are forming mental-health clubs-and they’re making a difference @washingtonpost </w:t>
      </w:r>
      <w:r w:rsidRPr="005A5F47">
        <w:t>[Thumbnail with link attached] [Tweet]. Twitter. </w:t>
      </w:r>
      <w:hyperlink r:id="rId41" w:history="1">
        <w:r w:rsidRPr="005A5F47">
          <w:rPr>
            <w:rStyle w:val="Kpr"/>
            <w:rFonts w:cs="Poppins"/>
            <w:color w:val="0B58A2"/>
            <w:sz w:val="21"/>
            <w:szCs w:val="21"/>
          </w:rPr>
          <w:t>https://twitter.com/apaeducation/status/1012810490530140161</w:t>
        </w:r>
      </w:hyperlink>
      <w:r w:rsidRPr="005A5F47">
        <w:t> </w:t>
      </w:r>
      <w:r w:rsidRPr="005A5F47">
        <w:br/>
        <w:t>Parenteziçi alıntı: (APA Education, 2018)</w:t>
      </w:r>
      <w:r w:rsidRPr="005A5F47">
        <w:br/>
        <w:t>Anlatı alıntı: APA Education (2018)</w:t>
      </w:r>
    </w:p>
    <w:p w14:paraId="6C1F0947" w14:textId="77777777" w:rsidR="00576573" w:rsidRPr="005A5F47" w:rsidRDefault="00576573" w:rsidP="005A5F47">
      <w:pPr>
        <w:jc w:val="left"/>
      </w:pPr>
      <w:r w:rsidRPr="005A5F47">
        <w:rPr>
          <w:rStyle w:val="Balk3Char"/>
        </w:rPr>
        <w:t>46. Facebook gönderisi</w:t>
      </w:r>
      <w:r w:rsidRPr="005A5F47">
        <w:br/>
        <w:t>Gaiman, N. (2018, Mart 22). </w:t>
      </w:r>
      <w:r w:rsidRPr="005A5F47">
        <w:rPr>
          <w:i/>
          <w:iCs/>
        </w:rPr>
        <w:t>100,000+ Rohingya refugees could be at serious risk during Bangladesh’s monsoon season. My fellow UNHCR Goodwill Ambassador Cate Blanchet is</w:t>
      </w:r>
      <w:r w:rsidRPr="005A5F47">
        <w:t> [Image attached] [Status update]. Facebook. </w:t>
      </w:r>
      <w:hyperlink r:id="rId42" w:history="1">
        <w:r w:rsidRPr="005A5F47">
          <w:rPr>
            <w:rStyle w:val="Kpr"/>
            <w:rFonts w:cs="Poppins"/>
            <w:color w:val="0B58A2"/>
            <w:sz w:val="21"/>
            <w:szCs w:val="21"/>
          </w:rPr>
          <w:t>https://www.facebook.com/neilgaiman/photos/a.306989681015/10155317233951016/?type=3&amp;theater</w:t>
        </w:r>
      </w:hyperlink>
      <w:r w:rsidRPr="005A5F47">
        <w:t> </w:t>
      </w:r>
      <w:r w:rsidRPr="005A5F47">
        <w:br/>
        <w:t>Parenteziçi alıntı: (Gaimen, 2018)</w:t>
      </w:r>
      <w:r w:rsidRPr="005A5F47">
        <w:br/>
        <w:t>Anlatı alıntı: Gaimen (2018)</w:t>
      </w:r>
    </w:p>
    <w:p w14:paraId="7DB3CE8B" w14:textId="77777777" w:rsidR="00576573" w:rsidRPr="005A5F47" w:rsidRDefault="00576573" w:rsidP="005A5F47">
      <w:pPr>
        <w:jc w:val="left"/>
      </w:pPr>
      <w:r w:rsidRPr="005A5F47">
        <w:rPr>
          <w:rStyle w:val="Balk3Char"/>
        </w:rPr>
        <w:t>47. Instagram fotoğrafı, videosu</w:t>
      </w:r>
      <w:r w:rsidRPr="005A5F47">
        <w:br/>
        <w:t>Zeitz MOCAA [@zeitzmocaa]. (2018, November 26). </w:t>
      </w:r>
      <w:r w:rsidRPr="005A5F47">
        <w:rPr>
          <w:i/>
          <w:iCs/>
        </w:rPr>
        <w:t>Grade 6 learners from Parkfields Primary School in Hanover Park visited the museum for a tour and workshop hosted by </w:t>
      </w:r>
      <w:r w:rsidRPr="005A5F47">
        <w:t>[Photographs]. Instagram. </w:t>
      </w:r>
      <w:hyperlink r:id="rId43" w:history="1">
        <w:r w:rsidRPr="005A5F47">
          <w:rPr>
            <w:rStyle w:val="Kpr"/>
            <w:rFonts w:cs="Poppins"/>
            <w:color w:val="0B58A2"/>
            <w:sz w:val="21"/>
            <w:szCs w:val="21"/>
          </w:rPr>
          <w:t>https://www.instagram.com/p/BqpHpjFBs3b/</w:t>
        </w:r>
      </w:hyperlink>
      <w:r w:rsidRPr="005A5F47">
        <w:t> </w:t>
      </w:r>
      <w:r w:rsidRPr="005A5F47">
        <w:br/>
        <w:t>Parenteziçi alıntı: (Zeitz MOCAA, 2018)</w:t>
      </w:r>
      <w:r w:rsidRPr="005A5F47">
        <w:br/>
        <w:t>Anlatı alıntı: Zeitz MOCAA (2018)</w:t>
      </w:r>
    </w:p>
    <w:p w14:paraId="76079E1C" w14:textId="77777777" w:rsidR="00576573" w:rsidRPr="005A5F47" w:rsidRDefault="00576573" w:rsidP="005A5F47">
      <w:pPr>
        <w:jc w:val="left"/>
      </w:pPr>
      <w:r w:rsidRPr="005A5F47">
        <w:rPr>
          <w:rStyle w:val="Balk3Char"/>
        </w:rPr>
        <w:t>48. Çevirimiçi forum gönderisi</w:t>
      </w:r>
      <w:r w:rsidRPr="005A5F47">
        <w:br/>
        <w:t>National Aeronautics and Space Administration [nasa]. (2018, Semtember 12).</w:t>
      </w:r>
      <w:r w:rsidRPr="005A5F47">
        <w:rPr>
          <w:i/>
          <w:iCs/>
        </w:rPr>
        <w:t> I’m NASA astronaut Scott Tingle. Ask me anything about adjusting to being back on Earth after my first spaceflight!</w:t>
      </w:r>
      <w:r w:rsidRPr="005A5F47">
        <w:t> [Çevirimiçi forum gönderisi]. Reddit. </w:t>
      </w:r>
      <w:hyperlink r:id="rId44" w:history="1">
        <w:r w:rsidRPr="005A5F47">
          <w:rPr>
            <w:rStyle w:val="Kpr"/>
            <w:rFonts w:cs="Poppins"/>
            <w:color w:val="0B58A2"/>
            <w:sz w:val="21"/>
            <w:szCs w:val="21"/>
          </w:rPr>
          <w:t>https://www.reddit.com/r/IAmA/comments/9fagqy/im_nasa_astronaut_scott_tingle_ask_me_anything/</w:t>
        </w:r>
      </w:hyperlink>
      <w:r w:rsidRPr="005A5F47">
        <w:t> </w:t>
      </w:r>
      <w:r w:rsidRPr="005A5F47">
        <w:br/>
        <w:t>Parenteziçi alıntı: (National Aeronautics ve Space Administration, 2018)</w:t>
      </w:r>
      <w:r w:rsidRPr="005A5F47">
        <w:br/>
        <w:t>Anlatı alıntı: National Aeronautics ve Space Administration (2018)</w:t>
      </w:r>
      <w:r w:rsidRPr="005A5F47">
        <w:br/>
      </w:r>
      <w:r w:rsidRPr="005A5F47">
        <w:br/>
      </w:r>
      <w:r w:rsidRPr="005A5F47">
        <w:rPr>
          <w:rStyle w:val="Balk2Char"/>
        </w:rPr>
        <w:t>Websayfası ve websitesi</w:t>
      </w:r>
    </w:p>
    <w:p w14:paraId="1D497C81" w14:textId="77777777" w:rsidR="00576573" w:rsidRPr="005A5F47" w:rsidRDefault="00576573" w:rsidP="005A5F47">
      <w:pPr>
        <w:jc w:val="left"/>
      </w:pPr>
      <w:r w:rsidRPr="005A5F47">
        <w:rPr>
          <w:rStyle w:val="Balk3Char"/>
        </w:rPr>
        <w:t>49. Bir web sitesindeki wen sayfası</w:t>
      </w:r>
      <w:r w:rsidRPr="005A5F47">
        <w:br/>
        <w:t>Avramova, N. (2019, January 3). </w:t>
      </w:r>
      <w:r w:rsidRPr="005A5F47">
        <w:rPr>
          <w:i/>
          <w:iCs/>
        </w:rPr>
        <w:t>The secret to a long, healthy life? Think age-</w:t>
      </w:r>
      <w:r w:rsidRPr="005A5F47">
        <w:rPr>
          <w:i/>
          <w:iCs/>
        </w:rPr>
        <w:lastRenderedPageBreak/>
        <w:t>positive.</w:t>
      </w:r>
      <w:r w:rsidRPr="005A5F47">
        <w:t> CNN. </w:t>
      </w:r>
      <w:hyperlink r:id="rId45" w:history="1">
        <w:r w:rsidRPr="005A5F47">
          <w:rPr>
            <w:rStyle w:val="Kpr"/>
            <w:rFonts w:cs="Poppins"/>
            <w:color w:val="0B58A2"/>
            <w:sz w:val="21"/>
            <w:szCs w:val="21"/>
          </w:rPr>
          <w:t>https://edition.cnn.com/2019/01/03/health/respect-toward-elderly-leads-to-long-life-intl/index.html</w:t>
        </w:r>
      </w:hyperlink>
      <w:r w:rsidRPr="005A5F47">
        <w:t> </w:t>
      </w:r>
      <w:r w:rsidRPr="005A5F47">
        <w:br/>
        <w:t>Parenteziçi alıntı: (Avramova, 2019)</w:t>
      </w:r>
      <w:r w:rsidRPr="005A5F47">
        <w:br/>
        <w:t>Anlatı alıntı: Avramova (2019)</w:t>
      </w:r>
    </w:p>
    <w:p w14:paraId="273A1CBC" w14:textId="77777777" w:rsidR="00576573" w:rsidRPr="005A5F47" w:rsidRDefault="00576573" w:rsidP="005A5F47">
      <w:pPr>
        <w:jc w:val="left"/>
      </w:pPr>
      <w:r w:rsidRPr="005A5F47">
        <w:rPr>
          <w:rStyle w:val="Balk3Char"/>
        </w:rPr>
        <w:t>50. Grup yazarlı bir web sitesindeki web sayfası</w:t>
      </w:r>
      <w:r w:rsidRPr="005A5F47">
        <w:br/>
        <w:t>Centers for Disease Control and Prevention. (2018, Ocak 23).</w:t>
      </w:r>
      <w:r w:rsidRPr="005A5F47">
        <w:rPr>
          <w:i/>
          <w:iCs/>
        </w:rPr>
        <w:t> People at high risk of developing flu-related complications.</w:t>
      </w:r>
      <w:r w:rsidRPr="005A5F47">
        <w:t> </w:t>
      </w:r>
      <w:hyperlink r:id="rId46" w:history="1">
        <w:r w:rsidRPr="005A5F47">
          <w:rPr>
            <w:rStyle w:val="Kpr"/>
            <w:rFonts w:cs="Poppins"/>
            <w:color w:val="0B58A2"/>
            <w:sz w:val="21"/>
            <w:szCs w:val="21"/>
          </w:rPr>
          <w:t>https://www.cdc.gov/flu/about/disease/high_risk.htm</w:t>
        </w:r>
      </w:hyperlink>
      <w:r w:rsidRPr="005A5F47">
        <w:t> </w:t>
      </w:r>
      <w:r w:rsidRPr="005A5F47">
        <w:br/>
        <w:t>Parenteziçi alıntı: (Centers for Disease Control ve Prevention, 2018)</w:t>
      </w:r>
      <w:r w:rsidRPr="005A5F47">
        <w:br/>
        <w:t>Anlatı alıntı: Centers for Disease Control ve Prevention (2018)</w:t>
      </w:r>
    </w:p>
    <w:p w14:paraId="7B6D10CA" w14:textId="77777777" w:rsidR="00576573" w:rsidRPr="005A5F47" w:rsidRDefault="00576573" w:rsidP="005A5F47">
      <w:pPr>
        <w:jc w:val="left"/>
      </w:pPr>
      <w:r w:rsidRPr="005A5F47">
        <w:rPr>
          <w:rStyle w:val="Balk3Char"/>
        </w:rPr>
        <w:t>51. Tarihi olmayan bir web sitesindeki web sayfası</w:t>
      </w:r>
      <w:r w:rsidRPr="005A5F47">
        <w:br/>
        <w:t>National Nurses United. (t.y.).</w:t>
      </w:r>
      <w:r w:rsidRPr="005A5F47">
        <w:rPr>
          <w:i/>
          <w:iCs/>
        </w:rPr>
        <w:t> What employers should do to protect nurses from Zika.</w:t>
      </w:r>
      <w:r w:rsidRPr="005A5F47">
        <w:t> </w:t>
      </w:r>
      <w:hyperlink r:id="rId47" w:history="1">
        <w:r w:rsidRPr="005A5F47">
          <w:rPr>
            <w:rStyle w:val="Kpr"/>
            <w:rFonts w:cs="Poppins"/>
            <w:color w:val="0B58A2"/>
            <w:sz w:val="21"/>
            <w:szCs w:val="21"/>
          </w:rPr>
          <w:t>https://www.nationalnursesunited.org/what-employers-should-do-to-protect-rns-from-zika</w:t>
        </w:r>
      </w:hyperlink>
      <w:r w:rsidRPr="005A5F47">
        <w:t> </w:t>
      </w:r>
      <w:r w:rsidRPr="005A5F47">
        <w:br/>
        <w:t>Parenteziçi alıntı: (National Nurses United, t.y.)</w:t>
      </w:r>
      <w:r w:rsidRPr="005A5F47">
        <w:br/>
        <w:t>Anlatı alıntı: National Nurses United (t.y.)</w:t>
      </w:r>
    </w:p>
    <w:p w14:paraId="222A13F0" w14:textId="77777777" w:rsidR="00576573" w:rsidRPr="005A5F47" w:rsidRDefault="00576573" w:rsidP="005A5F47">
      <w:pPr>
        <w:jc w:val="left"/>
      </w:pPr>
      <w:r w:rsidRPr="005A5F47">
        <w:rPr>
          <w:rStyle w:val="Balk3Char"/>
        </w:rPr>
        <w:t>52. Alınma tarihi olan bir web sitesindeki web sayfası</w:t>
      </w:r>
      <w:r w:rsidRPr="005A5F47">
        <w:br/>
        <w:t>U. S. Census Bureau. (t.y.) </w:t>
      </w:r>
      <w:r w:rsidRPr="005A5F47">
        <w:rPr>
          <w:i/>
          <w:iCs/>
        </w:rPr>
        <w:t>U. S. and world population clock. U. S.</w:t>
      </w:r>
      <w:r w:rsidRPr="005A5F47">
        <w:t> Department of Commerce. Retrieved July 3, 2019, from </w:t>
      </w:r>
      <w:hyperlink r:id="rId48" w:history="1">
        <w:r w:rsidRPr="005A5F47">
          <w:rPr>
            <w:rStyle w:val="Kpr"/>
            <w:rFonts w:cs="Poppins"/>
            <w:color w:val="0B58A2"/>
            <w:sz w:val="21"/>
            <w:szCs w:val="21"/>
          </w:rPr>
          <w:t>https://www.census.gov/popclock/</w:t>
        </w:r>
      </w:hyperlink>
      <w:r w:rsidRPr="005A5F47">
        <w:t> </w:t>
      </w:r>
      <w:r w:rsidRPr="005A5F47">
        <w:br/>
        <w:t>Parenteziçi alıntı: (U. S. Census Bureau, t.y.)</w:t>
      </w:r>
      <w:r w:rsidRPr="005A5F47">
        <w:br/>
        <w:t>Anlatı alıntı: U. S. Census Bureau (t.y.)</w:t>
      </w:r>
      <w:r w:rsidRPr="005A5F47">
        <w:br/>
      </w:r>
      <w:r w:rsidRPr="005A5F47">
        <w:br/>
      </w:r>
      <w:r w:rsidRPr="00AC129C">
        <w:rPr>
          <w:rStyle w:val="Balk3Char"/>
        </w:rPr>
        <w:t>Daha fzla bilgiye ulaşmak için;</w:t>
      </w:r>
      <w:r w:rsidRPr="005A5F47">
        <w:br/>
        <w:t>https://www.apastyle.org/learn/faqs/references-in-parentheses</w:t>
      </w:r>
      <w:r w:rsidRPr="005A5F47">
        <w:br/>
        <w:t>http://citationonline.net/CitationHelp/csg04-manuscriptsapa.htm#references</w:t>
      </w:r>
      <w:r w:rsidRPr="005A5F47">
        <w:br/>
        <w:t>https://owl.purdue.edu/owl/research_and_citation/apa_style/apa_formatting_and_style_guide/in_text_citations_author_authors.html</w:t>
      </w:r>
      <w:r w:rsidRPr="005A5F47">
        <w:br/>
      </w:r>
      <w:hyperlink r:id="rId49" w:history="1">
        <w:r w:rsidRPr="005A5F47">
          <w:rPr>
            <w:rStyle w:val="Kpr"/>
            <w:rFonts w:cs="Poppins"/>
            <w:color w:val="0B58A2"/>
            <w:sz w:val="21"/>
            <w:szCs w:val="21"/>
          </w:rPr>
          <w:t>https://owl.purdue.edu/owl/research_and_citation/apa_style/apa_formatting_and_style_guide/reference_list_books.html</w:t>
        </w:r>
      </w:hyperlink>
    </w:p>
    <w:p w14:paraId="4710408C" w14:textId="77777777" w:rsidR="00576573" w:rsidRPr="005A5F47" w:rsidRDefault="00576573" w:rsidP="005A5F47">
      <w:pPr>
        <w:jc w:val="left"/>
        <w:rPr>
          <w:lang w:val="tr-TR"/>
        </w:rPr>
      </w:pPr>
    </w:p>
    <w:p w14:paraId="22769F99" w14:textId="77777777" w:rsidR="006C3D98" w:rsidRPr="005A5F47" w:rsidRDefault="006C3D98" w:rsidP="006C3D98">
      <w:pPr>
        <w:pStyle w:val="HeadTitles"/>
        <w:rPr>
          <w:lang w:val="tr-TR"/>
        </w:rPr>
      </w:pPr>
    </w:p>
    <w:sectPr w:rsidR="006C3D98" w:rsidRPr="005A5F47" w:rsidSect="00802346">
      <w:headerReference w:type="even" r:id="rId50"/>
      <w:headerReference w:type="default" r:id="rId51"/>
      <w:footerReference w:type="first" r:id="rId52"/>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3E59A" w14:textId="77777777" w:rsidR="00802346" w:rsidRDefault="00802346" w:rsidP="00A726A2">
      <w:pPr>
        <w:spacing w:before="0" w:after="0"/>
      </w:pPr>
      <w:r>
        <w:separator/>
      </w:r>
    </w:p>
  </w:endnote>
  <w:endnote w:type="continuationSeparator" w:id="0">
    <w:p w14:paraId="55FDA90E" w14:textId="77777777" w:rsidR="00802346" w:rsidRDefault="00802346" w:rsidP="00A726A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Light">
    <w:panose1 w:val="02000000000000000000"/>
    <w:charset w:val="00"/>
    <w:family w:val="auto"/>
    <w:pitch w:val="variable"/>
    <w:sig w:usb0="E0000AFF" w:usb1="5000217F" w:usb2="00000021" w:usb3="00000000" w:csb0="0000019F" w:csb1="00000000"/>
  </w:font>
  <w:font w:name="Roboto Black">
    <w:panose1 w:val="02000000000000000000"/>
    <w:charset w:val="00"/>
    <w:family w:val="auto"/>
    <w:pitch w:val="variable"/>
    <w:sig w:usb0="E0000AFF" w:usb1="5000217F" w:usb2="00000021" w:usb3="00000000" w:csb0="0000019F" w:csb1="00000000"/>
  </w:font>
  <w:font w:name="Times New Roman (CS Başlıklar)">
    <w:altName w:val="Times New Roman"/>
    <w:panose1 w:val="020B0604020202020204"/>
    <w:charset w:val="00"/>
    <w:family w:val="roman"/>
    <w:notTrueType/>
    <w:pitch w:val="default"/>
  </w:font>
  <w:font w:name="PT Sans">
    <w:panose1 w:val="020B0503020203020204"/>
    <w:charset w:val="A2"/>
    <w:family w:val="swiss"/>
    <w:pitch w:val="variable"/>
    <w:sig w:usb0="A00002EF" w:usb1="5000204B" w:usb2="00000000" w:usb3="00000000" w:csb0="00000097" w:csb1="00000000"/>
  </w:font>
  <w:font w:name="PT Sans Narrow">
    <w:panose1 w:val="020B0506020203020204"/>
    <w:charset w:val="A2"/>
    <w:family w:val="swiss"/>
    <w:pitch w:val="variable"/>
    <w:sig w:usb0="A00002EF" w:usb1="5000204B" w:usb2="00000000" w:usb3="00000000" w:csb0="00000097" w:csb1="00000000"/>
  </w:font>
  <w:font w:name="Times New Roman (CS Gövde)">
    <w:altName w:val="Times New Roman"/>
    <w:panose1 w:val="020B0604020202020204"/>
    <w:charset w:val="00"/>
    <w:family w:val="roman"/>
    <w:pitch w:val="default"/>
  </w:font>
  <w:font w:name="Roboto Condensed">
    <w:panose1 w:val="02000000000000000000"/>
    <w:charset w:val="00"/>
    <w:family w:val="auto"/>
    <w:pitch w:val="variable"/>
    <w:sig w:usb0="E0000AFF" w:usb1="5000217F" w:usb2="00000021" w:usb3="00000000" w:csb0="0000019F" w:csb1="00000000"/>
  </w:font>
  <w:font w:name="Roboto">
    <w:panose1 w:val="02000000000000000000"/>
    <w:charset w:val="00"/>
    <w:family w:val="auto"/>
    <w:pitch w:val="variable"/>
    <w:sig w:usb0="E0000AFF" w:usb1="5000217F" w:usb2="00000021" w:usb3="00000000" w:csb0="0000019F" w:csb1="00000000"/>
  </w:font>
  <w:font w:name="Poppins">
    <w:panose1 w:val="00000500000000000000"/>
    <w:charset w:val="00"/>
    <w:family w:val="auto"/>
    <w:pitch w:val="variable"/>
    <w:sig w:usb0="00008007" w:usb1="00000000" w:usb2="00000000" w:usb3="00000000" w:csb0="00000093"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A8CCF" w14:textId="77777777" w:rsidR="00B12E87" w:rsidRDefault="00B12E87" w:rsidP="007410E5">
    <w:pPr>
      <w:pStyle w:val="GrayText"/>
    </w:pPr>
  </w:p>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DDE4"/>
      <w:tblCellMar>
        <w:left w:w="0" w:type="dxa"/>
      </w:tblCellMar>
      <w:tblLook w:val="04A0" w:firstRow="1" w:lastRow="0" w:firstColumn="1" w:lastColumn="0" w:noHBand="0" w:noVBand="1"/>
    </w:tblPr>
    <w:tblGrid>
      <w:gridCol w:w="9072"/>
    </w:tblGrid>
    <w:tr w:rsidR="00104F5E" w:rsidRPr="003050D4" w14:paraId="6898E86F" w14:textId="77777777" w:rsidTr="008E3655">
      <w:tc>
        <w:tcPr>
          <w:tcW w:w="5000" w:type="pct"/>
          <w:shd w:val="clear" w:color="auto" w:fill="D4DDE4"/>
          <w:tcMar>
            <w:top w:w="28" w:type="dxa"/>
            <w:left w:w="142" w:type="dxa"/>
            <w:bottom w:w="28" w:type="dxa"/>
            <w:right w:w="142" w:type="dxa"/>
          </w:tcMar>
        </w:tcPr>
        <w:p w14:paraId="1AF5F3DB" w14:textId="0B661EC3" w:rsidR="00104F5E" w:rsidRPr="00104F5E" w:rsidRDefault="00104F5E" w:rsidP="00E1180F">
          <w:pPr>
            <w:pStyle w:val="Cite"/>
          </w:pPr>
          <w:r w:rsidRPr="00104F5E">
            <w:rPr>
              <w:rFonts w:ascii="Roboto Black" w:hAnsi="Roboto Black"/>
            </w:rPr>
            <w:t>Atıf:</w:t>
          </w:r>
          <w:r>
            <w:t xml:space="preserve"> Yazar Soyadı, A. (2023). Makalenin başlığı: Sosyal bilimler araştırmaları dergisi. </w:t>
          </w:r>
          <w:r w:rsidRPr="00104F5E">
            <w:rPr>
              <w:i/>
              <w:iCs/>
            </w:rPr>
            <w:t>Derginin Adı, 2</w:t>
          </w:r>
          <w:r>
            <w:t xml:space="preserve">(2), 25-50. </w:t>
          </w:r>
          <w:r w:rsidR="00B12E87" w:rsidRPr="00B12E87">
            <w:t>https://doi.org/10.48146/odusobiad.1279</w:t>
          </w:r>
          <w:r w:rsidR="00B12E87">
            <w:t>568</w:t>
          </w:r>
          <w:r w:rsidR="00E1180F">
            <w:t xml:space="preserve"> (Cite stilini seçiniz).</w:t>
          </w:r>
        </w:p>
      </w:tc>
    </w:tr>
  </w:tbl>
  <w:p w14:paraId="5AA3E07D" w14:textId="77777777" w:rsidR="00104F5E" w:rsidRDefault="00104F5E" w:rsidP="007410E5">
    <w:pPr>
      <w:pStyle w:val="GrayText"/>
    </w:pPr>
  </w:p>
  <w:p w14:paraId="58F74D66" w14:textId="7B299469" w:rsidR="00F30357" w:rsidRPr="008E3655" w:rsidRDefault="008E3655" w:rsidP="008E3655">
    <w:pPr>
      <w:pStyle w:val="GrayText"/>
      <w:rPr>
        <w:lang w:val="tr-TR"/>
      </w:rPr>
    </w:pPr>
    <w:r w:rsidRPr="003050D4">
      <w:rPr>
        <w:lang w:val="tr-TR"/>
      </w:rPr>
      <w:t>S</w:t>
    </w:r>
    <w:r>
      <w:rPr>
        <w:lang w:val="tr-TR"/>
      </w:rPr>
      <w:t>orumlu Yazar</w:t>
    </w:r>
    <w:r w:rsidR="00053844">
      <w:rPr>
        <w:lang w:val="tr-TR"/>
      </w:rPr>
      <w:t>:</w:t>
    </w:r>
    <w:r>
      <w:rPr>
        <w:lang w:val="tr-TR"/>
      </w:rPr>
      <w:t xml:space="preserve"> e-posta@adresi                                                                                                             </w:t>
    </w:r>
    <w:r w:rsidR="00F30357" w:rsidRPr="00D17038">
      <w:t>© 202</w:t>
    </w:r>
    <w:r w:rsidR="00F40C7A">
      <w:t>4</w:t>
    </w:r>
    <w:r w:rsidR="00F30357" w:rsidRPr="00D17038">
      <w:t xml:space="preserve"> </w:t>
    </w:r>
    <w:r w:rsidR="00F40C7A">
      <w:t>ODÜ SOBİAD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A2849" w14:textId="77777777" w:rsidR="00802346" w:rsidRDefault="00802346" w:rsidP="00A726A2">
      <w:pPr>
        <w:spacing w:before="0" w:after="0"/>
      </w:pPr>
      <w:r>
        <w:separator/>
      </w:r>
    </w:p>
  </w:footnote>
  <w:footnote w:type="continuationSeparator" w:id="0">
    <w:p w14:paraId="381D9817" w14:textId="77777777" w:rsidR="00802346" w:rsidRDefault="00802346" w:rsidP="00A726A2">
      <w:pPr>
        <w:spacing w:before="0" w:after="0"/>
      </w:pPr>
      <w:r>
        <w:continuationSeparator/>
      </w:r>
    </w:p>
  </w:footnote>
  <w:footnote w:id="1">
    <w:p w14:paraId="1DB97672" w14:textId="642BD2E6" w:rsidR="00B12E87" w:rsidRPr="00B12E87" w:rsidRDefault="00B12E87">
      <w:pPr>
        <w:pStyle w:val="DipnotMetni"/>
        <w:rPr>
          <w:lang w:val="tr-TR"/>
        </w:rPr>
      </w:pPr>
      <w:r>
        <w:rPr>
          <w:rStyle w:val="DipnotBavurusu"/>
        </w:rPr>
        <w:footnoteRef/>
      </w:r>
      <w:r>
        <w:t xml:space="preserve"> </w:t>
      </w:r>
      <w:r w:rsidRPr="00B12E87">
        <w:rPr>
          <w:sz w:val="16"/>
          <w:szCs w:val="16"/>
        </w:rPr>
        <w:t>İlgili çalışma bir tezden üretildi ise veya herhangi bir kongrede sözlü bildiri olarak sunuldu ise burada ayrıntılı olarak bilgisi verilmelidir.</w:t>
      </w:r>
      <w:r w:rsidR="00D22E10">
        <w:rPr>
          <w:sz w:val="16"/>
          <w:szCs w:val="16"/>
        </w:rPr>
        <w:t xml:space="preserve"> </w:t>
      </w:r>
      <w:r w:rsidR="00D22E10" w:rsidRPr="00D22E10">
        <w:rPr>
          <w:sz w:val="16"/>
          <w:szCs w:val="16"/>
        </w:rPr>
        <w:t>Ayrıca, etik kurul izni gerektiren bir yazı ise etik kurul izin bilgileri yazılmalıdır. (kurul adı, tarih ve sayı no)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9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0"/>
      <w:gridCol w:w="562"/>
    </w:tblGrid>
    <w:tr w:rsidR="008C0919" w14:paraId="1E509834" w14:textId="1F4CAFA5" w:rsidTr="008C0919">
      <w:tc>
        <w:tcPr>
          <w:tcW w:w="8500" w:type="dxa"/>
        </w:tcPr>
        <w:p w14:paraId="51755BD3" w14:textId="5DDCCEE3" w:rsidR="008C0919" w:rsidRPr="00C67CC8" w:rsidRDefault="00DA3171" w:rsidP="00FA2FF4">
          <w:pPr>
            <w:pStyle w:val="GrayText"/>
            <w:jc w:val="right"/>
          </w:pPr>
          <w:r w:rsidRPr="003050D4">
            <w:rPr>
              <w:noProof/>
              <w:lang w:val="tr-TR"/>
            </w:rPr>
            <w:drawing>
              <wp:inline distT="0" distB="0" distL="0" distR="0" wp14:anchorId="7AF9C921" wp14:editId="5BA6020E">
                <wp:extent cx="979200" cy="144000"/>
                <wp:effectExtent l="0" t="0" r="0" b="8890"/>
                <wp:docPr id="1781018943" name="Resim 17810189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9200" cy="144000"/>
                        </a:xfrm>
                        <a:prstGeom prst="rect">
                          <a:avLst/>
                        </a:prstGeom>
                      </pic:spPr>
                    </pic:pic>
                  </a:graphicData>
                </a:graphic>
              </wp:inline>
            </w:drawing>
          </w:r>
        </w:p>
      </w:tc>
      <w:tc>
        <w:tcPr>
          <w:tcW w:w="562" w:type="dxa"/>
        </w:tcPr>
        <w:sdt>
          <w:sdtPr>
            <w:rPr>
              <w:rStyle w:val="SayfaNumaras"/>
            </w:rPr>
            <w:id w:val="1638067864"/>
            <w:docPartObj>
              <w:docPartGallery w:val="Page Numbers (Top of Page)"/>
              <w:docPartUnique/>
            </w:docPartObj>
          </w:sdtPr>
          <w:sdtContent>
            <w:p w14:paraId="5E046485" w14:textId="19B47FD7" w:rsidR="008C0919" w:rsidRPr="00C67CC8" w:rsidRDefault="008C0919" w:rsidP="00FA2FF4">
              <w:pPr>
                <w:pStyle w:val="GrayText"/>
                <w:jc w:val="center"/>
              </w:pPr>
              <w:r>
                <w:rPr>
                  <w:rStyle w:val="SayfaNumaras"/>
                </w:rPr>
                <w:fldChar w:fldCharType="begin"/>
              </w:r>
              <w:r>
                <w:rPr>
                  <w:rStyle w:val="SayfaNumaras"/>
                </w:rPr>
                <w:instrText xml:space="preserve"> PAGE </w:instrText>
              </w:r>
              <w:r>
                <w:rPr>
                  <w:rStyle w:val="SayfaNumaras"/>
                </w:rPr>
                <w:fldChar w:fldCharType="separate"/>
              </w:r>
              <w:r>
                <w:rPr>
                  <w:rStyle w:val="SayfaNumaras"/>
                  <w:noProof/>
                </w:rPr>
                <w:t>3</w:t>
              </w:r>
              <w:r>
                <w:rPr>
                  <w:rStyle w:val="SayfaNumaras"/>
                </w:rPr>
                <w:fldChar w:fldCharType="end"/>
              </w:r>
            </w:p>
          </w:sdtContent>
        </w:sdt>
      </w:tc>
    </w:tr>
  </w:tbl>
  <w:p w14:paraId="3A7E4027" w14:textId="77777777" w:rsidR="00A726A2" w:rsidRDefault="00A726A2" w:rsidP="00A726A2">
    <w:pPr>
      <w:pStyle w:val="stBilgi"/>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641"/>
    </w:tblGrid>
    <w:tr w:rsidR="00A726A2" w14:paraId="572EF359" w14:textId="77777777" w:rsidTr="005E1822">
      <w:tc>
        <w:tcPr>
          <w:tcW w:w="421" w:type="dxa"/>
        </w:tcPr>
        <w:sdt>
          <w:sdtPr>
            <w:rPr>
              <w:rStyle w:val="SayfaNumaras"/>
            </w:rPr>
            <w:id w:val="69854947"/>
            <w:docPartObj>
              <w:docPartGallery w:val="Page Numbers (Top of Page)"/>
              <w:docPartUnique/>
            </w:docPartObj>
          </w:sdtPr>
          <w:sdtContent>
            <w:p w14:paraId="50256FA1" w14:textId="2783F838" w:rsidR="00A726A2" w:rsidRDefault="00A726A2" w:rsidP="00C67CC8">
              <w:pPr>
                <w:pStyle w:val="UpperInfos"/>
              </w:pPr>
              <w:r w:rsidRPr="00295865">
                <w:rPr>
                  <w:rStyle w:val="SayfaNumaras"/>
                  <w:sz w:val="20"/>
                  <w:szCs w:val="20"/>
                </w:rPr>
                <w:fldChar w:fldCharType="begin"/>
              </w:r>
              <w:r w:rsidRPr="00295865">
                <w:rPr>
                  <w:rStyle w:val="SayfaNumaras"/>
                  <w:sz w:val="20"/>
                  <w:szCs w:val="20"/>
                </w:rPr>
                <w:instrText xml:space="preserve"> PAGE </w:instrText>
              </w:r>
              <w:r w:rsidRPr="00295865">
                <w:rPr>
                  <w:rStyle w:val="SayfaNumaras"/>
                  <w:sz w:val="20"/>
                  <w:szCs w:val="20"/>
                </w:rPr>
                <w:fldChar w:fldCharType="separate"/>
              </w:r>
              <w:r w:rsidRPr="00295865">
                <w:rPr>
                  <w:rStyle w:val="SayfaNumaras"/>
                  <w:noProof/>
                  <w:sz w:val="20"/>
                  <w:szCs w:val="20"/>
                </w:rPr>
                <w:t>3</w:t>
              </w:r>
              <w:r w:rsidRPr="00295865">
                <w:rPr>
                  <w:rStyle w:val="SayfaNumaras"/>
                  <w:sz w:val="20"/>
                  <w:szCs w:val="20"/>
                </w:rPr>
                <w:fldChar w:fldCharType="end"/>
              </w:r>
            </w:p>
          </w:sdtContent>
        </w:sdt>
      </w:tc>
      <w:tc>
        <w:tcPr>
          <w:tcW w:w="8641" w:type="dxa"/>
        </w:tcPr>
        <w:p w14:paraId="47385558" w14:textId="087F77DC" w:rsidR="00A726A2" w:rsidRPr="00295865" w:rsidRDefault="00DA3171" w:rsidP="00C67CC8">
          <w:pPr>
            <w:pStyle w:val="UpperInfos"/>
            <w:rPr>
              <w:sz w:val="20"/>
              <w:szCs w:val="20"/>
            </w:rPr>
          </w:pPr>
          <w:r w:rsidRPr="003050D4">
            <w:rPr>
              <w:noProof/>
              <w:lang w:val="tr-TR"/>
            </w:rPr>
            <w:drawing>
              <wp:inline distT="0" distB="0" distL="0" distR="0" wp14:anchorId="1D25D6E4" wp14:editId="4C07ED0B">
                <wp:extent cx="979200" cy="144000"/>
                <wp:effectExtent l="0" t="0" r="0" b="8890"/>
                <wp:docPr id="34419186" name="Resim 34419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9200" cy="144000"/>
                        </a:xfrm>
                        <a:prstGeom prst="rect">
                          <a:avLst/>
                        </a:prstGeom>
                      </pic:spPr>
                    </pic:pic>
                  </a:graphicData>
                </a:graphic>
              </wp:inline>
            </w:drawing>
          </w:r>
        </w:p>
      </w:tc>
    </w:tr>
  </w:tbl>
  <w:p w14:paraId="17C11E21" w14:textId="77777777" w:rsidR="00A726A2" w:rsidRDefault="00A726A2">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activeWritingStyle w:appName="MSWord" w:lang="tr-TR" w:vendorID="64" w:dllVersion="0" w:nlCheck="1" w:checkStyle="0"/>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697"/>
    <w:rsid w:val="0000186C"/>
    <w:rsid w:val="00001DE6"/>
    <w:rsid w:val="00013378"/>
    <w:rsid w:val="00025ECF"/>
    <w:rsid w:val="00052442"/>
    <w:rsid w:val="00053844"/>
    <w:rsid w:val="0005778C"/>
    <w:rsid w:val="00062B67"/>
    <w:rsid w:val="00072083"/>
    <w:rsid w:val="00073DED"/>
    <w:rsid w:val="000743BB"/>
    <w:rsid w:val="000864C9"/>
    <w:rsid w:val="00096A0E"/>
    <w:rsid w:val="000B1B07"/>
    <w:rsid w:val="000D2011"/>
    <w:rsid w:val="000E6302"/>
    <w:rsid w:val="000F3761"/>
    <w:rsid w:val="00104F5E"/>
    <w:rsid w:val="00111295"/>
    <w:rsid w:val="00120CF4"/>
    <w:rsid w:val="0012142C"/>
    <w:rsid w:val="00126C8B"/>
    <w:rsid w:val="00136000"/>
    <w:rsid w:val="001375CC"/>
    <w:rsid w:val="0014240D"/>
    <w:rsid w:val="00145D95"/>
    <w:rsid w:val="0014726C"/>
    <w:rsid w:val="001626E4"/>
    <w:rsid w:val="001859C6"/>
    <w:rsid w:val="00186181"/>
    <w:rsid w:val="00186978"/>
    <w:rsid w:val="001916E1"/>
    <w:rsid w:val="00192AF9"/>
    <w:rsid w:val="0019679D"/>
    <w:rsid w:val="001A37D0"/>
    <w:rsid w:val="001A7A5C"/>
    <w:rsid w:val="001C6622"/>
    <w:rsid w:val="0020356A"/>
    <w:rsid w:val="00226F47"/>
    <w:rsid w:val="0022755F"/>
    <w:rsid w:val="00227671"/>
    <w:rsid w:val="0023689A"/>
    <w:rsid w:val="00236B2E"/>
    <w:rsid w:val="00237845"/>
    <w:rsid w:val="00254404"/>
    <w:rsid w:val="00254CDE"/>
    <w:rsid w:val="00255A4E"/>
    <w:rsid w:val="002642DB"/>
    <w:rsid w:val="00264513"/>
    <w:rsid w:val="00264595"/>
    <w:rsid w:val="00266B75"/>
    <w:rsid w:val="00267037"/>
    <w:rsid w:val="00267D3C"/>
    <w:rsid w:val="00270125"/>
    <w:rsid w:val="0028108A"/>
    <w:rsid w:val="00295865"/>
    <w:rsid w:val="002A115B"/>
    <w:rsid w:val="002C4F9B"/>
    <w:rsid w:val="002D7E0D"/>
    <w:rsid w:val="002E579E"/>
    <w:rsid w:val="002E7128"/>
    <w:rsid w:val="003050D4"/>
    <w:rsid w:val="00305CD8"/>
    <w:rsid w:val="0030708D"/>
    <w:rsid w:val="00333A1D"/>
    <w:rsid w:val="00336F19"/>
    <w:rsid w:val="00337AF5"/>
    <w:rsid w:val="00347D18"/>
    <w:rsid w:val="00350E00"/>
    <w:rsid w:val="00354EE0"/>
    <w:rsid w:val="003768D1"/>
    <w:rsid w:val="00377CE4"/>
    <w:rsid w:val="00384851"/>
    <w:rsid w:val="00386F1A"/>
    <w:rsid w:val="003945D3"/>
    <w:rsid w:val="00395E93"/>
    <w:rsid w:val="003965DA"/>
    <w:rsid w:val="003A431C"/>
    <w:rsid w:val="003B4229"/>
    <w:rsid w:val="003B4299"/>
    <w:rsid w:val="003B7A1E"/>
    <w:rsid w:val="003D0CAF"/>
    <w:rsid w:val="003D0F73"/>
    <w:rsid w:val="003D2298"/>
    <w:rsid w:val="003D4BF5"/>
    <w:rsid w:val="003D5089"/>
    <w:rsid w:val="003D60F0"/>
    <w:rsid w:val="003D6B79"/>
    <w:rsid w:val="003E33DD"/>
    <w:rsid w:val="003E4BB8"/>
    <w:rsid w:val="003E7F30"/>
    <w:rsid w:val="003F2614"/>
    <w:rsid w:val="003F4857"/>
    <w:rsid w:val="00414921"/>
    <w:rsid w:val="0041660A"/>
    <w:rsid w:val="00417AE7"/>
    <w:rsid w:val="00420118"/>
    <w:rsid w:val="0042236E"/>
    <w:rsid w:val="00423AB8"/>
    <w:rsid w:val="004516D3"/>
    <w:rsid w:val="00455147"/>
    <w:rsid w:val="00464C0E"/>
    <w:rsid w:val="00471646"/>
    <w:rsid w:val="004728A7"/>
    <w:rsid w:val="00477336"/>
    <w:rsid w:val="0048341A"/>
    <w:rsid w:val="004865DA"/>
    <w:rsid w:val="004951D4"/>
    <w:rsid w:val="004A0173"/>
    <w:rsid w:val="004B54BB"/>
    <w:rsid w:val="004B7189"/>
    <w:rsid w:val="004C0204"/>
    <w:rsid w:val="004C1627"/>
    <w:rsid w:val="004C5857"/>
    <w:rsid w:val="004D1522"/>
    <w:rsid w:val="004E1E14"/>
    <w:rsid w:val="004F0AE6"/>
    <w:rsid w:val="004F1657"/>
    <w:rsid w:val="004F3AB6"/>
    <w:rsid w:val="004F3AC8"/>
    <w:rsid w:val="00516C94"/>
    <w:rsid w:val="00516EA7"/>
    <w:rsid w:val="0051737A"/>
    <w:rsid w:val="005203D2"/>
    <w:rsid w:val="00535FEB"/>
    <w:rsid w:val="00536CE2"/>
    <w:rsid w:val="00547ED8"/>
    <w:rsid w:val="00555D7F"/>
    <w:rsid w:val="00560C86"/>
    <w:rsid w:val="00561D8C"/>
    <w:rsid w:val="00564B1B"/>
    <w:rsid w:val="00566EAD"/>
    <w:rsid w:val="0057420F"/>
    <w:rsid w:val="005761FA"/>
    <w:rsid w:val="00576573"/>
    <w:rsid w:val="00585138"/>
    <w:rsid w:val="00587F0E"/>
    <w:rsid w:val="005A13DC"/>
    <w:rsid w:val="005A333B"/>
    <w:rsid w:val="005A5F47"/>
    <w:rsid w:val="005B0D8D"/>
    <w:rsid w:val="005B2B18"/>
    <w:rsid w:val="005B2B3A"/>
    <w:rsid w:val="005C669F"/>
    <w:rsid w:val="005D076E"/>
    <w:rsid w:val="005D101D"/>
    <w:rsid w:val="005D1CCF"/>
    <w:rsid w:val="005D79CD"/>
    <w:rsid w:val="005D7DC8"/>
    <w:rsid w:val="005E1822"/>
    <w:rsid w:val="005F507A"/>
    <w:rsid w:val="006072FB"/>
    <w:rsid w:val="00611671"/>
    <w:rsid w:val="00620073"/>
    <w:rsid w:val="00620CCF"/>
    <w:rsid w:val="00622D54"/>
    <w:rsid w:val="006235DB"/>
    <w:rsid w:val="0063295F"/>
    <w:rsid w:val="006362AB"/>
    <w:rsid w:val="006364EB"/>
    <w:rsid w:val="00636D0F"/>
    <w:rsid w:val="0064191B"/>
    <w:rsid w:val="00655205"/>
    <w:rsid w:val="00676024"/>
    <w:rsid w:val="00681477"/>
    <w:rsid w:val="00683B1C"/>
    <w:rsid w:val="006951F9"/>
    <w:rsid w:val="0069575C"/>
    <w:rsid w:val="006B3332"/>
    <w:rsid w:val="006B4752"/>
    <w:rsid w:val="006B4A46"/>
    <w:rsid w:val="006C2CEF"/>
    <w:rsid w:val="006C3D98"/>
    <w:rsid w:val="006E1F1C"/>
    <w:rsid w:val="006F0BE1"/>
    <w:rsid w:val="006F3310"/>
    <w:rsid w:val="006F6237"/>
    <w:rsid w:val="00715475"/>
    <w:rsid w:val="00716A3E"/>
    <w:rsid w:val="007227C9"/>
    <w:rsid w:val="007244FE"/>
    <w:rsid w:val="00732D1F"/>
    <w:rsid w:val="007410E5"/>
    <w:rsid w:val="007461CE"/>
    <w:rsid w:val="00756EB7"/>
    <w:rsid w:val="00761A9E"/>
    <w:rsid w:val="00762A8C"/>
    <w:rsid w:val="00767110"/>
    <w:rsid w:val="0077558C"/>
    <w:rsid w:val="00783DF4"/>
    <w:rsid w:val="00785E76"/>
    <w:rsid w:val="007A09D3"/>
    <w:rsid w:val="007A3BBD"/>
    <w:rsid w:val="007A5E99"/>
    <w:rsid w:val="007A5ED7"/>
    <w:rsid w:val="007B1F39"/>
    <w:rsid w:val="007B6765"/>
    <w:rsid w:val="007C16B5"/>
    <w:rsid w:val="007C79CB"/>
    <w:rsid w:val="007D488C"/>
    <w:rsid w:val="007E7E04"/>
    <w:rsid w:val="007F062F"/>
    <w:rsid w:val="007F1FE1"/>
    <w:rsid w:val="007F20CE"/>
    <w:rsid w:val="00802346"/>
    <w:rsid w:val="00837AE1"/>
    <w:rsid w:val="00837F44"/>
    <w:rsid w:val="008453F7"/>
    <w:rsid w:val="008476DB"/>
    <w:rsid w:val="008566F7"/>
    <w:rsid w:val="00883C01"/>
    <w:rsid w:val="00884B87"/>
    <w:rsid w:val="00884FCD"/>
    <w:rsid w:val="00887643"/>
    <w:rsid w:val="00891F08"/>
    <w:rsid w:val="008979E1"/>
    <w:rsid w:val="008A320F"/>
    <w:rsid w:val="008A73D0"/>
    <w:rsid w:val="008B1DFB"/>
    <w:rsid w:val="008B2DE9"/>
    <w:rsid w:val="008C0919"/>
    <w:rsid w:val="008C4079"/>
    <w:rsid w:val="008C7895"/>
    <w:rsid w:val="008D7838"/>
    <w:rsid w:val="008E2589"/>
    <w:rsid w:val="008E2E53"/>
    <w:rsid w:val="008E3655"/>
    <w:rsid w:val="008F1C3F"/>
    <w:rsid w:val="0090454F"/>
    <w:rsid w:val="00907EBD"/>
    <w:rsid w:val="009120DE"/>
    <w:rsid w:val="00930CB6"/>
    <w:rsid w:val="00937F38"/>
    <w:rsid w:val="0094191E"/>
    <w:rsid w:val="009420E3"/>
    <w:rsid w:val="009440B5"/>
    <w:rsid w:val="00953A41"/>
    <w:rsid w:val="00954D0C"/>
    <w:rsid w:val="00984864"/>
    <w:rsid w:val="009A1FAA"/>
    <w:rsid w:val="009A297E"/>
    <w:rsid w:val="009A6FD6"/>
    <w:rsid w:val="009B0B56"/>
    <w:rsid w:val="009B4BBD"/>
    <w:rsid w:val="009B6567"/>
    <w:rsid w:val="009C08C4"/>
    <w:rsid w:val="009C44C4"/>
    <w:rsid w:val="009D3D8F"/>
    <w:rsid w:val="009D6F7B"/>
    <w:rsid w:val="009E02BD"/>
    <w:rsid w:val="009E1CC8"/>
    <w:rsid w:val="009E2762"/>
    <w:rsid w:val="009E52E6"/>
    <w:rsid w:val="009F14ED"/>
    <w:rsid w:val="009F4721"/>
    <w:rsid w:val="00A0247C"/>
    <w:rsid w:val="00A06FE7"/>
    <w:rsid w:val="00A07904"/>
    <w:rsid w:val="00A21289"/>
    <w:rsid w:val="00A246EB"/>
    <w:rsid w:val="00A31A7A"/>
    <w:rsid w:val="00A44130"/>
    <w:rsid w:val="00A45C02"/>
    <w:rsid w:val="00A47083"/>
    <w:rsid w:val="00A64976"/>
    <w:rsid w:val="00A64D66"/>
    <w:rsid w:val="00A7090F"/>
    <w:rsid w:val="00A726A2"/>
    <w:rsid w:val="00A729BE"/>
    <w:rsid w:val="00A75DA0"/>
    <w:rsid w:val="00A825AC"/>
    <w:rsid w:val="00A87E30"/>
    <w:rsid w:val="00A93C00"/>
    <w:rsid w:val="00A9428D"/>
    <w:rsid w:val="00AA0628"/>
    <w:rsid w:val="00AA3895"/>
    <w:rsid w:val="00AA6FF7"/>
    <w:rsid w:val="00AB2413"/>
    <w:rsid w:val="00AB3226"/>
    <w:rsid w:val="00AC129C"/>
    <w:rsid w:val="00AC3797"/>
    <w:rsid w:val="00AC76E1"/>
    <w:rsid w:val="00AD035B"/>
    <w:rsid w:val="00AD3415"/>
    <w:rsid w:val="00AD4B50"/>
    <w:rsid w:val="00AE18F4"/>
    <w:rsid w:val="00AE4340"/>
    <w:rsid w:val="00AF4FA3"/>
    <w:rsid w:val="00B02D85"/>
    <w:rsid w:val="00B06239"/>
    <w:rsid w:val="00B12E87"/>
    <w:rsid w:val="00B12F12"/>
    <w:rsid w:val="00B172FB"/>
    <w:rsid w:val="00B23F70"/>
    <w:rsid w:val="00B51BAF"/>
    <w:rsid w:val="00B54255"/>
    <w:rsid w:val="00B56F11"/>
    <w:rsid w:val="00B57B5D"/>
    <w:rsid w:val="00B727E1"/>
    <w:rsid w:val="00B76763"/>
    <w:rsid w:val="00B847AE"/>
    <w:rsid w:val="00B92C60"/>
    <w:rsid w:val="00B97224"/>
    <w:rsid w:val="00BA6697"/>
    <w:rsid w:val="00BA7AC0"/>
    <w:rsid w:val="00BB4186"/>
    <w:rsid w:val="00BB6B55"/>
    <w:rsid w:val="00BD7A7C"/>
    <w:rsid w:val="00BD7B55"/>
    <w:rsid w:val="00BE5A6D"/>
    <w:rsid w:val="00BF3A56"/>
    <w:rsid w:val="00C0570F"/>
    <w:rsid w:val="00C062E8"/>
    <w:rsid w:val="00C10883"/>
    <w:rsid w:val="00C1564D"/>
    <w:rsid w:val="00C20BC7"/>
    <w:rsid w:val="00C2173A"/>
    <w:rsid w:val="00C26C4F"/>
    <w:rsid w:val="00C33008"/>
    <w:rsid w:val="00C43AFE"/>
    <w:rsid w:val="00C4525D"/>
    <w:rsid w:val="00C45594"/>
    <w:rsid w:val="00C55671"/>
    <w:rsid w:val="00C61C9B"/>
    <w:rsid w:val="00C6538B"/>
    <w:rsid w:val="00C67CC8"/>
    <w:rsid w:val="00C749B5"/>
    <w:rsid w:val="00C86227"/>
    <w:rsid w:val="00C8679F"/>
    <w:rsid w:val="00C91057"/>
    <w:rsid w:val="00C91C3B"/>
    <w:rsid w:val="00CA556C"/>
    <w:rsid w:val="00CB565B"/>
    <w:rsid w:val="00CD4959"/>
    <w:rsid w:val="00CE0405"/>
    <w:rsid w:val="00CE09D4"/>
    <w:rsid w:val="00CE71DC"/>
    <w:rsid w:val="00CF3A58"/>
    <w:rsid w:val="00CF4855"/>
    <w:rsid w:val="00D03A97"/>
    <w:rsid w:val="00D05854"/>
    <w:rsid w:val="00D15C5D"/>
    <w:rsid w:val="00D17038"/>
    <w:rsid w:val="00D22E10"/>
    <w:rsid w:val="00D32593"/>
    <w:rsid w:val="00D36604"/>
    <w:rsid w:val="00D4201F"/>
    <w:rsid w:val="00D45269"/>
    <w:rsid w:val="00D504ED"/>
    <w:rsid w:val="00D50676"/>
    <w:rsid w:val="00D55B93"/>
    <w:rsid w:val="00D566AA"/>
    <w:rsid w:val="00D7579E"/>
    <w:rsid w:val="00D84D8D"/>
    <w:rsid w:val="00D862C2"/>
    <w:rsid w:val="00D96698"/>
    <w:rsid w:val="00DA3171"/>
    <w:rsid w:val="00DA430E"/>
    <w:rsid w:val="00DB0B95"/>
    <w:rsid w:val="00DB6D5D"/>
    <w:rsid w:val="00DB7584"/>
    <w:rsid w:val="00DC0A51"/>
    <w:rsid w:val="00DD069A"/>
    <w:rsid w:val="00DD2093"/>
    <w:rsid w:val="00DE4528"/>
    <w:rsid w:val="00DF3562"/>
    <w:rsid w:val="00DF64E3"/>
    <w:rsid w:val="00E027F5"/>
    <w:rsid w:val="00E03C5B"/>
    <w:rsid w:val="00E1180F"/>
    <w:rsid w:val="00E17442"/>
    <w:rsid w:val="00E17885"/>
    <w:rsid w:val="00E31A16"/>
    <w:rsid w:val="00E35CAA"/>
    <w:rsid w:val="00E44D89"/>
    <w:rsid w:val="00E5189D"/>
    <w:rsid w:val="00E5335B"/>
    <w:rsid w:val="00E53A29"/>
    <w:rsid w:val="00E715C1"/>
    <w:rsid w:val="00E73364"/>
    <w:rsid w:val="00E73C78"/>
    <w:rsid w:val="00E8058A"/>
    <w:rsid w:val="00E87C45"/>
    <w:rsid w:val="00E9418C"/>
    <w:rsid w:val="00E956A0"/>
    <w:rsid w:val="00E9736C"/>
    <w:rsid w:val="00EA6728"/>
    <w:rsid w:val="00EC0113"/>
    <w:rsid w:val="00ED059F"/>
    <w:rsid w:val="00EE0A7D"/>
    <w:rsid w:val="00EE1583"/>
    <w:rsid w:val="00EE3F4A"/>
    <w:rsid w:val="00EE5A51"/>
    <w:rsid w:val="00EE5EA6"/>
    <w:rsid w:val="00EE64DD"/>
    <w:rsid w:val="00EF3603"/>
    <w:rsid w:val="00EF5CBD"/>
    <w:rsid w:val="00EF6F21"/>
    <w:rsid w:val="00F018C7"/>
    <w:rsid w:val="00F03422"/>
    <w:rsid w:val="00F06D79"/>
    <w:rsid w:val="00F12C1B"/>
    <w:rsid w:val="00F209A5"/>
    <w:rsid w:val="00F2141E"/>
    <w:rsid w:val="00F30357"/>
    <w:rsid w:val="00F30471"/>
    <w:rsid w:val="00F329E0"/>
    <w:rsid w:val="00F40C7A"/>
    <w:rsid w:val="00F428DC"/>
    <w:rsid w:val="00F62780"/>
    <w:rsid w:val="00F761FA"/>
    <w:rsid w:val="00F81CA6"/>
    <w:rsid w:val="00F97AB3"/>
    <w:rsid w:val="00FA2FF4"/>
    <w:rsid w:val="00FA59B0"/>
    <w:rsid w:val="00FB4DBD"/>
    <w:rsid w:val="00FB5F17"/>
    <w:rsid w:val="00FD225B"/>
    <w:rsid w:val="00FD68F5"/>
    <w:rsid w:val="00FD7827"/>
    <w:rsid w:val="00FE19D8"/>
    <w:rsid w:val="00FF3B26"/>
    <w:rsid w:val="00FF70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5B373F"/>
  <w15:chartTrackingRefBased/>
  <w15:docId w15:val="{769ACECD-8EBC-A54B-BB2C-E99F3345B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D79"/>
    <w:pPr>
      <w:spacing w:before="120" w:after="120"/>
      <w:jc w:val="both"/>
    </w:pPr>
    <w:rPr>
      <w:rFonts w:ascii="Roboto Light" w:hAnsi="Roboto Light"/>
      <w:color w:val="3B3838" w:themeColor="background2" w:themeShade="40"/>
      <w:sz w:val="22"/>
      <w:lang w:val="en-US"/>
    </w:rPr>
  </w:style>
  <w:style w:type="paragraph" w:styleId="Balk1">
    <w:name w:val="heading 1"/>
    <w:basedOn w:val="Normal"/>
    <w:next w:val="Normal"/>
    <w:link w:val="Balk1Char"/>
    <w:uiPriority w:val="9"/>
    <w:qFormat/>
    <w:rsid w:val="00F06D79"/>
    <w:pPr>
      <w:keepNext/>
      <w:keepLines/>
      <w:spacing w:before="240" w:after="240"/>
      <w:jc w:val="left"/>
      <w:outlineLvl w:val="0"/>
    </w:pPr>
    <w:rPr>
      <w:rFonts w:ascii="Roboto Black" w:eastAsiaTheme="majorEastAsia" w:hAnsi="Roboto Black" w:cstheme="majorBidi"/>
      <w:sz w:val="28"/>
      <w:szCs w:val="32"/>
    </w:rPr>
  </w:style>
  <w:style w:type="paragraph" w:styleId="Balk2">
    <w:name w:val="heading 2"/>
    <w:basedOn w:val="Normal"/>
    <w:next w:val="Normal"/>
    <w:link w:val="Balk2Char"/>
    <w:uiPriority w:val="9"/>
    <w:unhideWhenUsed/>
    <w:qFormat/>
    <w:rsid w:val="00F06D79"/>
    <w:pPr>
      <w:keepNext/>
      <w:keepLines/>
      <w:jc w:val="left"/>
      <w:outlineLvl w:val="1"/>
    </w:pPr>
    <w:rPr>
      <w:rFonts w:ascii="Roboto Black" w:eastAsiaTheme="majorEastAsia" w:hAnsi="Roboto Black" w:cstheme="majorBidi"/>
      <w:sz w:val="24"/>
      <w:szCs w:val="26"/>
    </w:rPr>
  </w:style>
  <w:style w:type="paragraph" w:styleId="Balk3">
    <w:name w:val="heading 3"/>
    <w:basedOn w:val="Normal"/>
    <w:next w:val="Normal"/>
    <w:link w:val="Balk3Char"/>
    <w:uiPriority w:val="9"/>
    <w:unhideWhenUsed/>
    <w:qFormat/>
    <w:rsid w:val="00F06D79"/>
    <w:pPr>
      <w:keepNext/>
      <w:keepLines/>
      <w:spacing w:before="40"/>
      <w:jc w:val="left"/>
      <w:outlineLvl w:val="2"/>
    </w:pPr>
    <w:rPr>
      <w:rFonts w:eastAsiaTheme="majorEastAsia" w:cstheme="majorBidi"/>
      <w:b/>
    </w:rPr>
  </w:style>
  <w:style w:type="paragraph" w:styleId="Balk4">
    <w:name w:val="heading 4"/>
    <w:basedOn w:val="Normal"/>
    <w:next w:val="Normal"/>
    <w:link w:val="Balk4Char"/>
    <w:uiPriority w:val="9"/>
    <w:unhideWhenUsed/>
    <w:qFormat/>
    <w:rsid w:val="00CE09D4"/>
    <w:pPr>
      <w:keepNext/>
      <w:keepLines/>
      <w:spacing w:before="40"/>
      <w:jc w:val="left"/>
      <w:outlineLvl w:val="3"/>
    </w:pPr>
    <w:rPr>
      <w:rFonts w:eastAsiaTheme="majorEastAsia" w:cstheme="majorBidi"/>
      <w:b/>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APA">
    <w:name w:val="APA"/>
    <w:basedOn w:val="NormalTablo"/>
    <w:uiPriority w:val="99"/>
    <w:rsid w:val="00F428DC"/>
    <w:rPr>
      <w:rFonts w:ascii="Times New Roman" w:hAnsi="Times New Roman"/>
      <w:sz w:val="22"/>
      <w:szCs w:val="22"/>
    </w:rPr>
    <w:tblPr>
      <w:tblBorders>
        <w:top w:val="single" w:sz="6" w:space="0" w:color="auto"/>
        <w:bottom w:val="single" w:sz="6" w:space="0" w:color="auto"/>
      </w:tblBorders>
    </w:tblPr>
    <w:tcPr>
      <w:vAlign w:val="center"/>
    </w:tcPr>
    <w:tblStylePr w:type="firstRow">
      <w:rPr>
        <w:rFonts w:ascii="Times New Roman" w:hAnsi="Times New Roman"/>
        <w:b/>
        <w:sz w:val="22"/>
      </w:rPr>
      <w:tblPr/>
      <w:tcPr>
        <w:tcBorders>
          <w:bottom w:val="single" w:sz="6" w:space="0" w:color="auto"/>
        </w:tcBorders>
      </w:tcPr>
    </w:tblStylePr>
  </w:style>
  <w:style w:type="character" w:customStyle="1" w:styleId="Balk1Char">
    <w:name w:val="Başlık 1 Char"/>
    <w:basedOn w:val="VarsaylanParagrafYazTipi"/>
    <w:link w:val="Balk1"/>
    <w:uiPriority w:val="9"/>
    <w:rsid w:val="00F06D79"/>
    <w:rPr>
      <w:rFonts w:ascii="Roboto Black" w:eastAsiaTheme="majorEastAsia" w:hAnsi="Roboto Black" w:cstheme="majorBidi"/>
      <w:color w:val="3B3838" w:themeColor="background2" w:themeShade="40"/>
      <w:sz w:val="28"/>
      <w:szCs w:val="32"/>
      <w:lang w:val="en-US"/>
    </w:rPr>
  </w:style>
  <w:style w:type="character" w:customStyle="1" w:styleId="Balk2Char">
    <w:name w:val="Başlık 2 Char"/>
    <w:basedOn w:val="VarsaylanParagrafYazTipi"/>
    <w:link w:val="Balk2"/>
    <w:uiPriority w:val="9"/>
    <w:rsid w:val="00F06D79"/>
    <w:rPr>
      <w:rFonts w:ascii="Roboto Black" w:eastAsiaTheme="majorEastAsia" w:hAnsi="Roboto Black" w:cstheme="majorBidi"/>
      <w:color w:val="3B3838" w:themeColor="background2" w:themeShade="40"/>
      <w:szCs w:val="26"/>
      <w:lang w:val="en-US"/>
    </w:rPr>
  </w:style>
  <w:style w:type="character" w:customStyle="1" w:styleId="Balk3Char">
    <w:name w:val="Başlık 3 Char"/>
    <w:basedOn w:val="VarsaylanParagrafYazTipi"/>
    <w:link w:val="Balk3"/>
    <w:uiPriority w:val="9"/>
    <w:rsid w:val="00F06D79"/>
    <w:rPr>
      <w:rFonts w:ascii="Roboto Light" w:eastAsiaTheme="majorEastAsia" w:hAnsi="Roboto Light" w:cstheme="majorBidi"/>
      <w:b/>
      <w:color w:val="3B3838" w:themeColor="background2" w:themeShade="40"/>
      <w:sz w:val="22"/>
      <w:lang w:val="en-US"/>
    </w:rPr>
  </w:style>
  <w:style w:type="paragraph" w:styleId="KonuBal">
    <w:name w:val="Title"/>
    <w:aliases w:val="Article Title"/>
    <w:basedOn w:val="Normal"/>
    <w:next w:val="Normal"/>
    <w:link w:val="KonuBalChar"/>
    <w:uiPriority w:val="10"/>
    <w:qFormat/>
    <w:rsid w:val="00D45269"/>
    <w:pPr>
      <w:spacing w:before="240" w:after="240"/>
      <w:contextualSpacing/>
      <w:jc w:val="left"/>
    </w:pPr>
    <w:rPr>
      <w:rFonts w:ascii="Roboto Black" w:eastAsiaTheme="majorEastAsia" w:hAnsi="Roboto Black" w:cs="Times New Roman (CS Başlıklar)"/>
      <w:color w:val="4B4E69"/>
      <w:sz w:val="32"/>
      <w:szCs w:val="56"/>
    </w:rPr>
  </w:style>
  <w:style w:type="character" w:customStyle="1" w:styleId="KonuBalChar">
    <w:name w:val="Konu Başlığı Char"/>
    <w:aliases w:val="Article Title Char"/>
    <w:basedOn w:val="VarsaylanParagrafYazTipi"/>
    <w:link w:val="KonuBal"/>
    <w:uiPriority w:val="10"/>
    <w:rsid w:val="00D45269"/>
    <w:rPr>
      <w:rFonts w:ascii="Roboto Black" w:eastAsiaTheme="majorEastAsia" w:hAnsi="Roboto Black" w:cs="Times New Roman (CS Başlıklar)"/>
      <w:color w:val="4B4E69"/>
      <w:sz w:val="32"/>
      <w:szCs w:val="56"/>
      <w:lang w:val="en-US"/>
    </w:rPr>
  </w:style>
  <w:style w:type="character" w:customStyle="1" w:styleId="Balk4Char">
    <w:name w:val="Başlık 4 Char"/>
    <w:basedOn w:val="VarsaylanParagrafYazTipi"/>
    <w:link w:val="Balk4"/>
    <w:uiPriority w:val="9"/>
    <w:rsid w:val="00CE09D4"/>
    <w:rPr>
      <w:rFonts w:ascii="PT Sans" w:eastAsiaTheme="majorEastAsia" w:hAnsi="PT Sans" w:cstheme="majorBidi"/>
      <w:b/>
      <w:i/>
      <w:iCs/>
      <w:color w:val="000000" w:themeColor="text1"/>
      <w:sz w:val="22"/>
      <w:lang w:val="en-US"/>
    </w:rPr>
  </w:style>
  <w:style w:type="paragraph" w:styleId="ListeParagraf">
    <w:name w:val="List Paragraph"/>
    <w:basedOn w:val="Normal"/>
    <w:uiPriority w:val="34"/>
    <w:rsid w:val="00937F38"/>
    <w:pPr>
      <w:ind w:left="720"/>
      <w:contextualSpacing/>
    </w:pPr>
  </w:style>
  <w:style w:type="paragraph" w:styleId="Alnt">
    <w:name w:val="Quote"/>
    <w:aliases w:val="References"/>
    <w:basedOn w:val="Normal"/>
    <w:next w:val="Normal"/>
    <w:link w:val="AlntChar"/>
    <w:uiPriority w:val="29"/>
    <w:qFormat/>
    <w:rsid w:val="005A5F47"/>
    <w:pPr>
      <w:spacing w:before="60" w:after="60"/>
      <w:ind w:left="567" w:hanging="567"/>
    </w:pPr>
    <w:rPr>
      <w:iCs/>
      <w:sz w:val="20"/>
    </w:rPr>
  </w:style>
  <w:style w:type="character" w:customStyle="1" w:styleId="AlntChar">
    <w:name w:val="Alıntı Char"/>
    <w:aliases w:val="References Char"/>
    <w:basedOn w:val="VarsaylanParagrafYazTipi"/>
    <w:link w:val="Alnt"/>
    <w:uiPriority w:val="29"/>
    <w:rsid w:val="005A5F47"/>
    <w:rPr>
      <w:rFonts w:ascii="Roboto Light" w:hAnsi="Roboto Light"/>
      <w:iCs/>
      <w:color w:val="000000" w:themeColor="text1"/>
      <w:sz w:val="20"/>
      <w:lang w:val="en-US"/>
    </w:rPr>
  </w:style>
  <w:style w:type="paragraph" w:styleId="AralkYok">
    <w:name w:val="No Spacing"/>
    <w:aliases w:val="Table &amp; Statements"/>
    <w:basedOn w:val="Normal"/>
    <w:uiPriority w:val="1"/>
    <w:qFormat/>
    <w:rsid w:val="00566EAD"/>
    <w:pPr>
      <w:spacing w:before="0" w:after="0"/>
      <w:jc w:val="left"/>
    </w:pPr>
    <w:rPr>
      <w:sz w:val="20"/>
    </w:rPr>
  </w:style>
  <w:style w:type="table" w:styleId="TabloKlavuzu">
    <w:name w:val="Table Grid"/>
    <w:basedOn w:val="NormalTablo"/>
    <w:uiPriority w:val="39"/>
    <w:rsid w:val="00611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A726A2"/>
    <w:pPr>
      <w:tabs>
        <w:tab w:val="center" w:pos="4536"/>
        <w:tab w:val="right" w:pos="9072"/>
      </w:tabs>
      <w:spacing w:before="0" w:after="0"/>
    </w:pPr>
  </w:style>
  <w:style w:type="character" w:customStyle="1" w:styleId="stBilgiChar">
    <w:name w:val="Üst Bilgi Char"/>
    <w:basedOn w:val="VarsaylanParagrafYazTipi"/>
    <w:link w:val="stBilgi"/>
    <w:uiPriority w:val="99"/>
    <w:rsid w:val="00A726A2"/>
    <w:rPr>
      <w:rFonts w:ascii="PT Sans" w:hAnsi="PT Sans"/>
      <w:sz w:val="22"/>
      <w:lang w:val="en-US"/>
    </w:rPr>
  </w:style>
  <w:style w:type="paragraph" w:styleId="AltBilgi">
    <w:name w:val="footer"/>
    <w:basedOn w:val="Normal"/>
    <w:link w:val="AltBilgiChar"/>
    <w:uiPriority w:val="99"/>
    <w:unhideWhenUsed/>
    <w:rsid w:val="00A726A2"/>
    <w:pPr>
      <w:tabs>
        <w:tab w:val="center" w:pos="4536"/>
        <w:tab w:val="right" w:pos="9072"/>
      </w:tabs>
      <w:spacing w:before="0" w:after="0"/>
    </w:pPr>
  </w:style>
  <w:style w:type="character" w:customStyle="1" w:styleId="AltBilgiChar">
    <w:name w:val="Alt Bilgi Char"/>
    <w:basedOn w:val="VarsaylanParagrafYazTipi"/>
    <w:link w:val="AltBilgi"/>
    <w:uiPriority w:val="99"/>
    <w:rsid w:val="00A726A2"/>
    <w:rPr>
      <w:rFonts w:ascii="PT Sans" w:hAnsi="PT Sans"/>
      <w:sz w:val="22"/>
      <w:lang w:val="en-US"/>
    </w:rPr>
  </w:style>
  <w:style w:type="character" w:styleId="SayfaNumaras">
    <w:name w:val="page number"/>
    <w:basedOn w:val="VarsaylanParagrafYazTipi"/>
    <w:uiPriority w:val="99"/>
    <w:semiHidden/>
    <w:unhideWhenUsed/>
    <w:rsid w:val="00A726A2"/>
  </w:style>
  <w:style w:type="paragraph" w:customStyle="1" w:styleId="UpperInfos">
    <w:name w:val="UpperInfos"/>
    <w:basedOn w:val="Normal"/>
    <w:rsid w:val="00264513"/>
    <w:pPr>
      <w:spacing w:before="0" w:after="0"/>
    </w:pPr>
    <w:rPr>
      <w:rFonts w:ascii="PT Sans Narrow" w:hAnsi="PT Sans Narrow" w:cs="Times New Roman (CS Gövde)"/>
      <w:color w:val="808080" w:themeColor="background1" w:themeShade="80"/>
    </w:rPr>
  </w:style>
  <w:style w:type="paragraph" w:customStyle="1" w:styleId="HeadTitles">
    <w:name w:val="Head Titles"/>
    <w:basedOn w:val="Normal"/>
    <w:link w:val="HeadTitlesChar"/>
    <w:qFormat/>
    <w:rsid w:val="008E3655"/>
    <w:pPr>
      <w:jc w:val="left"/>
    </w:pPr>
    <w:rPr>
      <w:rFonts w:ascii="Roboto Black" w:hAnsi="Roboto Black" w:cs="Times New Roman (CS Gövde)"/>
      <w:color w:val="4B4E69"/>
      <w:sz w:val="20"/>
    </w:rPr>
  </w:style>
  <w:style w:type="paragraph" w:customStyle="1" w:styleId="Abstract">
    <w:name w:val="Abstract"/>
    <w:basedOn w:val="Normal"/>
    <w:qFormat/>
    <w:rsid w:val="00F06D79"/>
    <w:rPr>
      <w:sz w:val="18"/>
    </w:rPr>
  </w:style>
  <w:style w:type="paragraph" w:customStyle="1" w:styleId="GrayText">
    <w:name w:val="Gray Text"/>
    <w:basedOn w:val="Normal"/>
    <w:qFormat/>
    <w:rsid w:val="00D45269"/>
    <w:pPr>
      <w:spacing w:before="0" w:after="0"/>
      <w:jc w:val="left"/>
    </w:pPr>
    <w:rPr>
      <w:rFonts w:ascii="Roboto Condensed" w:hAnsi="Roboto Condensed"/>
      <w:color w:val="5E8198"/>
      <w:sz w:val="18"/>
    </w:rPr>
  </w:style>
  <w:style w:type="paragraph" w:customStyle="1" w:styleId="Authors">
    <w:name w:val="Author(s)"/>
    <w:basedOn w:val="Normal"/>
    <w:qFormat/>
    <w:rsid w:val="00CE09D4"/>
    <w:pPr>
      <w:spacing w:before="360" w:after="360"/>
      <w:jc w:val="left"/>
    </w:pPr>
    <w:rPr>
      <w:sz w:val="24"/>
    </w:rPr>
  </w:style>
  <w:style w:type="character" w:styleId="Kpr">
    <w:name w:val="Hyperlink"/>
    <w:basedOn w:val="VarsaylanParagrafYazTipi"/>
    <w:uiPriority w:val="99"/>
    <w:unhideWhenUsed/>
    <w:rsid w:val="0019679D"/>
    <w:rPr>
      <w:color w:val="0563C1" w:themeColor="hyperlink"/>
      <w:u w:val="single"/>
    </w:rPr>
  </w:style>
  <w:style w:type="character" w:styleId="zmlenmeyenBahsetme">
    <w:name w:val="Unresolved Mention"/>
    <w:basedOn w:val="VarsaylanParagrafYazTipi"/>
    <w:uiPriority w:val="99"/>
    <w:semiHidden/>
    <w:unhideWhenUsed/>
    <w:rsid w:val="0019679D"/>
    <w:rPr>
      <w:color w:val="605E5C"/>
      <w:shd w:val="clear" w:color="auto" w:fill="E1DFDD"/>
    </w:rPr>
  </w:style>
  <w:style w:type="paragraph" w:customStyle="1" w:styleId="HeaderTop">
    <w:name w:val="Header Top"/>
    <w:basedOn w:val="Normal"/>
    <w:rsid w:val="006072FB"/>
    <w:pPr>
      <w:spacing w:before="0" w:after="0"/>
      <w:jc w:val="right"/>
    </w:pPr>
    <w:rPr>
      <w:sz w:val="20"/>
    </w:rPr>
  </w:style>
  <w:style w:type="character" w:styleId="zlenenKpr">
    <w:name w:val="FollowedHyperlink"/>
    <w:basedOn w:val="VarsaylanParagrafYazTipi"/>
    <w:uiPriority w:val="99"/>
    <w:semiHidden/>
    <w:unhideWhenUsed/>
    <w:rsid w:val="00AC3797"/>
    <w:rPr>
      <w:color w:val="954F72" w:themeColor="followedHyperlink"/>
      <w:u w:val="single"/>
    </w:rPr>
  </w:style>
  <w:style w:type="paragraph" w:customStyle="1" w:styleId="HeadTitlesAlt">
    <w:name w:val="Head Titles Alt"/>
    <w:basedOn w:val="HeadTitles"/>
    <w:link w:val="HeadTitlesAltChar"/>
    <w:rsid w:val="007B1F39"/>
  </w:style>
  <w:style w:type="character" w:customStyle="1" w:styleId="HeadTitlesChar">
    <w:name w:val="Head Titles Char"/>
    <w:basedOn w:val="VarsaylanParagrafYazTipi"/>
    <w:link w:val="HeadTitles"/>
    <w:rsid w:val="008E3655"/>
    <w:rPr>
      <w:rFonts w:ascii="Roboto Black" w:hAnsi="Roboto Black" w:cs="Times New Roman (CS Gövde)"/>
      <w:color w:val="4B4E69"/>
      <w:sz w:val="20"/>
      <w:lang w:val="en-US"/>
    </w:rPr>
  </w:style>
  <w:style w:type="character" w:customStyle="1" w:styleId="HeadTitlesAltChar">
    <w:name w:val="Head Titles Alt Char"/>
    <w:basedOn w:val="HeadTitlesChar"/>
    <w:link w:val="HeadTitlesAlt"/>
    <w:rsid w:val="007B1F39"/>
    <w:rPr>
      <w:rFonts w:ascii="PT Sans" w:hAnsi="PT Sans" w:cs="Times New Roman (CS Gövde)"/>
      <w:b w:val="0"/>
      <w:caps w:val="0"/>
      <w:color w:val="4B4E69"/>
      <w:sz w:val="20"/>
      <w:lang w:val="en-US"/>
    </w:rPr>
  </w:style>
  <w:style w:type="paragraph" w:styleId="DipnotMetni">
    <w:name w:val="footnote text"/>
    <w:basedOn w:val="Normal"/>
    <w:link w:val="DipnotMetniChar"/>
    <w:uiPriority w:val="99"/>
    <w:semiHidden/>
    <w:unhideWhenUsed/>
    <w:rsid w:val="00B12E87"/>
    <w:pPr>
      <w:spacing w:before="0" w:after="0"/>
    </w:pPr>
    <w:rPr>
      <w:sz w:val="20"/>
      <w:szCs w:val="20"/>
    </w:rPr>
  </w:style>
  <w:style w:type="character" w:customStyle="1" w:styleId="DipnotMetniChar">
    <w:name w:val="Dipnot Metni Char"/>
    <w:basedOn w:val="VarsaylanParagrafYazTipi"/>
    <w:link w:val="DipnotMetni"/>
    <w:uiPriority w:val="99"/>
    <w:semiHidden/>
    <w:rsid w:val="00B12E87"/>
    <w:rPr>
      <w:rFonts w:ascii="Roboto" w:hAnsi="Roboto"/>
      <w:color w:val="000000" w:themeColor="text1"/>
      <w:sz w:val="20"/>
      <w:szCs w:val="20"/>
      <w:lang w:val="en-US"/>
    </w:rPr>
  </w:style>
  <w:style w:type="character" w:styleId="DipnotBavurusu">
    <w:name w:val="footnote reference"/>
    <w:basedOn w:val="VarsaylanParagrafYazTipi"/>
    <w:uiPriority w:val="99"/>
    <w:semiHidden/>
    <w:unhideWhenUsed/>
    <w:rsid w:val="00B12E87"/>
    <w:rPr>
      <w:vertAlign w:val="superscript"/>
    </w:rPr>
  </w:style>
  <w:style w:type="paragraph" w:styleId="NormalWeb">
    <w:name w:val="Normal (Web)"/>
    <w:basedOn w:val="Normal"/>
    <w:uiPriority w:val="99"/>
    <w:semiHidden/>
    <w:unhideWhenUsed/>
    <w:rsid w:val="00576573"/>
    <w:pPr>
      <w:spacing w:before="100" w:beforeAutospacing="1" w:after="100" w:afterAutospacing="1"/>
      <w:jc w:val="left"/>
    </w:pPr>
    <w:rPr>
      <w:rFonts w:ascii="Times New Roman" w:eastAsia="Times New Roman" w:hAnsi="Times New Roman" w:cs="Times New Roman"/>
      <w:color w:val="auto"/>
      <w:sz w:val="24"/>
      <w:lang w:val="tr-TR" w:eastAsia="tr-TR"/>
    </w:rPr>
  </w:style>
  <w:style w:type="paragraph" w:customStyle="1" w:styleId="Cite">
    <w:name w:val="Cite"/>
    <w:basedOn w:val="Normal"/>
    <w:qFormat/>
    <w:rsid w:val="00E1180F"/>
    <w:pPr>
      <w:spacing w:before="0" w:after="0"/>
    </w:pPr>
    <w:rPr>
      <w:sz w:val="16"/>
    </w:rPr>
  </w:style>
  <w:style w:type="paragraph" w:customStyle="1" w:styleId="KONUBALII">
    <w:name w:val="KONU BAŞLIĞI"/>
    <w:aliases w:val="ARTICLE TITLE (EN)"/>
    <w:basedOn w:val="KonuBal"/>
    <w:qFormat/>
    <w:rsid w:val="003D60F0"/>
    <w:rPr>
      <w:sz w:val="28"/>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85796">
      <w:bodyDiv w:val="1"/>
      <w:marLeft w:val="0"/>
      <w:marRight w:val="0"/>
      <w:marTop w:val="0"/>
      <w:marBottom w:val="0"/>
      <w:divBdr>
        <w:top w:val="none" w:sz="0" w:space="0" w:color="auto"/>
        <w:left w:val="none" w:sz="0" w:space="0" w:color="auto"/>
        <w:bottom w:val="none" w:sz="0" w:space="0" w:color="auto"/>
        <w:right w:val="none" w:sz="0" w:space="0" w:color="auto"/>
      </w:divBdr>
    </w:div>
    <w:div w:id="274484815">
      <w:bodyDiv w:val="1"/>
      <w:marLeft w:val="0"/>
      <w:marRight w:val="0"/>
      <w:marTop w:val="0"/>
      <w:marBottom w:val="0"/>
      <w:divBdr>
        <w:top w:val="none" w:sz="0" w:space="0" w:color="auto"/>
        <w:left w:val="none" w:sz="0" w:space="0" w:color="auto"/>
        <w:bottom w:val="none" w:sz="0" w:space="0" w:color="auto"/>
        <w:right w:val="none" w:sz="0" w:space="0" w:color="auto"/>
      </w:divBdr>
    </w:div>
    <w:div w:id="458576928">
      <w:bodyDiv w:val="1"/>
      <w:marLeft w:val="0"/>
      <w:marRight w:val="0"/>
      <w:marTop w:val="0"/>
      <w:marBottom w:val="0"/>
      <w:divBdr>
        <w:top w:val="none" w:sz="0" w:space="0" w:color="auto"/>
        <w:left w:val="none" w:sz="0" w:space="0" w:color="auto"/>
        <w:bottom w:val="none" w:sz="0" w:space="0" w:color="auto"/>
        <w:right w:val="none" w:sz="0" w:space="0" w:color="auto"/>
      </w:divBdr>
    </w:div>
    <w:div w:id="1070351993">
      <w:bodyDiv w:val="1"/>
      <w:marLeft w:val="0"/>
      <w:marRight w:val="0"/>
      <w:marTop w:val="0"/>
      <w:marBottom w:val="0"/>
      <w:divBdr>
        <w:top w:val="none" w:sz="0" w:space="0" w:color="auto"/>
        <w:left w:val="none" w:sz="0" w:space="0" w:color="auto"/>
        <w:bottom w:val="none" w:sz="0" w:space="0" w:color="auto"/>
        <w:right w:val="none" w:sz="0" w:space="0" w:color="auto"/>
      </w:divBdr>
      <w:divsChild>
        <w:div w:id="1569068573">
          <w:marLeft w:val="0"/>
          <w:marRight w:val="0"/>
          <w:marTop w:val="0"/>
          <w:marBottom w:val="0"/>
          <w:divBdr>
            <w:top w:val="none" w:sz="0" w:space="0" w:color="auto"/>
            <w:left w:val="none" w:sz="0" w:space="0" w:color="auto"/>
            <w:bottom w:val="none" w:sz="0" w:space="0" w:color="auto"/>
            <w:right w:val="none" w:sz="0" w:space="0" w:color="auto"/>
          </w:divBdr>
          <w:divsChild>
            <w:div w:id="450712407">
              <w:marLeft w:val="0"/>
              <w:marRight w:val="0"/>
              <w:marTop w:val="0"/>
              <w:marBottom w:val="0"/>
              <w:divBdr>
                <w:top w:val="none" w:sz="0" w:space="0" w:color="auto"/>
                <w:left w:val="none" w:sz="0" w:space="0" w:color="auto"/>
                <w:bottom w:val="none" w:sz="0" w:space="0" w:color="auto"/>
                <w:right w:val="none" w:sz="0" w:space="0" w:color="auto"/>
              </w:divBdr>
              <w:divsChild>
                <w:div w:id="1110126953">
                  <w:marLeft w:val="150"/>
                  <w:marRight w:val="150"/>
                  <w:marTop w:val="150"/>
                  <w:marBottom w:val="150"/>
                  <w:divBdr>
                    <w:top w:val="none" w:sz="0" w:space="0" w:color="auto"/>
                    <w:left w:val="none" w:sz="0" w:space="0" w:color="auto"/>
                    <w:bottom w:val="none" w:sz="0" w:space="0" w:color="auto"/>
                    <w:right w:val="none" w:sz="0" w:space="0" w:color="auto"/>
                  </w:divBdr>
                  <w:divsChild>
                    <w:div w:id="1591694230">
                      <w:marLeft w:val="0"/>
                      <w:marRight w:val="0"/>
                      <w:marTop w:val="0"/>
                      <w:marBottom w:val="0"/>
                      <w:divBdr>
                        <w:top w:val="none" w:sz="0" w:space="0" w:color="auto"/>
                        <w:left w:val="none" w:sz="0" w:space="0" w:color="auto"/>
                        <w:bottom w:val="none" w:sz="0" w:space="0" w:color="auto"/>
                        <w:right w:val="none" w:sz="0" w:space="0" w:color="auto"/>
                      </w:divBdr>
                      <w:divsChild>
                        <w:div w:id="148762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055791">
          <w:marLeft w:val="0"/>
          <w:marRight w:val="0"/>
          <w:marTop w:val="0"/>
          <w:marBottom w:val="0"/>
          <w:divBdr>
            <w:top w:val="none" w:sz="0" w:space="0" w:color="auto"/>
            <w:left w:val="none" w:sz="0" w:space="0" w:color="auto"/>
            <w:bottom w:val="none" w:sz="0" w:space="0" w:color="auto"/>
            <w:right w:val="none" w:sz="0" w:space="0" w:color="auto"/>
          </w:divBdr>
          <w:divsChild>
            <w:div w:id="1913468683">
              <w:marLeft w:val="0"/>
              <w:marRight w:val="0"/>
              <w:marTop w:val="0"/>
              <w:marBottom w:val="0"/>
              <w:divBdr>
                <w:top w:val="none" w:sz="0" w:space="0" w:color="auto"/>
                <w:left w:val="none" w:sz="0" w:space="0" w:color="auto"/>
                <w:bottom w:val="none" w:sz="0" w:space="0" w:color="auto"/>
                <w:right w:val="none" w:sz="0" w:space="0" w:color="auto"/>
              </w:divBdr>
              <w:divsChild>
                <w:div w:id="1336877872">
                  <w:marLeft w:val="150"/>
                  <w:marRight w:val="150"/>
                  <w:marTop w:val="150"/>
                  <w:marBottom w:val="150"/>
                  <w:divBdr>
                    <w:top w:val="none" w:sz="0" w:space="0" w:color="auto"/>
                    <w:left w:val="none" w:sz="0" w:space="0" w:color="auto"/>
                    <w:bottom w:val="none" w:sz="0" w:space="0" w:color="auto"/>
                    <w:right w:val="none" w:sz="0" w:space="0" w:color="auto"/>
                  </w:divBdr>
                  <w:divsChild>
                    <w:div w:id="703604704">
                      <w:marLeft w:val="0"/>
                      <w:marRight w:val="0"/>
                      <w:marTop w:val="0"/>
                      <w:marBottom w:val="300"/>
                      <w:divBdr>
                        <w:top w:val="none" w:sz="0" w:space="0" w:color="auto"/>
                        <w:left w:val="none" w:sz="0" w:space="0" w:color="auto"/>
                        <w:bottom w:val="none" w:sz="0" w:space="0" w:color="auto"/>
                        <w:right w:val="none" w:sz="0" w:space="0" w:color="auto"/>
                      </w:divBdr>
                      <w:divsChild>
                        <w:div w:id="164072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3339158">
      <w:bodyDiv w:val="1"/>
      <w:marLeft w:val="0"/>
      <w:marRight w:val="0"/>
      <w:marTop w:val="0"/>
      <w:marBottom w:val="0"/>
      <w:divBdr>
        <w:top w:val="none" w:sz="0" w:space="0" w:color="auto"/>
        <w:left w:val="none" w:sz="0" w:space="0" w:color="auto"/>
        <w:bottom w:val="none" w:sz="0" w:space="0" w:color="auto"/>
        <w:right w:val="none" w:sz="0" w:space="0" w:color="auto"/>
      </w:divBdr>
    </w:div>
    <w:div w:id="1572471793">
      <w:bodyDiv w:val="1"/>
      <w:marLeft w:val="0"/>
      <w:marRight w:val="0"/>
      <w:marTop w:val="0"/>
      <w:marBottom w:val="0"/>
      <w:divBdr>
        <w:top w:val="none" w:sz="0" w:space="0" w:color="auto"/>
        <w:left w:val="none" w:sz="0" w:space="0" w:color="auto"/>
        <w:bottom w:val="none" w:sz="0" w:space="0" w:color="auto"/>
        <w:right w:val="none" w:sz="0" w:space="0" w:color="auto"/>
      </w:divBdr>
    </w:div>
    <w:div w:id="1796172338">
      <w:bodyDiv w:val="1"/>
      <w:marLeft w:val="0"/>
      <w:marRight w:val="0"/>
      <w:marTop w:val="0"/>
      <w:marBottom w:val="0"/>
      <w:divBdr>
        <w:top w:val="none" w:sz="0" w:space="0" w:color="auto"/>
        <w:left w:val="none" w:sz="0" w:space="0" w:color="auto"/>
        <w:bottom w:val="none" w:sz="0" w:space="0" w:color="auto"/>
        <w:right w:val="none" w:sz="0" w:space="0" w:color="auto"/>
      </w:divBdr>
    </w:div>
    <w:div w:id="2005281913">
      <w:bodyDiv w:val="1"/>
      <w:marLeft w:val="0"/>
      <w:marRight w:val="0"/>
      <w:marTop w:val="0"/>
      <w:marBottom w:val="0"/>
      <w:divBdr>
        <w:top w:val="none" w:sz="0" w:space="0" w:color="auto"/>
        <w:left w:val="none" w:sz="0" w:space="0" w:color="auto"/>
        <w:bottom w:val="none" w:sz="0" w:space="0" w:color="auto"/>
        <w:right w:val="none" w:sz="0" w:space="0" w:color="auto"/>
      </w:divBdr>
    </w:div>
    <w:div w:id="209578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ranslationjournal.net/journal/41metaphor.htm" TargetMode="External"/><Relationship Id="rId18" Type="http://schemas.openxmlformats.org/officeDocument/2006/relationships/hyperlink" Target="http://doi.org/10.31592/aeusbed.621664" TargetMode="External"/><Relationship Id="rId26" Type="http://schemas.openxmlformats.org/officeDocument/2006/relationships/hyperlink" Target="https://asa.confex.com/asa/2017/webprogramarchives/Session9517.html" TargetMode="External"/><Relationship Id="rId39" Type="http://schemas.openxmlformats.org/officeDocument/2006/relationships/hyperlink" Target="https://www.nationalgeographic.com/magazine/article/national-geographic-magazine-50-years-of-covers" TargetMode="External"/><Relationship Id="rId21" Type="http://schemas.openxmlformats.org/officeDocument/2006/relationships/hyperlink" Target="http://a.co/0IAiVgt" TargetMode="External"/><Relationship Id="rId34" Type="http://schemas.openxmlformats.org/officeDocument/2006/relationships/hyperlink" Target="http://vimeo.com/244405542" TargetMode="External"/><Relationship Id="rId42" Type="http://schemas.openxmlformats.org/officeDocument/2006/relationships/hyperlink" Target="https://www.facebook.com/neilgaiman/photos/a.306989681015/10155317233951016/?type=3&amp;theater" TargetMode="External"/><Relationship Id="rId47" Type="http://schemas.openxmlformats.org/officeDocument/2006/relationships/hyperlink" Target="https://www.nationalnursesunited.org/what-employers-should-do-to-protect-rns-from-zika" TargetMode="External"/><Relationship Id="rId50" Type="http://schemas.openxmlformats.org/officeDocument/2006/relationships/header" Target="header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doi.org/10.1016/j.midw.2013.07.007" TargetMode="External"/><Relationship Id="rId29" Type="http://schemas.openxmlformats.org/officeDocument/2006/relationships/hyperlink" Target="http://nyti.ms/2Hlgjk3" TargetMode="External"/><Relationship Id="rId11" Type="http://schemas.openxmlformats.org/officeDocument/2006/relationships/hyperlink" Target="https://doi.org/10.22161/jhed.4.1.8" TargetMode="External"/><Relationship Id="rId24" Type="http://schemas.openxmlformats.org/officeDocument/2006/relationships/hyperlink" Target="https://www.atlanticcouncil.org/wp-content/uploads/2019/06/Democratic_Defense_Against_Disinformation_2.0.pdf" TargetMode="External"/><Relationship Id="rId32" Type="http://schemas.openxmlformats.org/officeDocument/2006/relationships/hyperlink" Target="https://www.ted.com/talks/sir_ken_robinson_do_schools_kill_creativity/up-next" TargetMode="External"/><Relationship Id="rId37" Type="http://schemas.openxmlformats.org/officeDocument/2006/relationships/hyperlink" Target="https://www.worldsciencefestival.com/infographics/space-junk-infographic/" TargetMode="External"/><Relationship Id="rId40" Type="http://schemas.openxmlformats.org/officeDocument/2006/relationships/hyperlink" Target="https://uchilefau.academia.edu/ElseZCanan" TargetMode="External"/><Relationship Id="rId45" Type="http://schemas.openxmlformats.org/officeDocument/2006/relationships/hyperlink" Target="https://edition.cnn.com/2019/01/03/health/respect-toward-elderly-leads-to-long-life-intl/index.html" TargetMode="External"/><Relationship Id="rId53"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g"/><Relationship Id="rId19" Type="http://schemas.openxmlformats.org/officeDocument/2006/relationships/hyperlink" Target="http://doi.org/10.1159/000271225" TargetMode="External"/><Relationship Id="rId31" Type="http://schemas.openxmlformats.org/officeDocument/2006/relationships/hyperlink" Target="https://apps.apple.com/us/app/epocrates/id281935788" TargetMode="External"/><Relationship Id="rId44" Type="http://schemas.openxmlformats.org/officeDocument/2006/relationships/hyperlink" Target="https://www.reddit.com/r/IAmA/comments/9fagqy/im_nasa_astronaut_scott_tingle_ask_me_anything/" TargetMode="External"/><Relationship Id="rId52"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jstor.org/stable/285047" TargetMode="External"/><Relationship Id="rId22" Type="http://schemas.openxmlformats.org/officeDocument/2006/relationships/hyperlink" Target="http://doi.org/10.1037/0000119-012" TargetMode="External"/><Relationship Id="rId27" Type="http://schemas.openxmlformats.org/officeDocument/2006/relationships/hyperlink" Target="https://digitalarchive.wm.edu/bitstream/handle/10288/16594/HutchesonVirginia2012.pdf?sequence=1&amp;isAllowed=y" TargetMode="External"/><Relationship Id="rId30" Type="http://schemas.openxmlformats.org/officeDocument/2006/relationships/hyperlink" Target="http://wwwmeta-analysis.com/" TargetMode="External"/><Relationship Id="rId35" Type="http://schemas.openxmlformats.org/officeDocument/2006/relationships/hyperlink" Target="http://www.npr.org/series/42302056/hidden-brain" TargetMode="External"/><Relationship Id="rId43" Type="http://schemas.openxmlformats.org/officeDocument/2006/relationships/hyperlink" Target="https://www.instagram.com/p/BqpHpjFBs3b/" TargetMode="External"/><Relationship Id="rId48" Type="http://schemas.openxmlformats.org/officeDocument/2006/relationships/hyperlink" Target="https://www.census.gov/popclock/" TargetMode="External"/><Relationship Id="rId8" Type="http://schemas.openxmlformats.org/officeDocument/2006/relationships/hyperlink" Target="https://orcid.org/0000-0000-0000-0000" TargetMode="External"/><Relationship Id="rId51"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hyperlink" Target="https://doi.org/10.5539/jel.v10n5p109" TargetMode="External"/><Relationship Id="rId17" Type="http://schemas.openxmlformats.org/officeDocument/2006/relationships/hyperlink" Target="http://dx.doi.org/10.1080/00377996.2021.1871579" TargetMode="External"/><Relationship Id="rId25" Type="http://schemas.openxmlformats.org/officeDocument/2006/relationships/hyperlink" Target="https://www.sec.gov/files/sec-2017-agency-financial-report.pdf" TargetMode="External"/><Relationship Id="rId33" Type="http://schemas.openxmlformats.org/officeDocument/2006/relationships/hyperlink" Target="https://education.psychiatry.org/Users/ProductDetails.aspx?ActivityID=6172" TargetMode="External"/><Relationship Id="rId38" Type="http://schemas.openxmlformats.org/officeDocument/2006/relationships/hyperlink" Target="https://demographics.coopercenter.org/Racial-Dot-Map" TargetMode="External"/><Relationship Id="rId46" Type="http://schemas.openxmlformats.org/officeDocument/2006/relationships/hyperlink" Target="https://www.cdc.gov/flu/about/disease/high_risk.htm" TargetMode="External"/><Relationship Id="rId20" Type="http://schemas.openxmlformats.org/officeDocument/2006/relationships/hyperlink" Target="http://doi.org/10.1037/0000092-000" TargetMode="External"/><Relationship Id="rId41" Type="http://schemas.openxmlformats.org/officeDocument/2006/relationships/hyperlink" Target="https://twitter.com/apaeducation/status/1012810490530140161"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doi.org/10.5281/zenodo.3878572" TargetMode="External"/><Relationship Id="rId23" Type="http://schemas.openxmlformats.org/officeDocument/2006/relationships/hyperlink" Target="https://www.pc.gov.au/inquiries/completed/australia-new-zealand/report/trans-tasman.pdf" TargetMode="External"/><Relationship Id="rId28" Type="http://schemas.openxmlformats.org/officeDocument/2006/relationships/hyperlink" Target="http://doi.org.10.1037/sgd0000205" TargetMode="External"/><Relationship Id="rId36" Type="http://schemas.openxmlformats.org/officeDocument/2006/relationships/hyperlink" Target="https://www.americanrhetoric.com/speeches/mlkihaveadream.htm" TargetMode="External"/><Relationship Id="rId49" Type="http://schemas.openxmlformats.org/officeDocument/2006/relationships/hyperlink" Target="https://owl.purdue.edu/owl/research_and_citation/apa_style/apa_formatting_and_style_guide/reference_list_book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7F8751-14FE-1745-B4D8-D318EA362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4834</Words>
  <Characters>27554</Characters>
  <Application>Microsoft Office Word</Application>
  <DocSecurity>0</DocSecurity>
  <Lines>229</Lines>
  <Paragraphs>64</Paragraphs>
  <ScaleCrop>false</ScaleCrop>
  <HeadingPairs>
    <vt:vector size="2" baseType="variant">
      <vt:variant>
        <vt:lpstr>Konu Başlığı</vt:lpstr>
      </vt:variant>
      <vt:variant>
        <vt:i4>1</vt:i4>
      </vt:variant>
    </vt:vector>
  </HeadingPairs>
  <TitlesOfParts>
    <vt:vector size="1" baseType="lpstr">
      <vt:lpstr>ODÜ SOBIAD</vt:lpstr>
    </vt:vector>
  </TitlesOfParts>
  <Manager/>
  <Company>Pedapub</Company>
  <LinksUpToDate>false</LinksUpToDate>
  <CharactersWithSpaces>32324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ODÜ SOBIAD</dc:title>
  <dc:subject/>
  <dc:creator>macuser</dc:creator>
  <cp:keywords/>
  <dc:description>This article was published on Education Mind. 
For more please go to educationmind.net</dc:description>
  <cp:lastModifiedBy>macuser</cp:lastModifiedBy>
  <cp:revision>5</cp:revision>
  <dcterms:created xsi:type="dcterms:W3CDTF">2024-02-19T23:14:00Z</dcterms:created>
  <dcterms:modified xsi:type="dcterms:W3CDTF">2024-02-19T23:21:00Z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