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0"/>
      </w:tblGrid>
      <w:tr w:rsidR="00AB1224" w:rsidTr="00AB1224">
        <w:trPr>
          <w:trHeight w:val="946"/>
        </w:trPr>
        <w:tc>
          <w:tcPr>
            <w:tcW w:w="9923" w:type="dxa"/>
            <w:vAlign w:val="center"/>
            <w:hideMark/>
          </w:tcPr>
          <w:p w:rsidR="00AB1224" w:rsidRDefault="00AB1224">
            <w:pPr>
              <w:spacing w:after="120"/>
              <w:jc w:val="center"/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highlight w:val="yellow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Akademik Yaklaşımlar Dergisi</w:t>
            </w:r>
          </w:p>
          <w:p w:rsidR="00AB1224" w:rsidRDefault="00AB1224">
            <w:pPr>
              <w:spacing w:after="120"/>
              <w:jc w:val="center"/>
              <w:rPr>
                <w:rFonts w:ascii="Times New Roman" w:hAnsi="Times New Roman" w:cs="Times New Roman"/>
                <w:color w:val="484848"/>
                <w:highlight w:val="yellow"/>
                <w:shd w:val="clear" w:color="auto" w:fill="FFFFFF"/>
              </w:rPr>
            </w:pPr>
            <w:proofErr w:type="spellStart"/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</w:t>
            </w:r>
            <w:proofErr w:type="spellStart"/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Academic</w:t>
            </w:r>
            <w:proofErr w:type="spellEnd"/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B1224">
              <w:rPr>
                <w:rFonts w:ascii="Times New Roman" w:hAnsi="Times New Roman" w:cs="Times New Roman"/>
                <w:color w:val="5B9BD5" w:themeColor="accent1"/>
                <w:sz w:val="32"/>
                <w:szCs w:val="3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Approaches</w:t>
            </w:r>
            <w:proofErr w:type="spellEnd"/>
          </w:p>
        </w:tc>
      </w:tr>
      <w:tr w:rsidR="00AB1224" w:rsidTr="00AB1224">
        <w:trPr>
          <w:trHeight w:val="544"/>
        </w:trPr>
        <w:tc>
          <w:tcPr>
            <w:tcW w:w="9923" w:type="dxa"/>
            <w:vAlign w:val="center"/>
            <w:hideMark/>
          </w:tcPr>
          <w:p w:rsidR="00AB1224" w:rsidRDefault="00AB1224" w:rsidP="00AB1224">
            <w:pPr>
              <w:spacing w:after="120"/>
              <w:jc w:val="center"/>
              <w:rPr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</w:pPr>
            <w:r>
              <w:rPr>
                <w:rStyle w:val="Gl"/>
                <w:color w:val="484848"/>
                <w:sz w:val="20"/>
                <w:szCs w:val="20"/>
                <w:shd w:val="clear" w:color="auto" w:fill="FFFFFF"/>
              </w:rPr>
              <w:t>e-ISSN</w:t>
            </w:r>
            <w:r>
              <w:rPr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  <w:t> </w:t>
            </w:r>
            <w:r w:rsidRPr="00AB1224">
              <w:rPr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  <w:t>2146-1740</w:t>
            </w:r>
            <w:r>
              <w:rPr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Style w:val="Gl"/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  <w:t>Periyot</w:t>
            </w:r>
            <w:r>
              <w:rPr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  <w:t xml:space="preserve"> Yılda 2 Sayı   </w:t>
            </w:r>
            <w:r>
              <w:rPr>
                <w:rStyle w:val="Gl"/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  <w:t>Başlangıç: </w:t>
            </w:r>
            <w:r>
              <w:rPr>
                <w:rFonts w:ascii="Times New Roman" w:hAnsi="Times New Roman" w:cs="Times New Roman"/>
                <w:color w:val="484848"/>
                <w:sz w:val="20"/>
                <w:szCs w:val="20"/>
                <w:shd w:val="clear" w:color="auto" w:fill="FFFFFF"/>
              </w:rPr>
              <w:t>2010</w:t>
            </w:r>
          </w:p>
        </w:tc>
      </w:tr>
      <w:tr w:rsidR="00AB1224" w:rsidTr="00AB1224">
        <w:trPr>
          <w:trHeight w:val="25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224" w:rsidRDefault="00AB12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TELİF SÖZLEŞMESİ VE YAZAR KATKILARI FORMU</w:t>
            </w:r>
            <w:bookmarkEnd w:id="0"/>
          </w:p>
        </w:tc>
      </w:tr>
      <w:tr w:rsidR="00AB1224" w:rsidTr="00AB1224">
        <w:trPr>
          <w:trHeight w:val="63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24" w:rsidRDefault="00AB1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Makale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Adı:</w:t>
            </w:r>
          </w:p>
          <w:p w:rsidR="00AB1224" w:rsidRDefault="00AB1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AB1224" w:rsidRP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224">
        <w:rPr>
          <w:rFonts w:ascii="Times New Roman" w:hAnsi="Times New Roman" w:cs="Times New Roman"/>
          <w:sz w:val="20"/>
          <w:szCs w:val="20"/>
        </w:rPr>
        <w:t>Aşağıda imzaları bulunan yazarlar, yukarıda başlığı beyan edilen yazının içeriğiyle ilgili Akademik Yaklaşımlar Dergisi (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The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Journal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of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Academic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Approaches</w:t>
      </w:r>
      <w:proofErr w:type="spellEnd"/>
      <w:r w:rsidRPr="00AB1224">
        <w:rPr>
          <w:rFonts w:ascii="Times New Roman" w:hAnsi="Times New Roman" w:cs="Times New Roman"/>
          <w:sz w:val="20"/>
          <w:szCs w:val="20"/>
        </w:rPr>
        <w:t xml:space="preserve">) ve </w:t>
      </w:r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İnönü Üniversitesinin </w:t>
      </w:r>
      <w:r w:rsidRPr="00AB1224">
        <w:rPr>
          <w:rFonts w:ascii="Times New Roman" w:hAnsi="Times New Roman" w:cs="Times New Roman"/>
          <w:sz w:val="20"/>
          <w:szCs w:val="20"/>
        </w:rPr>
        <w:t xml:space="preserve">hiçbir sorumluluk taşımadığını kabul ederler.  </w:t>
      </w:r>
    </w:p>
    <w:p w:rsidR="00AB1224" w:rsidRPr="00AB1224" w:rsidRDefault="00AB1224" w:rsidP="00AB1224">
      <w:pPr>
        <w:pStyle w:val="NormalWeb"/>
        <w:rPr>
          <w:sz w:val="20"/>
          <w:szCs w:val="20"/>
        </w:rPr>
      </w:pPr>
      <w:r w:rsidRPr="00AB1224">
        <w:rPr>
          <w:sz w:val="20"/>
          <w:szCs w:val="20"/>
        </w:rPr>
        <w:t>Aşağıda imzası bulunan yazarlar:</w:t>
      </w:r>
    </w:p>
    <w:p w:rsidR="00AB1224" w:rsidRPr="00AB1224" w:rsidRDefault="00AB1224" w:rsidP="00AB1224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B1224">
        <w:rPr>
          <w:sz w:val="20"/>
          <w:szCs w:val="20"/>
        </w:rPr>
        <w:t>Gönderilen makalenin (metin, tablolar, figürler, grafikler, görseller ve diğer ilgili içerikler) özgün olduğunu, başka bir dergide yayımlanmak üzere gönderilmediğini ve daha önce kısmen veya tamamen yayımlanmadığını beyan ederler.</w:t>
      </w:r>
    </w:p>
    <w:p w:rsidR="00AB1224" w:rsidRPr="00AB1224" w:rsidRDefault="00AB1224" w:rsidP="00AB1224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B1224">
        <w:rPr>
          <w:sz w:val="20"/>
          <w:szCs w:val="20"/>
        </w:rPr>
        <w:t>Eğer makale kısmen veya tamamen yayımlandıysa, Akademik Yaklaşımlar Dergisi’nde (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The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Journal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of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Academic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Approaches</w:t>
      </w:r>
      <w:proofErr w:type="spellEnd"/>
      <w:r w:rsidRPr="00AB1224">
        <w:rPr>
          <w:sz w:val="20"/>
          <w:szCs w:val="20"/>
        </w:rPr>
        <w:t xml:space="preserve">)  yayımlanabilmesi için gerekli tüm izinlerin alındığını ve orijinal telif hakkı formu ile diğer gerekli belgelerin </w:t>
      </w:r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İnönü Üniversitesine </w:t>
      </w:r>
      <w:r w:rsidRPr="00AB1224">
        <w:rPr>
          <w:sz w:val="20"/>
          <w:szCs w:val="20"/>
        </w:rPr>
        <w:t>ve ilgili kişilere iletileceğini taahhüt ederler.</w:t>
      </w:r>
    </w:p>
    <w:p w:rsidR="00AB1224" w:rsidRPr="00AB1224" w:rsidRDefault="00AB1224" w:rsidP="00AB1224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B1224">
        <w:rPr>
          <w:sz w:val="20"/>
          <w:szCs w:val="20"/>
        </w:rPr>
        <w:t>Makalenin, başkalarının kişisel veya mülkiyet haklarını ihlal etmediğini garanti eder, yazının içeriği ve yazıyla ilgili tüm hukuki sorumlulukları kabul ederler.</w:t>
      </w:r>
    </w:p>
    <w:p w:rsidR="00AB1224" w:rsidRPr="00AB1224" w:rsidRDefault="00AB1224" w:rsidP="00AB1224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B1224">
        <w:rPr>
          <w:sz w:val="20"/>
          <w:szCs w:val="20"/>
        </w:rPr>
        <w:t xml:space="preserve">Yazarlar, bu formu imzalayarak, makalenin Akademik Yaklaşımlar Dergisi’nde yayımlanması durumunda, makalenin Creative </w:t>
      </w:r>
      <w:proofErr w:type="spellStart"/>
      <w:r w:rsidRPr="00AB1224">
        <w:rPr>
          <w:sz w:val="20"/>
          <w:szCs w:val="20"/>
        </w:rPr>
        <w:t>Commons</w:t>
      </w:r>
      <w:proofErr w:type="spellEnd"/>
      <w:r w:rsidRPr="00AB1224">
        <w:rPr>
          <w:sz w:val="20"/>
          <w:szCs w:val="20"/>
        </w:rPr>
        <w:t xml:space="preserve"> Atıf-</w:t>
      </w:r>
      <w:proofErr w:type="spellStart"/>
      <w:r w:rsidRPr="00AB1224">
        <w:rPr>
          <w:sz w:val="20"/>
          <w:szCs w:val="20"/>
        </w:rPr>
        <w:t>GayriTicari</w:t>
      </w:r>
      <w:proofErr w:type="spellEnd"/>
      <w:r w:rsidRPr="00AB1224">
        <w:rPr>
          <w:sz w:val="20"/>
          <w:szCs w:val="20"/>
        </w:rPr>
        <w:t xml:space="preserve"> 4.0 Uluslararası Lisansı (CC BY-NC 4.0) ile yayımlanacağını ve bu lisansın, atıf verilerek, makalenin ticari olmayan amaçlarla üçüncü şahıslar tarafından paylaşılabileceği ve uyarlanabileceğini kabul ederler. </w:t>
      </w:r>
    </w:p>
    <w:p w:rsidR="00AB1224" w:rsidRPr="00AB1224" w:rsidRDefault="00AB1224" w:rsidP="00AB1224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AB1224">
        <w:rPr>
          <w:sz w:val="20"/>
          <w:szCs w:val="20"/>
        </w:rPr>
        <w:t xml:space="preserve">Makale ile ilgili, telif hakkı </w:t>
      </w:r>
      <w:proofErr w:type="gramStart"/>
      <w:r w:rsidRPr="00AB1224">
        <w:rPr>
          <w:sz w:val="20"/>
          <w:szCs w:val="20"/>
        </w:rPr>
        <w:t>dahil</w:t>
      </w:r>
      <w:proofErr w:type="gramEnd"/>
      <w:r w:rsidRPr="00AB1224">
        <w:rPr>
          <w:sz w:val="20"/>
          <w:szCs w:val="20"/>
        </w:rPr>
        <w:t xml:space="preserve"> olmak üzere patent ve diğer mülkiyet hakları yazarlarda saklıdır.</w:t>
      </w:r>
    </w:p>
    <w:p w:rsidR="00AB1224" w:rsidRPr="00AB1224" w:rsidRDefault="00AB1224" w:rsidP="00AB122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B1224">
        <w:rPr>
          <w:rFonts w:ascii="Times New Roman" w:hAnsi="Times New Roman" w:cs="Times New Roman"/>
          <w:b/>
          <w:sz w:val="20"/>
          <w:szCs w:val="20"/>
        </w:rPr>
        <w:t>YAZARLIK</w:t>
      </w:r>
    </w:p>
    <w:p w:rsidR="00AB1224" w:rsidRDefault="00AB1224" w:rsidP="00AB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1224">
        <w:rPr>
          <w:rFonts w:ascii="Times New Roman" w:hAnsi="Times New Roman" w:cs="Times New Roman"/>
          <w:sz w:val="20"/>
          <w:szCs w:val="20"/>
        </w:rPr>
        <w:t>Akademik Yaklaşımlar Dergisi (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The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Journal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of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Academic</w:t>
      </w:r>
      <w:proofErr w:type="spellEnd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AB1224">
        <w:rPr>
          <w:rFonts w:ascii="Poppins" w:hAnsi="Poppins"/>
          <w:color w:val="111111"/>
          <w:sz w:val="20"/>
          <w:szCs w:val="20"/>
          <w:shd w:val="clear" w:color="auto" w:fill="FFFFFF"/>
        </w:rPr>
        <w:t>Approaches</w:t>
      </w:r>
      <w:proofErr w:type="spellEnd"/>
      <w:r w:rsidRPr="00AB1224">
        <w:rPr>
          <w:rFonts w:ascii="Times New Roman" w:hAnsi="Times New Roman" w:cs="Times New Roman"/>
          <w:sz w:val="20"/>
          <w:szCs w:val="20"/>
        </w:rPr>
        <w:t xml:space="preserve">) </w:t>
      </w:r>
      <w:r w:rsidRPr="00AB1224">
        <w:rPr>
          <w:rFonts w:ascii="Times New Roman" w:eastAsia="Times New Roman" w:hAnsi="Times New Roman" w:cs="Times New Roman"/>
          <w:sz w:val="20"/>
          <w:szCs w:val="20"/>
        </w:rPr>
        <w:t xml:space="preserve">yazarlık konusunda ICMJE önerilerini benimsemektedir. Yazar olarak listelenen herkesin aşağıdaki 4 ICMJE </w:t>
      </w:r>
      <w:proofErr w:type="gramStart"/>
      <w:r w:rsidRPr="00AB1224">
        <w:rPr>
          <w:rFonts w:ascii="Times New Roman" w:eastAsia="Times New Roman" w:hAnsi="Times New Roman" w:cs="Times New Roman"/>
          <w:sz w:val="20"/>
          <w:szCs w:val="20"/>
        </w:rPr>
        <w:t>kriterini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karşılaması gerekmektedir:</w:t>
      </w:r>
    </w:p>
    <w:p w:rsidR="00AB1224" w:rsidRDefault="00AB1224" w:rsidP="00AB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Çalışmanın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konseptine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/tasarımına veya verilerin toplanması, analiz edilmesi ve yorumlanmasına önemli katkı sağlamak;</w:t>
      </w:r>
    </w:p>
    <w:p w:rsidR="00AB1224" w:rsidRDefault="00AB1224" w:rsidP="00AB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Yazı taslağını hazırlamak veya önemli fikirsel içeriğin eleştirel incelemelerini yapmak;</w:t>
      </w:r>
    </w:p>
    <w:p w:rsidR="00AB1224" w:rsidRDefault="00AB1224" w:rsidP="00AB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Yazının son halini gözden geçirip onaylamak;</w:t>
      </w:r>
    </w:p>
    <w:p w:rsidR="00AB1224" w:rsidRDefault="00AB1224" w:rsidP="00AB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Çalışmanın geçerliliği ve doğruluğuna ilişkin soruları çözmek için sorumluluk almak.</w:t>
      </w:r>
    </w:p>
    <w:p w:rsidR="00AB1224" w:rsidRDefault="00AB1224" w:rsidP="00AB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Yazar olarak belirtilen kişiler, yukarıdaki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kriterleri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karşılamalıdır. Kriterleri karşılamayanlar, “Teşekkür” bölümünde yer almalıdır. Aşağıda imzası bulunan yazarlar, bu koşullara uygun olduklarını beyan ederler.</w:t>
      </w:r>
    </w:p>
    <w:p w:rsidR="00AB1224" w:rsidRDefault="00AB1224" w:rsidP="00AB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Katkı Türü:</w:t>
      </w:r>
    </w:p>
    <w:p w:rsidR="00AB1224" w:rsidRDefault="00AB1224" w:rsidP="00AB1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Fikir - 2. Tasarım - 3. Denetleme - 4. Kaynaklar - 5. Malzemeler - 6. Veri Toplama/İşleme - 7. Analiz/Yorum - 8. Literatür Taraması - 9. Makale Yazımı - 10. Eleştirel İnceleme</w:t>
      </w:r>
    </w:p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Aşağıdaki koşulları ilgili kutucukları işaretleyerek (kutucuğun üzerine çift tıklayınız) doğrulayınız.</w:t>
      </w:r>
    </w:p>
    <w:p w:rsidR="00AB1224" w:rsidRDefault="00AB1224" w:rsidP="00AB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Ind w:w="0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AB1224" w:rsidTr="00AB1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Makale özgün olup, aynı içerik ile daha önce başka bir yerde yayınlanmamış ve aynı anda başka bir yere yayınlanmak üzere gönderilmemiştir.</w:t>
            </w:r>
          </w:p>
        </w:tc>
      </w:tr>
      <w:tr w:rsidR="00AB1224" w:rsidTr="00AB1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Tümüyle ya da bir bölümü lisansüstü bir tezden üretildiyse, herhangi bir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sempozyum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veya kongrede sunulduysa makale sonunda açıklamalar kısmında belirtilmiştir.</w:t>
            </w:r>
          </w:p>
        </w:tc>
      </w:tr>
      <w:tr w:rsidR="00AB1224" w:rsidTr="00AB1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Makale yazar(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tarafından kaleme alınmış ve diğer şahıs ya da kurumların fikri mülkiyet haklarını ihlal etmemektedir.</w:t>
            </w:r>
          </w:p>
        </w:tc>
      </w:tr>
      <w:tr w:rsidR="00AB1224" w:rsidTr="00AB1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Makalede içerikle ilgili ortaya çıkabilecek tüm etik ve kullanım ihlalleri ile ilgili sorumluklar yazar(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)a aittir.</w:t>
            </w:r>
          </w:p>
        </w:tc>
      </w:tr>
      <w:tr w:rsidR="00AB1224" w:rsidTr="00AB1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Makale içerisinde yer alan tüm şekiller yazar(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tarafından üretilmiş, kullanım hakları satın alınmış ya da kaynak gösterilmiştir.</w:t>
            </w:r>
          </w:p>
        </w:tc>
      </w:tr>
      <w:tr w:rsidR="00AB1224" w:rsidTr="00AB1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24" w:rsidRDefault="00AB122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Makale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Ithenticate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benzerlik programı ile taranmış ve benzerlik oranı   %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çıkmıştır. Benzerlik raporu sisteme yüklenmiştir.</w:t>
            </w:r>
          </w:p>
        </w:tc>
      </w:tr>
    </w:tbl>
    <w:p w:rsidR="00AB1224" w:rsidRDefault="00AB1224" w:rsidP="00AB122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Bu form, tüm yazarlar tarafından imzalanarak makale gönderimi sırasında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online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sisteme yüklenmelidir. Yazarlar, aynı formu ya da ayrı ayrı imzalanmış formlarını gönderebilirler.</w:t>
      </w:r>
    </w:p>
    <w:p w:rsidR="00AB1224" w:rsidRDefault="00AB1224" w:rsidP="00AB122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Yazar(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lar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B1224" w:rsidTr="00AB1224">
        <w:tc>
          <w:tcPr>
            <w:tcW w:w="4943" w:type="dxa"/>
          </w:tcPr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C. Kimlik No: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3" w:type="dxa"/>
          </w:tcPr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C. Kimlik No: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224" w:rsidTr="00AB1224">
        <w:tc>
          <w:tcPr>
            <w:tcW w:w="4943" w:type="dxa"/>
          </w:tcPr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C. Kimlik No: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3" w:type="dxa"/>
          </w:tcPr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C. Kimlik No: 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AB1224" w:rsidRDefault="00AB122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1224" w:rsidRDefault="00AB1224" w:rsidP="00AB122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B1224" w:rsidRDefault="00AB1224" w:rsidP="00AB1224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70B85" w:rsidRDefault="00C66B4D"/>
    <w:sectPr w:rsidR="00E7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3BA"/>
    <w:multiLevelType w:val="multilevel"/>
    <w:tmpl w:val="8AD8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0635E"/>
    <w:multiLevelType w:val="multilevel"/>
    <w:tmpl w:val="C4E6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E02C7"/>
    <w:multiLevelType w:val="multilevel"/>
    <w:tmpl w:val="746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24"/>
    <w:rsid w:val="004C3843"/>
    <w:rsid w:val="00AB1224"/>
    <w:rsid w:val="00BB7AD6"/>
    <w:rsid w:val="00C66B4D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9FAD"/>
  <w15:chartTrackingRefBased/>
  <w15:docId w15:val="{97494CC6-86B5-4D25-92B0-8E24CAD9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22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AB1224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B1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inonu</dc:creator>
  <cp:keywords/>
  <dc:description/>
  <cp:lastModifiedBy>21012025</cp:lastModifiedBy>
  <cp:revision>2</cp:revision>
  <dcterms:created xsi:type="dcterms:W3CDTF">2025-03-25T07:56:00Z</dcterms:created>
  <dcterms:modified xsi:type="dcterms:W3CDTF">2025-03-27T06:48:00Z</dcterms:modified>
</cp:coreProperties>
</file>