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EBB1" w14:textId="77777777" w:rsidR="00082CC1" w:rsidRDefault="00082C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00B373" w14:textId="77777777" w:rsidR="00082CC1" w:rsidRDefault="00A75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İNTİHAL RAPOR SONUCU</w:t>
      </w:r>
    </w:p>
    <w:p w14:paraId="0CF12DEE" w14:textId="77777777" w:rsidR="00082CC1" w:rsidRDefault="00082C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6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9"/>
        <w:gridCol w:w="283"/>
        <w:gridCol w:w="572"/>
        <w:gridCol w:w="3369"/>
        <w:gridCol w:w="3800"/>
      </w:tblGrid>
      <w:tr w:rsidR="00082CC1" w14:paraId="1B440BB3" w14:textId="77777777">
        <w:tc>
          <w:tcPr>
            <w:tcW w:w="2609" w:type="dxa"/>
          </w:tcPr>
          <w:p w14:paraId="1B7BAD33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  <w:p w14:paraId="72B037AB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(Journal Name)</w:t>
            </w:r>
          </w:p>
        </w:tc>
        <w:tc>
          <w:tcPr>
            <w:tcW w:w="283" w:type="dxa"/>
          </w:tcPr>
          <w:p w14:paraId="6D549986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929400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14:paraId="4F44BA9C" w14:textId="77777777" w:rsidR="00082CC1" w:rsidRDefault="00082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B7E11E" w14:textId="77777777" w:rsidR="00082CC1" w:rsidRDefault="00A7550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Akademik Yaklaşımlar Dergisi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(Journal of Academic Approaches)</w:t>
            </w:r>
          </w:p>
        </w:tc>
      </w:tr>
      <w:tr w:rsidR="00082CC1" w14:paraId="21772302" w14:textId="77777777">
        <w:tc>
          <w:tcPr>
            <w:tcW w:w="2609" w:type="dxa"/>
          </w:tcPr>
          <w:p w14:paraId="1C8196AA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Makalenin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</w:p>
          <w:p w14:paraId="327DB9EC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(Title of Manuscript)</w:t>
            </w:r>
          </w:p>
        </w:tc>
        <w:tc>
          <w:tcPr>
            <w:tcW w:w="283" w:type="dxa"/>
          </w:tcPr>
          <w:p w14:paraId="1C525520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D985D8E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14:paraId="7949DB83" w14:textId="77777777" w:rsidR="00082CC1" w:rsidRDefault="00082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5E57F819" w14:textId="77777777">
        <w:tc>
          <w:tcPr>
            <w:tcW w:w="2609" w:type="dxa"/>
          </w:tcPr>
          <w:p w14:paraId="7286C549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</w:p>
          <w:p w14:paraId="374B7F40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(Manuscript Type)</w:t>
            </w:r>
          </w:p>
        </w:tc>
        <w:tc>
          <w:tcPr>
            <w:tcW w:w="283" w:type="dxa"/>
          </w:tcPr>
          <w:p w14:paraId="665D8C4B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DC157B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14:paraId="6F30C94D" w14:textId="77777777" w:rsidR="00082CC1" w:rsidRDefault="00082C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A782F6" w14:textId="77777777" w:rsidR="00082CC1" w:rsidRDefault="00082C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0FF56EBA" w14:textId="77777777">
        <w:tc>
          <w:tcPr>
            <w:tcW w:w="2609" w:type="dxa"/>
          </w:tcPr>
          <w:p w14:paraId="6FD5C406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Kabul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  <w:p w14:paraId="76CE1E6D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(Acceptance Date)</w:t>
            </w:r>
          </w:p>
        </w:tc>
        <w:tc>
          <w:tcPr>
            <w:tcW w:w="283" w:type="dxa"/>
          </w:tcPr>
          <w:p w14:paraId="5C722C5D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1CD3DD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14:paraId="23F8843A" w14:textId="77777777" w:rsidR="00082CC1" w:rsidRDefault="00082CC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082CC1" w14:paraId="2F9EEC99" w14:textId="77777777">
        <w:trPr>
          <w:trHeight w:val="93"/>
        </w:trPr>
        <w:tc>
          <w:tcPr>
            <w:tcW w:w="2609" w:type="dxa"/>
            <w:vMerge w:val="restart"/>
          </w:tcPr>
          <w:p w14:paraId="55A59E40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Yazarlar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Listesi</w:t>
            </w:r>
            <w:proofErr w:type="spellEnd"/>
          </w:p>
          <w:p w14:paraId="4DB4DE6E" w14:textId="77777777" w:rsidR="00082CC1" w:rsidRDefault="00A7550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(List of Authors)</w:t>
            </w:r>
          </w:p>
        </w:tc>
        <w:tc>
          <w:tcPr>
            <w:tcW w:w="283" w:type="dxa"/>
            <w:vMerge w:val="restart"/>
          </w:tcPr>
          <w:p w14:paraId="2EC6125B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FBAF237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2" w:type="dxa"/>
          </w:tcPr>
          <w:p w14:paraId="41EB1AEC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369" w:type="dxa"/>
          </w:tcPr>
          <w:p w14:paraId="73749BC9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  <w:p w14:paraId="5B8955DE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(Name- Surname)</w:t>
            </w:r>
          </w:p>
        </w:tc>
        <w:tc>
          <w:tcPr>
            <w:tcW w:w="3800" w:type="dxa"/>
          </w:tcPr>
          <w:p w14:paraId="3EB01C8F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</w:t>
            </w:r>
          </w:p>
          <w:p w14:paraId="05447DE8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(E-Mail)</w:t>
            </w:r>
          </w:p>
        </w:tc>
      </w:tr>
      <w:tr w:rsidR="00082CC1" w14:paraId="3FD983CC" w14:textId="77777777">
        <w:trPr>
          <w:trHeight w:val="93"/>
        </w:trPr>
        <w:tc>
          <w:tcPr>
            <w:tcW w:w="2609" w:type="dxa"/>
            <w:vMerge/>
          </w:tcPr>
          <w:p w14:paraId="7EE76FB6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0FB599EC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</w:tcPr>
          <w:p w14:paraId="44DEAF80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14:paraId="2DFFA741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14:paraId="43C035B7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32CE97FF" w14:textId="77777777">
        <w:trPr>
          <w:trHeight w:val="93"/>
        </w:trPr>
        <w:tc>
          <w:tcPr>
            <w:tcW w:w="2609" w:type="dxa"/>
            <w:vMerge/>
          </w:tcPr>
          <w:p w14:paraId="16A20C8B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61C7E565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14:paraId="4CB836AC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14:paraId="52163C4D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14:paraId="3A142B51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78B281D2" w14:textId="77777777">
        <w:trPr>
          <w:trHeight w:val="93"/>
        </w:trPr>
        <w:tc>
          <w:tcPr>
            <w:tcW w:w="2609" w:type="dxa"/>
            <w:vMerge/>
          </w:tcPr>
          <w:p w14:paraId="3AA9D5BF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2079DE80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14:paraId="7E598D5E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14:paraId="4C914A2E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14:paraId="7CD7AA70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4C7AB335" w14:textId="77777777">
        <w:trPr>
          <w:trHeight w:val="93"/>
        </w:trPr>
        <w:tc>
          <w:tcPr>
            <w:tcW w:w="2609" w:type="dxa"/>
            <w:vMerge/>
          </w:tcPr>
          <w:p w14:paraId="732B4E4C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5F67A0EF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14:paraId="2595DD3F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14:paraId="01558D5C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14:paraId="4A1CC33C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CC1" w14:paraId="09742C25" w14:textId="77777777">
        <w:trPr>
          <w:trHeight w:val="93"/>
        </w:trPr>
        <w:tc>
          <w:tcPr>
            <w:tcW w:w="2609" w:type="dxa"/>
            <w:vMerge/>
          </w:tcPr>
          <w:p w14:paraId="1A39D877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14:paraId="38320966" w14:textId="77777777" w:rsidR="00082CC1" w:rsidRDefault="00082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14:paraId="729F626C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14:paraId="678FB74D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14:paraId="0F77FEBC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8CE439C" w14:textId="77777777" w:rsidR="00082CC1" w:rsidRDefault="00082C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082CC1" w14:paraId="3C9D65C9" w14:textId="77777777">
        <w:tc>
          <w:tcPr>
            <w:tcW w:w="10632" w:type="dxa"/>
          </w:tcPr>
          <w:p w14:paraId="2C048C0B" w14:textId="77777777" w:rsidR="00082CC1" w:rsidRDefault="0008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457D49B4" w14:textId="77777777" w:rsidR="00082CC1" w:rsidRDefault="0008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14:paraId="728151B5" w14:textId="77777777" w:rsidR="00082CC1" w:rsidRDefault="00A75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Yukarıda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“Akademik Yaklaşımlar Dergisi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İntihal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Politikası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değerlendirilmiş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Turnitin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intihal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edilmiştir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yayımlanmaya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değildir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66288C5B" w14:textId="77777777" w:rsidR="00082CC1" w:rsidRDefault="0008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</w:tbl>
    <w:p w14:paraId="7D56AAFB" w14:textId="77777777" w:rsidR="00082CC1" w:rsidRDefault="00082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082CC1" w14:paraId="26BC4C93" w14:textId="77777777">
        <w:trPr>
          <w:trHeight w:val="1580"/>
        </w:trPr>
        <w:tc>
          <w:tcPr>
            <w:tcW w:w="10632" w:type="dxa"/>
          </w:tcPr>
          <w:p w14:paraId="00EA4CA8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14:paraId="378B8B0B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Baş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Editör</w:t>
            </w:r>
            <w:proofErr w:type="spellEnd"/>
          </w:p>
          <w:p w14:paraId="7F61FFCF" w14:textId="77777777" w:rsidR="00082CC1" w:rsidRDefault="00082CC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6D9F9332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Prof. 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Gökhan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TUNCEL</w:t>
            </w:r>
          </w:p>
          <w:p w14:paraId="1DDECDB1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</w:t>
            </w:r>
          </w:p>
          <w:p w14:paraId="0785C1C4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…/…/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20..</w:t>
            </w:r>
            <w:proofErr w:type="gramEnd"/>
          </w:p>
          <w:p w14:paraId="3167341A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14:paraId="5F469040" w14:textId="77777777" w:rsidR="00082CC1" w:rsidRDefault="00A7550E">
            <w:pPr>
              <w:jc w:val="center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14:paraId="3118DA0B" w14:textId="77777777" w:rsidR="00082CC1" w:rsidRDefault="00A7550E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14:paraId="217195F7" w14:textId="77777777" w:rsidR="00082CC1" w:rsidRDefault="00082CC1">
            <w:pPr>
              <w:jc w:val="right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</w:p>
          <w:p w14:paraId="1D92E087" w14:textId="77777777" w:rsidR="00082CC1" w:rsidRDefault="00082CC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18"/>
                <w:szCs w:val="18"/>
              </w:rPr>
            </w:pPr>
          </w:p>
        </w:tc>
      </w:tr>
    </w:tbl>
    <w:p w14:paraId="20D2595A" w14:textId="77777777" w:rsidR="00082CC1" w:rsidRDefault="00082C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82C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A9B7" w14:textId="77777777" w:rsidR="00A7550E" w:rsidRDefault="00A7550E">
      <w:pPr>
        <w:spacing w:after="0" w:line="240" w:lineRule="auto"/>
      </w:pPr>
      <w:r>
        <w:separator/>
      </w:r>
    </w:p>
  </w:endnote>
  <w:endnote w:type="continuationSeparator" w:id="0">
    <w:p w14:paraId="73CA23E2" w14:textId="77777777" w:rsidR="00A7550E" w:rsidRDefault="00A7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2F5" w14:textId="77777777" w:rsidR="00082CC1" w:rsidRDefault="00082CC1"/>
  <w:tbl>
    <w:tblPr>
      <w:tblStyle w:val="a2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0632"/>
    </w:tblGrid>
    <w:tr w:rsidR="00082CC1" w14:paraId="187B6727" w14:textId="77777777">
      <w:trPr>
        <w:trHeight w:val="176"/>
      </w:trPr>
      <w:tc>
        <w:tcPr>
          <w:tcW w:w="10632" w:type="dxa"/>
          <w:tcBorders>
            <w:top w:val="single" w:sz="12" w:space="0" w:color="000000"/>
            <w:left w:val="single" w:sz="18" w:space="0" w:color="FFFFFF"/>
            <w:bottom w:val="single" w:sz="4" w:space="0" w:color="000000"/>
            <w:right w:val="single" w:sz="18" w:space="0" w:color="FFFFFF"/>
          </w:tcBorders>
        </w:tcPr>
        <w:p w14:paraId="3C1F5136" w14:textId="77777777" w:rsidR="00082CC1" w:rsidRDefault="00082CC1">
          <w:pPr>
            <w:shd w:val="clear" w:color="auto" w:fill="FFFFFF"/>
            <w:spacing w:after="150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</w:tr>
    <w:tr w:rsidR="00082CC1" w14:paraId="420F1605" w14:textId="77777777">
      <w:tc>
        <w:tcPr>
          <w:tcW w:w="10632" w:type="dxa"/>
          <w:tcBorders>
            <w:top w:val="single" w:sz="4" w:space="0" w:color="000000"/>
            <w:left w:val="single" w:sz="18" w:space="0" w:color="FFFFFF"/>
            <w:bottom w:val="single" w:sz="12" w:space="0" w:color="000000"/>
            <w:right w:val="single" w:sz="18" w:space="0" w:color="FFFFFF"/>
          </w:tcBorders>
        </w:tcPr>
        <w:p w14:paraId="5130F12C" w14:textId="77777777" w:rsidR="00082CC1" w:rsidRDefault="00082CC1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14:paraId="5DA1130D" w14:textId="77777777" w:rsidR="00082CC1" w:rsidRDefault="00A7550E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AKADEMİK YAKLAŞIMLAR DERGİSİ İNTİHAL POLİTİKASI</w:t>
          </w:r>
        </w:p>
        <w:p w14:paraId="0764D369" w14:textId="15C52E61" w:rsidR="00082CC1" w:rsidRDefault="00A7550E">
          <w:pPr>
            <w:shd w:val="clear" w:color="auto" w:fill="FFFFFF"/>
            <w:spacing w:after="150"/>
            <w:jc w:val="both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Akademik Yaklaşımlar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Dergisi'ne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gönderilen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makalelerde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denetimi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 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Turnitin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, 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iThenticate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 vb.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programlardan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alınarak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gerçekleştirilmektedir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Her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ortaya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çıkan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eşleşmeler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incelenerek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hatalar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tespit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edilmekte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ve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raporlaştırılmak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tadır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her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raporu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diğer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kişilerden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kopyalayarak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kendinin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gibi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iddiada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bulunması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/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daha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önce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kendi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yapmış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olduğu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çalışmalardan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sağladığı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referans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göstermeyerek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özintihal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veya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yinelenen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yapması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)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ışığında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nihai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kararını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vermektedir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  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İntihal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denetiminde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Akademik Yaklaşımlar Dergisi </w:t>
          </w:r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ana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sayfasında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yer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alan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politikası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kuralları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>geçerlidir</w:t>
          </w:r>
          <w:proofErr w:type="spellEnd"/>
          <w:r w:rsidR="00384DA9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</w:t>
          </w:r>
        </w:p>
      </w:tc>
    </w:tr>
  </w:tbl>
  <w:p w14:paraId="57CCA478" w14:textId="77777777" w:rsidR="00082CC1" w:rsidRDefault="0008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60CE6396" w14:textId="77777777" w:rsidR="00082CC1" w:rsidRDefault="0008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14:paraId="68CF6315" w14:textId="77777777" w:rsidR="00082CC1" w:rsidRDefault="00A75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Akademik Yaklaşımlar Dergisi</w:t>
    </w:r>
  </w:p>
  <w:p w14:paraId="7719048D" w14:textId="77777777" w:rsidR="00082CC1" w:rsidRDefault="00A75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İnönü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Üniversitesi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İİBF 44280</w:t>
    </w:r>
  </w:p>
  <w:p w14:paraId="15D092F5" w14:textId="77777777" w:rsidR="00082CC1" w:rsidRDefault="00A75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Malatya,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Türkiye</w:t>
    </w:r>
    <w:proofErr w:type="spellEnd"/>
  </w:p>
  <w:p w14:paraId="7DA26CAF" w14:textId="77777777" w:rsidR="00082CC1" w:rsidRDefault="00A75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Tel: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+90 422 377 30 00 /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Faks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>: +90 422 341 04 38</w:t>
    </w:r>
  </w:p>
  <w:p w14:paraId="5B3071CE" w14:textId="77777777" w:rsidR="00082CC1" w:rsidRDefault="00A75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E-Posta: akademikyak@inonu.edu.tr / Web: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https://dergipark.org.tr/tr/pub/ayd</w:t>
    </w:r>
  </w:p>
  <w:p w14:paraId="6C8ACBF7" w14:textId="77777777" w:rsidR="00082CC1" w:rsidRDefault="0008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9D9" w14:textId="77777777" w:rsidR="00A7550E" w:rsidRDefault="00A7550E">
      <w:pPr>
        <w:spacing w:after="0" w:line="240" w:lineRule="auto"/>
      </w:pPr>
      <w:r>
        <w:separator/>
      </w:r>
    </w:p>
  </w:footnote>
  <w:footnote w:type="continuationSeparator" w:id="0">
    <w:p w14:paraId="2B34B7A8" w14:textId="77777777" w:rsidR="00A7550E" w:rsidRDefault="00A7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43B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İNÖNÜ ÜNİVERSİTESİ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F950C0" wp14:editId="609BCAB6">
          <wp:simplePos x="0" y="0"/>
          <wp:positionH relativeFrom="column">
            <wp:posOffset>-509269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5" name="image1.png" descr="İİB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İİB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3BC96C9" wp14:editId="04F181BA">
          <wp:simplePos x="0" y="0"/>
          <wp:positionH relativeFrom="column">
            <wp:posOffset>4338955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4" name="image2.png" descr="AYD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YD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96F952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İKTİSADİ VE İDARİ BİLİMLER FAKÜLTESİ </w:t>
    </w:r>
  </w:p>
  <w:p w14:paraId="3BE7C057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AKADEMİK YAKLAŞIMLAR DERGİSİ</w:t>
    </w:r>
  </w:p>
  <w:p w14:paraId="44CAA5B1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(JOURNAL OF ACADEMIC APPROACHES) </w:t>
    </w:r>
  </w:p>
  <w:p w14:paraId="2D435A35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14:paraId="0BE8741B" w14:textId="77777777" w:rsidR="00082CC1" w:rsidRDefault="00A7550E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</w:rPr>
      <w:t>ISSN: 2146-1740</w:t>
    </w:r>
  </w:p>
  <w:p w14:paraId="6FBAE2E8" w14:textId="77777777" w:rsidR="00082CC1" w:rsidRDefault="00A7550E">
    <w:pPr>
      <w:shd w:val="clear" w:color="auto" w:fill="FFFFFF"/>
      <w:spacing w:after="15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</w:rPr>
    </w:pPr>
    <w:hyperlink r:id="rId3">
      <w:r>
        <w:rPr>
          <w:rFonts w:ascii="Times New Roman" w:eastAsia="Times New Roman" w:hAnsi="Times New Roman" w:cs="Times New Roman"/>
          <w:b/>
          <w:sz w:val="20"/>
          <w:szCs w:val="20"/>
        </w:rPr>
        <w:t>https://dergipark.org.tr/tr/pub/ayd</w:t>
      </w:r>
    </w:hyperlink>
  </w:p>
  <w:p w14:paraId="6F9FD9D6" w14:textId="77777777" w:rsidR="00082CC1" w:rsidRDefault="00082C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CC1"/>
    <w:rsid w:val="00082CC1"/>
    <w:rsid w:val="00384DA9"/>
    <w:rsid w:val="00A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145C1"/>
  <w15:docId w15:val="{4D91E71D-1397-4990-AFE1-A635831B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EC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449"/>
  </w:style>
  <w:style w:type="paragraph" w:styleId="AltBilgi">
    <w:name w:val="footer"/>
    <w:basedOn w:val="Normal"/>
    <w:link w:val="Al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449"/>
  </w:style>
  <w:style w:type="table" w:styleId="TabloKlavuzu">
    <w:name w:val="Table Grid"/>
    <w:basedOn w:val="NormalTablo"/>
    <w:uiPriority w:val="59"/>
    <w:rsid w:val="00D9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E463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E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0B6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ay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Ak4GvrGViLiF+CAaEFgi8pRvA==">AMUW2mW9OXPc+cN9YSr8mQYApfMshiL2mBC3SyAZD37grmqfSiu0TLSUnp5kSXKlYGsNoEBTzhCWT+J01OAWBZnIZ7HhvED0Erf/TOmizCM5WcgI3GOlfKySUiufgVcL7afzuEaEidz3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ates</dc:creator>
  <cp:lastModifiedBy>asus</cp:lastModifiedBy>
  <cp:revision>2</cp:revision>
  <dcterms:created xsi:type="dcterms:W3CDTF">2022-04-19T11:14:00Z</dcterms:created>
  <dcterms:modified xsi:type="dcterms:W3CDTF">2022-04-19T11:14:00Z</dcterms:modified>
</cp:coreProperties>
</file>