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2E88" w14:textId="77777777" w:rsidR="002D5E30" w:rsidRPr="006878CA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Meriç Delta Balıklarında Toksik Metal Birikimlerinin Değerlendirmesi: Muhtemel İnsan Sağlığı Riskleri</w:t>
      </w:r>
    </w:p>
    <w:p w14:paraId="321C0939" w14:textId="024C6A1C" w:rsidR="002D5E30" w:rsidRPr="006878CA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Özet: </w:t>
      </w:r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Meriç Deltası Türkiye’nin Trakya bölgesinde yer alan dünya çapında öneme sahip sulak alanlardan biridir. Delta içinde yer alan Gala ve Sığırcı gölleri, </w:t>
      </w:r>
      <w:proofErr w:type="spellStart"/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biyo</w:t>
      </w:r>
      <w:proofErr w:type="spellEnd"/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-çeşitlilik bakımından Türkiye’nin önemli göllerindendir</w:t>
      </w:r>
      <w:r w:rsidR="00DC43C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İncelenen balıklarda inorganik As yüzdesinin </w:t>
      </w:r>
      <w:proofErr w:type="gramStart"/>
      <w:r w:rsidR="00DC43C4">
        <w:rPr>
          <w:rFonts w:ascii="Times New Roman" w:eastAsia="Times New Roman" w:hAnsi="Times New Roman" w:cs="Times New Roman"/>
          <w:sz w:val="24"/>
          <w:szCs w:val="24"/>
          <w:lang w:val="tr-TR"/>
        </w:rPr>
        <w:t>%0</w:t>
      </w:r>
      <w:proofErr w:type="gramEnd"/>
      <w:r w:rsidR="00DC43C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ila %9,5 arasında değiştiği belirlenmiştir…</w:t>
      </w:r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</w:t>
      </w:r>
      <w:r w:rsidR="00A048FC">
        <w:rPr>
          <w:rFonts w:ascii="Times New Roman" w:eastAsia="Times New Roman" w:hAnsi="Times New Roman" w:cs="Times New Roman"/>
          <w:sz w:val="24"/>
          <w:szCs w:val="24"/>
          <w:lang w:val="tr-TR"/>
        </w:rPr>
        <w:t>Çalışma bulguları</w:t>
      </w:r>
      <w:r w:rsidR="00A048FC" w:rsidRPr="00A048FC">
        <w:rPr>
          <w:rFonts w:ascii="Times New Roman" w:eastAsia="Times New Roman" w:hAnsi="Times New Roman" w:cs="Times New Roman"/>
          <w:sz w:val="24"/>
          <w:szCs w:val="24"/>
          <w:lang w:val="tr-TR"/>
        </w:rPr>
        <w:t>, Sığırcı ve Gala göllerindeki balıkların kaslarındaki toksik element konsantrasyonlarının tüketiciler için önemli bir sağlık riski oluşturmadığını ortaya koymuştur.</w:t>
      </w:r>
    </w:p>
    <w:p w14:paraId="789AA62C" w14:textId="79877E19" w:rsidR="002D5E30" w:rsidRPr="006878CA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687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tr-TR"/>
        </w:rPr>
        <w:t>Anahtar kelimeler</w:t>
      </w: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</w:t>
      </w:r>
      <w:r w:rsidRPr="006878C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Gala ve Sığırcı Gölleri, balıklar, toksik metaller, sağlık riski değerlendirmesi</w:t>
      </w:r>
      <w:r w:rsidR="000D0EA7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67AAEEEA" w14:textId="77777777" w:rsidR="002D5E30" w:rsidRDefault="002D5E30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EA392" w14:textId="72ACBBBB" w:rsidR="00BA3777" w:rsidRPr="006878CA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Evaluation of Toxic Metal Accumulations in </w:t>
      </w:r>
      <w:proofErr w:type="spellStart"/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>Meriç</w:t>
      </w:r>
      <w:proofErr w:type="spellEnd"/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Delta Fish: Possible Human Health Risks</w:t>
      </w:r>
    </w:p>
    <w:p w14:paraId="43A606C8" w14:textId="21BB9904" w:rsidR="00BA3777" w:rsidRPr="006878CA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Abstract: </w:t>
      </w:r>
      <w:proofErr w:type="spellStart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>Meriç</w:t>
      </w:r>
      <w:proofErr w:type="spellEnd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 xml:space="preserve"> Delta is in the Thrace region of </w:t>
      </w:r>
      <w:r w:rsidR="00A048FC" w:rsidRPr="006878CA">
        <w:rPr>
          <w:rFonts w:ascii="Times New Roman" w:eastAsia="Times New Roman" w:hAnsi="Times New Roman" w:cs="Times New Roman"/>
          <w:sz w:val="24"/>
          <w:szCs w:val="24"/>
        </w:rPr>
        <w:t>Turkey,</w:t>
      </w:r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 xml:space="preserve"> and it is one of the wetlands of worldwide importance. </w:t>
      </w:r>
      <w:proofErr w:type="spellStart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 xml:space="preserve"> and Gala lakes are in the </w:t>
      </w:r>
      <w:r w:rsidR="00A048FC" w:rsidRPr="006878CA">
        <w:rPr>
          <w:rFonts w:ascii="Times New Roman" w:eastAsia="Times New Roman" w:hAnsi="Times New Roman" w:cs="Times New Roman"/>
          <w:sz w:val="24"/>
          <w:szCs w:val="24"/>
        </w:rPr>
        <w:t>delta,</w:t>
      </w:r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 xml:space="preserve"> and they are two of Turkey's most important </w:t>
      </w:r>
      <w:proofErr w:type="gramStart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>wetland</w:t>
      </w:r>
      <w:proofErr w:type="gramEnd"/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 xml:space="preserve"> in terms of biodiversity………………………………</w:t>
      </w:r>
      <w:r w:rsidR="00DC43C4" w:rsidRPr="00DC43C4">
        <w:rPr>
          <w:rFonts w:ascii="Times New Roman" w:eastAsia="Times New Roman" w:hAnsi="Times New Roman" w:cs="Times New Roman"/>
          <w:sz w:val="24"/>
          <w:szCs w:val="24"/>
        </w:rPr>
        <w:t>It was determined that the percentage of inorganic As in the examined fish ranged from 0% to 9.5%.</w:t>
      </w:r>
      <w:r w:rsidR="00DC43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C33" w:rsidRPr="00F81C3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81C33">
        <w:rPr>
          <w:rFonts w:ascii="Times New Roman" w:eastAsia="Times New Roman" w:hAnsi="Times New Roman" w:cs="Times New Roman"/>
          <w:sz w:val="24"/>
          <w:szCs w:val="24"/>
        </w:rPr>
        <w:t>findings of the present study</w:t>
      </w:r>
      <w:r w:rsidR="00F81C33" w:rsidRPr="00F81C33">
        <w:rPr>
          <w:rFonts w:ascii="Times New Roman" w:eastAsia="Times New Roman" w:hAnsi="Times New Roman" w:cs="Times New Roman"/>
          <w:sz w:val="24"/>
          <w:szCs w:val="24"/>
        </w:rPr>
        <w:t xml:space="preserve"> revealed that the toxic element concentrations in the muscles of the fish in </w:t>
      </w:r>
      <w:proofErr w:type="spellStart"/>
      <w:r w:rsidR="00F81C33" w:rsidRPr="00F81C33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="00F81C33" w:rsidRPr="00F81C33">
        <w:rPr>
          <w:rFonts w:ascii="Times New Roman" w:eastAsia="Times New Roman" w:hAnsi="Times New Roman" w:cs="Times New Roman"/>
          <w:sz w:val="24"/>
          <w:szCs w:val="24"/>
        </w:rPr>
        <w:t xml:space="preserve"> and Gala lakes do not pose a significant health risk for consumers.</w:t>
      </w:r>
    </w:p>
    <w:p w14:paraId="535F1254" w14:textId="3E410BBB" w:rsidR="00BA3777" w:rsidRPr="006878CA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8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6878C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878CA">
        <w:rPr>
          <w:rFonts w:ascii="Times New Roman" w:eastAsia="Times New Roman" w:hAnsi="Times New Roman" w:cs="Times New Roman"/>
          <w:sz w:val="24"/>
          <w:szCs w:val="24"/>
        </w:rPr>
        <w:t xml:space="preserve"> Gala and </w:t>
      </w:r>
      <w:proofErr w:type="spellStart"/>
      <w:r w:rsidRPr="006878CA">
        <w:rPr>
          <w:rFonts w:ascii="Times New Roman" w:eastAsia="Times New Roman" w:hAnsi="Times New Roman" w:cs="Times New Roman"/>
          <w:sz w:val="24"/>
          <w:szCs w:val="24"/>
        </w:rPr>
        <w:t>Sığırcı</w:t>
      </w:r>
      <w:proofErr w:type="spellEnd"/>
      <w:r w:rsidRPr="006878CA">
        <w:rPr>
          <w:rFonts w:ascii="Times New Roman" w:eastAsia="Times New Roman" w:hAnsi="Times New Roman" w:cs="Times New Roman"/>
          <w:sz w:val="24"/>
          <w:szCs w:val="24"/>
        </w:rPr>
        <w:t xml:space="preserve"> Lakes, </w:t>
      </w:r>
      <w:r w:rsidR="00F315C8" w:rsidRPr="006878CA">
        <w:rPr>
          <w:rFonts w:ascii="Times New Roman" w:eastAsia="Times New Roman" w:hAnsi="Times New Roman" w:cs="Times New Roman"/>
          <w:sz w:val="24"/>
          <w:szCs w:val="24"/>
        </w:rPr>
        <w:t>fish</w:t>
      </w:r>
      <w:r w:rsidRPr="006878CA">
        <w:rPr>
          <w:rFonts w:ascii="Times New Roman" w:eastAsia="Times New Roman" w:hAnsi="Times New Roman" w:cs="Times New Roman"/>
          <w:sz w:val="24"/>
          <w:szCs w:val="24"/>
        </w:rPr>
        <w:t>, toxic metals, health risk assessment</w:t>
      </w:r>
      <w:r w:rsidR="000D0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FF14AB" w14:textId="77777777" w:rsidR="00BA3777" w:rsidRPr="006878CA" w:rsidRDefault="00BA3777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6C8AE87" w14:textId="13194040" w:rsidR="00BA3777" w:rsidRPr="002D5E30" w:rsidRDefault="000B2813" w:rsidP="00540E2A">
      <w:pPr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1. GİRİŞ</w:t>
      </w:r>
    </w:p>
    <w:p w14:paraId="46AC3473" w14:textId="2DFB91FD" w:rsidR="00384617" w:rsidRPr="002D5E30" w:rsidRDefault="002D5E30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Meriç Deltası Türkiye’nin Trakya bölgesinde yer alan dünya çapında öneme sahip 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lastRenderedPageBreak/>
        <w:t xml:space="preserve">sulak alanlardan biridir. Delta içinde yer alan Gala ve Sığırcı gölleri,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biyo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-çeşitlilik bakımından Türkiye’nin önemli göllerindendir</w:t>
      </w:r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(Kar, 1990; Kar </w:t>
      </w:r>
      <w:r w:rsidR="00D45E41">
        <w:rPr>
          <w:rFonts w:ascii="Times New Roman" w:eastAsia="Times New Roman" w:hAnsi="Times New Roman" w:cs="Times New Roman"/>
          <w:sz w:val="24"/>
          <w:szCs w:val="24"/>
          <w:lang w:val="tr-TR"/>
        </w:rPr>
        <w:t>ve</w:t>
      </w:r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Kar, </w:t>
      </w:r>
      <w:proofErr w:type="gramStart"/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2020a</w:t>
      </w:r>
      <w:proofErr w:type="gramEnd"/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; Kara </w:t>
      </w:r>
      <w:r w:rsidR="00D45E41">
        <w:rPr>
          <w:rFonts w:ascii="Times New Roman" w:eastAsia="Times New Roman" w:hAnsi="Times New Roman" w:cs="Times New Roman"/>
          <w:sz w:val="24"/>
          <w:szCs w:val="24"/>
          <w:lang w:val="tr-TR"/>
        </w:rPr>
        <w:t>ve</w:t>
      </w:r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Kar, 2020b; Kar </w:t>
      </w:r>
      <w:r w:rsidR="00D45E41">
        <w:rPr>
          <w:rFonts w:ascii="Times New Roman" w:eastAsia="Times New Roman" w:hAnsi="Times New Roman" w:cs="Times New Roman"/>
          <w:sz w:val="24"/>
          <w:szCs w:val="24"/>
          <w:lang w:val="tr-TR"/>
        </w:rPr>
        <w:t>vd</w:t>
      </w:r>
      <w:r w:rsidR="000338D6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., 2021).</w:t>
      </w:r>
    </w:p>
    <w:p w14:paraId="357F5D95" w14:textId="77777777" w:rsidR="00A01F3F" w:rsidRPr="002D5E30" w:rsidRDefault="00A01F3F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9911B8B" w14:textId="1A337FB5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MATERYAL </w:t>
      </w:r>
      <w:r w:rsidR="00527076">
        <w:rPr>
          <w:rFonts w:ascii="Times New Roman" w:hAnsi="Times New Roman" w:cs="Times New Roman"/>
          <w:b/>
          <w:bCs/>
          <w:sz w:val="24"/>
          <w:szCs w:val="24"/>
          <w:lang w:val="tr-TR"/>
        </w:rPr>
        <w:t>ve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METOT</w:t>
      </w:r>
    </w:p>
    <w:p w14:paraId="13722283" w14:textId="04F03557" w:rsidR="004443DD" w:rsidRPr="002D5E30" w:rsidRDefault="004443DD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2.1. </w:t>
      </w:r>
      <w:r w:rsidR="0014325F">
        <w:rPr>
          <w:rFonts w:ascii="Times New Roman" w:hAnsi="Times New Roman" w:cs="Times New Roman"/>
          <w:b/>
          <w:bCs/>
          <w:sz w:val="24"/>
          <w:szCs w:val="24"/>
          <w:lang w:val="tr-TR"/>
        </w:rPr>
        <w:t>Çalışma takvimi</w:t>
      </w:r>
    </w:p>
    <w:p w14:paraId="05B73EEB" w14:textId="094BBC3C" w:rsidR="004443DD" w:rsidRDefault="0014325F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Bu çalışma 2016’da mevsimsel olarak yürütülmüştür.</w:t>
      </w:r>
    </w:p>
    <w:p w14:paraId="3980F52E" w14:textId="77777777" w:rsidR="0014325F" w:rsidRPr="002D5E30" w:rsidRDefault="0014325F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919F25C" w14:textId="39727603" w:rsidR="00A01F3F" w:rsidRPr="002D5E30" w:rsidRDefault="00A01F3F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>2.</w:t>
      </w:r>
      <w:r w:rsidR="004443DD"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 w:rsidR="0014325F">
        <w:rPr>
          <w:rFonts w:ascii="Times New Roman" w:hAnsi="Times New Roman" w:cs="Times New Roman"/>
          <w:b/>
          <w:bCs/>
          <w:sz w:val="24"/>
          <w:szCs w:val="24"/>
          <w:lang w:val="tr-TR"/>
        </w:rPr>
        <w:t>Çalışma sahası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53F7D60" w14:textId="48F82AFA" w:rsidR="0014325F" w:rsidRDefault="0014325F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Bu çalışma Meriç Nehir Havzasında yürütülmüştür (Şekil 1). Meriç Nehri Havzası 14.850</w:t>
      </w:r>
      <w:r w:rsidRPr="0014325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D5E30">
        <w:rPr>
          <w:rFonts w:ascii="Times New Roman" w:hAnsi="Times New Roman" w:cs="Times New Roman"/>
          <w:sz w:val="24"/>
          <w:szCs w:val="24"/>
          <w:lang w:val="tr-TR"/>
        </w:rPr>
        <w:t>km²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yüzey alanına sahiptir </w:t>
      </w:r>
      <w:r w:rsidRPr="002D5E30">
        <w:rPr>
          <w:rFonts w:ascii="Times New Roman" w:hAnsi="Times New Roman" w:cs="Times New Roman"/>
          <w:sz w:val="24"/>
          <w:szCs w:val="24"/>
          <w:lang w:val="tr-TR"/>
        </w:rPr>
        <w:t>(Kar, 2021).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20EE68F" w14:textId="77777777" w:rsidR="0014325F" w:rsidRDefault="0014325F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3570AC01" w14:textId="2F0731D1" w:rsidR="004443DD" w:rsidRPr="002D5E30" w:rsidRDefault="004443DD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55632702" wp14:editId="1E64B6E1">
            <wp:extent cx="3103155" cy="2052000"/>
            <wp:effectExtent l="0" t="0" r="2540" b="5715"/>
            <wp:docPr id="1" name="Resim 1" descr="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harita içeren bir resim&#10;&#10;Açıklama otomatik olarak oluşturuldu"/>
                    <pic:cNvPicPr/>
                  </pic:nvPicPr>
                  <pic:blipFill rotWithShape="1">
                    <a:blip r:embed="rId7"/>
                    <a:srcRect t="4200"/>
                    <a:stretch/>
                  </pic:blipFill>
                  <pic:spPr bwMode="auto">
                    <a:xfrm>
                      <a:off x="0" y="0"/>
                      <a:ext cx="3103155" cy="205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AC8EE" w14:textId="5B3A7DA5" w:rsidR="007F439E" w:rsidRDefault="007F439E" w:rsidP="00540E2A">
      <w:pPr>
        <w:pStyle w:val="TableParagraph"/>
        <w:spacing w:line="480" w:lineRule="auto"/>
        <w:ind w:right="525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Şekil</w:t>
      </w:r>
      <w:r w:rsidR="004443DD"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1.</w:t>
      </w:r>
      <w:r w:rsidR="004443DD"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Meriç Nehri Havzası ve çalışılan göller.</w:t>
      </w:r>
    </w:p>
    <w:p w14:paraId="38495B19" w14:textId="77777777" w:rsidR="004443DD" w:rsidRPr="002D5E30" w:rsidRDefault="004443DD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EDA97A3" w14:textId="196E1DEE" w:rsidR="00BA3777" w:rsidRPr="002D5E30" w:rsidRDefault="00BA377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>2.</w:t>
      </w:r>
      <w:r w:rsidR="000D0EA7">
        <w:rPr>
          <w:rFonts w:ascii="Times New Roman" w:hAnsi="Times New Roman" w:cs="Times New Roman"/>
          <w:b/>
          <w:bCs/>
          <w:sz w:val="24"/>
          <w:szCs w:val="24"/>
          <w:lang w:val="tr-TR"/>
        </w:rPr>
        <w:t>3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 w:rsidR="000F57A1">
        <w:rPr>
          <w:rFonts w:ascii="Times New Roman" w:hAnsi="Times New Roman" w:cs="Times New Roman"/>
          <w:b/>
          <w:bCs/>
          <w:sz w:val="24"/>
          <w:szCs w:val="24"/>
          <w:lang w:val="tr-TR"/>
        </w:rPr>
        <w:t>Balık örneklerinin alınması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p w14:paraId="1FC10C98" w14:textId="676F68B2" w:rsidR="00212C81" w:rsidRDefault="00A958C4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958C4">
        <w:rPr>
          <w:rFonts w:ascii="Times New Roman" w:hAnsi="Times New Roman" w:cs="Times New Roman"/>
          <w:sz w:val="24"/>
          <w:szCs w:val="24"/>
          <w:lang w:val="tr-TR"/>
        </w:rPr>
        <w:t xml:space="preserve">Balıklar </w:t>
      </w:r>
      <w:r>
        <w:rPr>
          <w:rFonts w:ascii="Times New Roman" w:hAnsi="Times New Roman" w:cs="Times New Roman"/>
          <w:sz w:val="24"/>
          <w:szCs w:val="24"/>
          <w:lang w:val="tr-TR"/>
        </w:rPr>
        <w:t>uzatma</w:t>
      </w:r>
      <w:r w:rsidRPr="00A958C4">
        <w:rPr>
          <w:rFonts w:ascii="Times New Roman" w:hAnsi="Times New Roman" w:cs="Times New Roman"/>
          <w:sz w:val="24"/>
          <w:szCs w:val="24"/>
          <w:lang w:val="tr-TR"/>
        </w:rPr>
        <w:t xml:space="preserve"> ağlarıyla yakalandı</w:t>
      </w:r>
      <w:r>
        <w:rPr>
          <w:rFonts w:ascii="Times New Roman" w:hAnsi="Times New Roman" w:cs="Times New Roman"/>
          <w:sz w:val="24"/>
          <w:szCs w:val="24"/>
          <w:lang w:val="tr-TR"/>
        </w:rPr>
        <w:t>, l</w:t>
      </w:r>
      <w:r w:rsidRPr="00A958C4">
        <w:rPr>
          <w:rFonts w:ascii="Times New Roman" w:hAnsi="Times New Roman" w:cs="Times New Roman"/>
          <w:sz w:val="24"/>
          <w:szCs w:val="24"/>
          <w:lang w:val="tr-TR"/>
        </w:rPr>
        <w:t xml:space="preserve">aboratuvara </w:t>
      </w:r>
      <w:r>
        <w:rPr>
          <w:rFonts w:ascii="Times New Roman" w:hAnsi="Times New Roman" w:cs="Times New Roman"/>
          <w:sz w:val="24"/>
          <w:szCs w:val="24"/>
          <w:lang w:val="tr-TR"/>
        </w:rPr>
        <w:t>taşındı</w:t>
      </w:r>
      <w:r w:rsidRPr="00A958C4">
        <w:rPr>
          <w:rFonts w:ascii="Times New Roman" w:hAnsi="Times New Roman" w:cs="Times New Roman"/>
          <w:sz w:val="24"/>
          <w:szCs w:val="24"/>
          <w:lang w:val="tr-TR"/>
        </w:rPr>
        <w:t xml:space="preserve"> ve parazit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yönünden </w:t>
      </w:r>
      <w:r w:rsidRPr="00A958C4">
        <w:rPr>
          <w:rFonts w:ascii="Times New Roman" w:hAnsi="Times New Roman" w:cs="Times New Roman"/>
          <w:sz w:val="24"/>
          <w:szCs w:val="24"/>
          <w:lang w:val="tr-TR"/>
        </w:rPr>
        <w:t>muayene edildiler.</w:t>
      </w:r>
    </w:p>
    <w:p w14:paraId="13186874" w14:textId="77777777" w:rsidR="00A958C4" w:rsidRPr="002D5E30" w:rsidRDefault="00A958C4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C209BDC" w14:textId="19ABB503" w:rsidR="00BA3777" w:rsidRPr="002D5E30" w:rsidRDefault="00BA377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2.</w:t>
      </w:r>
      <w:r w:rsidR="000D0EA7">
        <w:rPr>
          <w:rFonts w:ascii="Times New Roman" w:hAnsi="Times New Roman" w:cs="Times New Roman"/>
          <w:b/>
          <w:bCs/>
          <w:sz w:val="24"/>
          <w:szCs w:val="24"/>
          <w:lang w:val="tr-TR"/>
        </w:rPr>
        <w:t>4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 w:rsidR="00C47993">
        <w:rPr>
          <w:rFonts w:ascii="Times New Roman" w:hAnsi="Times New Roman" w:cs="Times New Roman"/>
          <w:b/>
          <w:bCs/>
          <w:sz w:val="24"/>
          <w:szCs w:val="24"/>
          <w:lang w:val="tr-TR"/>
        </w:rPr>
        <w:t>Kimyasal analiz</w:t>
      </w:r>
      <w:r w:rsidR="00A454BD">
        <w:rPr>
          <w:rFonts w:ascii="Times New Roman" w:hAnsi="Times New Roman" w:cs="Times New Roman"/>
          <w:b/>
          <w:bCs/>
          <w:sz w:val="24"/>
          <w:szCs w:val="24"/>
          <w:lang w:val="tr-TR"/>
        </w:rPr>
        <w:t>l</w:t>
      </w:r>
      <w:r w:rsidR="00C47993">
        <w:rPr>
          <w:rFonts w:ascii="Times New Roman" w:hAnsi="Times New Roman" w:cs="Times New Roman"/>
          <w:b/>
          <w:bCs/>
          <w:sz w:val="24"/>
          <w:szCs w:val="24"/>
          <w:lang w:val="tr-TR"/>
        </w:rPr>
        <w:t>er</w:t>
      </w:r>
    </w:p>
    <w:p w14:paraId="7A081777" w14:textId="6B18D7B7" w:rsidR="00BA3777" w:rsidRPr="002D5E30" w:rsidRDefault="00C47993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47993">
        <w:rPr>
          <w:rFonts w:ascii="Times New Roman" w:hAnsi="Times New Roman" w:cs="Times New Roman"/>
          <w:sz w:val="24"/>
          <w:szCs w:val="24"/>
          <w:lang w:val="tr-TR"/>
        </w:rPr>
        <w:t xml:space="preserve">Balık örneklerinin kas dokuları çıkarılarak her bir örnekten 0,50 </w:t>
      </w:r>
      <w:proofErr w:type="spellStart"/>
      <w:r w:rsidRPr="00C47993">
        <w:rPr>
          <w:rFonts w:ascii="Times New Roman" w:hAnsi="Times New Roman" w:cs="Times New Roman"/>
          <w:sz w:val="24"/>
          <w:szCs w:val="24"/>
          <w:lang w:val="tr-TR"/>
        </w:rPr>
        <w:t>gr</w:t>
      </w:r>
      <w:proofErr w:type="spellEnd"/>
      <w:r w:rsidRPr="00C47993">
        <w:rPr>
          <w:rFonts w:ascii="Times New Roman" w:hAnsi="Times New Roman" w:cs="Times New Roman"/>
          <w:sz w:val="24"/>
          <w:szCs w:val="24"/>
          <w:lang w:val="tr-TR"/>
        </w:rPr>
        <w:t xml:space="preserve"> alın</w:t>
      </w:r>
      <w:r>
        <w:rPr>
          <w:rFonts w:ascii="Times New Roman" w:hAnsi="Times New Roman" w:cs="Times New Roman"/>
          <w:sz w:val="24"/>
          <w:szCs w:val="24"/>
          <w:lang w:val="tr-TR"/>
        </w:rPr>
        <w:t>dı ve</w:t>
      </w:r>
      <w:r w:rsidRPr="00C47993">
        <w:rPr>
          <w:rFonts w:ascii="Times New Roman" w:hAnsi="Times New Roman" w:cs="Times New Roman"/>
          <w:sz w:val="24"/>
          <w:szCs w:val="24"/>
          <w:lang w:val="tr-TR"/>
        </w:rPr>
        <w:t xml:space="preserve"> CEM Mars </w:t>
      </w:r>
      <w:proofErr w:type="spellStart"/>
      <w:r w:rsidRPr="00C47993">
        <w:rPr>
          <w:rFonts w:ascii="Times New Roman" w:hAnsi="Times New Roman" w:cs="Times New Roman"/>
          <w:sz w:val="24"/>
          <w:szCs w:val="24"/>
          <w:lang w:val="tr-TR"/>
        </w:rPr>
        <w:t>Xpress</w:t>
      </w:r>
      <w:proofErr w:type="spellEnd"/>
      <w:r w:rsidRPr="00C47993">
        <w:rPr>
          <w:rFonts w:ascii="Times New Roman" w:hAnsi="Times New Roman" w:cs="Times New Roman"/>
          <w:sz w:val="24"/>
          <w:szCs w:val="24"/>
          <w:lang w:val="tr-TR"/>
        </w:rPr>
        <w:t xml:space="preserve"> 5 mikrodalga reaktör</w:t>
      </w:r>
      <w:r w:rsidR="00470890">
        <w:rPr>
          <w:rFonts w:ascii="Times New Roman" w:hAnsi="Times New Roman" w:cs="Times New Roman"/>
          <w:sz w:val="24"/>
          <w:szCs w:val="24"/>
          <w:lang w:val="tr-TR"/>
        </w:rPr>
        <w:t>üne</w:t>
      </w:r>
      <w:r w:rsidRPr="00C47993">
        <w:rPr>
          <w:rFonts w:ascii="Times New Roman" w:hAnsi="Times New Roman" w:cs="Times New Roman"/>
          <w:sz w:val="24"/>
          <w:szCs w:val="24"/>
          <w:lang w:val="tr-TR"/>
        </w:rPr>
        <w:t xml:space="preserve"> yerleştirildi </w:t>
      </w:r>
      <w:r w:rsidR="000846E9"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(Kar, </w:t>
      </w:r>
      <w:r w:rsidR="00931F44"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1990; Kar </w:t>
      </w:r>
      <w:r w:rsidR="00D45E41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931F44"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Kar 2020; Kar </w:t>
      </w:r>
      <w:r w:rsidR="00D45E41">
        <w:rPr>
          <w:rFonts w:ascii="Times New Roman" w:hAnsi="Times New Roman" w:cs="Times New Roman"/>
          <w:sz w:val="24"/>
          <w:szCs w:val="24"/>
          <w:lang w:val="tr-TR"/>
        </w:rPr>
        <w:t>vd</w:t>
      </w:r>
      <w:r w:rsidR="00931F44" w:rsidRPr="002D5E30">
        <w:rPr>
          <w:rFonts w:ascii="Times New Roman" w:hAnsi="Times New Roman" w:cs="Times New Roman"/>
          <w:sz w:val="24"/>
          <w:szCs w:val="24"/>
          <w:lang w:val="tr-TR"/>
        </w:rPr>
        <w:t>., 2021</w:t>
      </w:r>
      <w:r w:rsidR="000846E9" w:rsidRPr="002D5E30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BA3777" w:rsidRPr="002D5E30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7308D3A" w14:textId="3CFC17D7" w:rsidR="00384617" w:rsidRDefault="0038461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4B7EAAF4" w14:textId="3299415A" w:rsidR="000D0EA7" w:rsidRDefault="000D0EA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8259A">
        <w:rPr>
          <w:rFonts w:ascii="Times New Roman" w:hAnsi="Times New Roman" w:cs="Times New Roman"/>
          <w:b/>
          <w:bCs/>
          <w:sz w:val="24"/>
          <w:szCs w:val="24"/>
          <w:lang w:val="tr-TR"/>
        </w:rPr>
        <w:t>2.5. İstatis</w:t>
      </w:r>
      <w:r w:rsidR="0058259A">
        <w:rPr>
          <w:rFonts w:ascii="Times New Roman" w:hAnsi="Times New Roman" w:cs="Times New Roman"/>
          <w:b/>
          <w:bCs/>
          <w:sz w:val="24"/>
          <w:szCs w:val="24"/>
          <w:lang w:val="tr-TR"/>
        </w:rPr>
        <w:t>tiki analizler</w:t>
      </w:r>
    </w:p>
    <w:p w14:paraId="3C6CF3E9" w14:textId="382968F2" w:rsidR="00A454BD" w:rsidRPr="00A454BD" w:rsidRDefault="00174F3B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Verilerin normal dağılımı 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Kolmogorov–</w:t>
      </w:r>
      <w:proofErr w:type="spellStart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Smirnov</w:t>
      </w:r>
      <w:proofErr w:type="spellEnd"/>
      <w:r w:rsidR="00CE1228">
        <w:rPr>
          <w:rFonts w:ascii="Times New Roman" w:hAnsi="Times New Roman" w:cs="Times New Roman"/>
          <w:sz w:val="24"/>
          <w:szCs w:val="24"/>
          <w:lang w:val="tr-TR"/>
        </w:rPr>
        <w:t xml:space="preserve"> testi, varyansların homojenitesi ise </w:t>
      </w:r>
      <w:proofErr w:type="spellStart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Levene's</w:t>
      </w:r>
      <w:proofErr w:type="spellEnd"/>
      <w:r w:rsidR="00CE1228">
        <w:rPr>
          <w:rFonts w:ascii="Times New Roman" w:hAnsi="Times New Roman" w:cs="Times New Roman"/>
          <w:sz w:val="24"/>
          <w:szCs w:val="24"/>
          <w:lang w:val="tr-TR"/>
        </w:rPr>
        <w:t xml:space="preserve"> test ile yapılmıştır………………………………………………. Testlerde önem seviyesi 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α = 0</w:t>
      </w:r>
      <w:r w:rsidR="00B1713E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05</w:t>
      </w:r>
      <w:r w:rsidR="00CE1228">
        <w:rPr>
          <w:rFonts w:ascii="Times New Roman" w:hAnsi="Times New Roman" w:cs="Times New Roman"/>
          <w:sz w:val="24"/>
          <w:szCs w:val="24"/>
          <w:lang w:val="tr-TR"/>
        </w:rPr>
        <w:t xml:space="preserve"> olarak kabul edilmiştir. Veriler ortalama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 ±</w:t>
      </w:r>
      <w:r w:rsidR="00CE1228">
        <w:rPr>
          <w:rFonts w:ascii="Times New Roman" w:hAnsi="Times New Roman" w:cs="Times New Roman"/>
          <w:sz w:val="24"/>
          <w:szCs w:val="24"/>
          <w:lang w:val="tr-TR"/>
        </w:rPr>
        <w:t xml:space="preserve"> standart hata şeklinde gösterilmiştir. Veriler 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 xml:space="preserve">IBM SPSS </w:t>
      </w:r>
      <w:proofErr w:type="spellStart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Statistics</w:t>
      </w:r>
      <w:proofErr w:type="spellEnd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 xml:space="preserve"> 25 </w:t>
      </w:r>
      <w:r w:rsidR="00CE1228">
        <w:rPr>
          <w:rFonts w:ascii="Times New Roman" w:hAnsi="Times New Roman" w:cs="Times New Roman"/>
          <w:sz w:val="24"/>
          <w:szCs w:val="24"/>
          <w:lang w:val="tr-TR"/>
        </w:rPr>
        <w:t>paket programı ile analiz edilmiştir</w:t>
      </w:r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 xml:space="preserve"> (IBM </w:t>
      </w:r>
      <w:proofErr w:type="spellStart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Corp</w:t>
      </w:r>
      <w:proofErr w:type="spellEnd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 xml:space="preserve">., </w:t>
      </w:r>
      <w:proofErr w:type="spellStart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Armonk</w:t>
      </w:r>
      <w:proofErr w:type="spellEnd"/>
      <w:r w:rsidR="00CE1228" w:rsidRPr="00CE1228">
        <w:rPr>
          <w:rFonts w:ascii="Times New Roman" w:hAnsi="Times New Roman" w:cs="Times New Roman"/>
          <w:sz w:val="24"/>
          <w:szCs w:val="24"/>
          <w:lang w:val="tr-TR"/>
        </w:rPr>
        <w:t>, NY, USA).</w:t>
      </w:r>
      <w:r w:rsidR="00CE12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E2B66BA" w14:textId="77777777" w:rsidR="000D0EA7" w:rsidRPr="002D5E30" w:rsidRDefault="000D0EA7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3793A8D" w14:textId="7C98AB4F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BULGULAR</w:t>
      </w:r>
    </w:p>
    <w:p w14:paraId="28987F4B" w14:textId="11010B7A" w:rsidR="005B60E4" w:rsidRPr="002D5E30" w:rsidRDefault="005B60E4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3.1. </w:t>
      </w:r>
      <w:r w:rsidR="007806FD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Kimyasal </w:t>
      </w:r>
      <w:r w:rsidR="005D09C7">
        <w:rPr>
          <w:rFonts w:ascii="Times New Roman" w:hAnsi="Times New Roman" w:cs="Times New Roman"/>
          <w:b/>
          <w:bCs/>
          <w:sz w:val="24"/>
          <w:szCs w:val="24"/>
          <w:lang w:val="tr-TR"/>
        </w:rPr>
        <w:t>sonuçlar</w:t>
      </w:r>
    </w:p>
    <w:p w14:paraId="01AD554E" w14:textId="1C76D392" w:rsidR="00E37A4F" w:rsidRDefault="007806F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806FD">
        <w:rPr>
          <w:rFonts w:ascii="Times New Roman" w:eastAsia="Times New Roman" w:hAnsi="Times New Roman" w:cs="Times New Roman"/>
          <w:sz w:val="24"/>
          <w:szCs w:val="24"/>
          <w:lang w:val="tr-TR"/>
        </w:rPr>
        <w:t>Elde edilen bulgulara göre parametre1 değerleri çalışılan aylara göre farklılık göstermiştir (</w:t>
      </w:r>
      <w:r w:rsidRPr="007806FD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P</w:t>
      </w:r>
      <w:r w:rsidRPr="007806F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7806FD">
        <w:rPr>
          <w:rFonts w:ascii="Times New Roman" w:eastAsia="Times New Roman" w:hAnsi="Times New Roman" w:cs="Times New Roman"/>
          <w:sz w:val="24"/>
          <w:szCs w:val="24"/>
          <w:lang w:val="tr-TR"/>
        </w:rPr>
        <w:t>&lt; 0</w:t>
      </w:r>
      <w:proofErr w:type="gramEnd"/>
      <w:r w:rsidR="00B1713E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Pr="007806F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05). Bu çalışmada elde edilen kimyasal değerler Tablo 1'de </w:t>
      </w:r>
      <w:r w:rsidR="00A3313C">
        <w:rPr>
          <w:rFonts w:ascii="Times New Roman" w:eastAsia="Times New Roman" w:hAnsi="Times New Roman" w:cs="Times New Roman"/>
          <w:sz w:val="24"/>
          <w:szCs w:val="24"/>
          <w:lang w:val="tr-TR"/>
        </w:rPr>
        <w:t>verilmiştir</w:t>
      </w:r>
      <w:r w:rsidRPr="007806FD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0359BFB2" w14:textId="77777777" w:rsidR="007806FD" w:rsidRPr="002D5E30" w:rsidRDefault="007806FD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ECE07E2" w14:textId="5868ACDB" w:rsidR="00E37A4F" w:rsidRPr="002D5E30" w:rsidRDefault="00CA2132" w:rsidP="00540E2A">
      <w:pPr>
        <w:pStyle w:val="TableParagraph"/>
        <w:spacing w:line="480" w:lineRule="auto"/>
        <w:ind w:right="525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Tablo</w:t>
      </w:r>
      <w:r w:rsidR="00E37A4F" w:rsidRPr="002D5E3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1.</w:t>
      </w:r>
      <w:r w:rsidR="00E37A4F"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5D09C7" w:rsidRPr="005D09C7">
        <w:rPr>
          <w:rFonts w:ascii="Times New Roman" w:eastAsia="Times New Roman" w:hAnsi="Times New Roman" w:cs="Times New Roman"/>
          <w:sz w:val="24"/>
          <w:szCs w:val="24"/>
          <w:lang w:val="tr-TR"/>
        </w:rPr>
        <w:t>İncelenen aylar</w:t>
      </w:r>
      <w:r w:rsidR="005D09C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da </w:t>
      </w:r>
      <w:r w:rsidR="005D09C7" w:rsidRPr="005D09C7">
        <w:rPr>
          <w:rFonts w:ascii="Times New Roman" w:eastAsia="Times New Roman" w:hAnsi="Times New Roman" w:cs="Times New Roman"/>
          <w:sz w:val="24"/>
          <w:szCs w:val="24"/>
          <w:lang w:val="tr-TR"/>
        </w:rPr>
        <w:t>belirlenen parametre değerleri.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67"/>
        <w:gridCol w:w="1776"/>
        <w:gridCol w:w="1773"/>
        <w:gridCol w:w="1773"/>
        <w:gridCol w:w="1775"/>
      </w:tblGrid>
      <w:tr w:rsidR="00162C38" w:rsidRPr="002D5E30" w14:paraId="7A3E9A1F" w14:textId="4B89A667" w:rsidTr="00CA2132">
        <w:tc>
          <w:tcPr>
            <w:tcW w:w="1057" w:type="pct"/>
          </w:tcPr>
          <w:p w14:paraId="5C4649A4" w14:textId="278A5A22" w:rsidR="00162C38" w:rsidRPr="002D5E30" w:rsidRDefault="00162C38" w:rsidP="00540E2A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Paramet</w:t>
            </w:r>
            <w:r w:rsidR="00CA213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reler</w:t>
            </w:r>
          </w:p>
        </w:tc>
        <w:tc>
          <w:tcPr>
            <w:tcW w:w="987" w:type="pct"/>
          </w:tcPr>
          <w:p w14:paraId="0F84126A" w14:textId="7BF693D7" w:rsidR="00162C38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Ocak</w:t>
            </w:r>
          </w:p>
        </w:tc>
        <w:tc>
          <w:tcPr>
            <w:tcW w:w="985" w:type="pct"/>
          </w:tcPr>
          <w:p w14:paraId="58C32D52" w14:textId="78767433" w:rsidR="00162C38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Nisan</w:t>
            </w:r>
          </w:p>
        </w:tc>
        <w:tc>
          <w:tcPr>
            <w:tcW w:w="985" w:type="pct"/>
          </w:tcPr>
          <w:p w14:paraId="52AE8133" w14:textId="7167FC28" w:rsidR="00162C38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Temmuz</w:t>
            </w:r>
          </w:p>
        </w:tc>
        <w:tc>
          <w:tcPr>
            <w:tcW w:w="986" w:type="pct"/>
          </w:tcPr>
          <w:p w14:paraId="7AC1ADE2" w14:textId="46EA437C" w:rsidR="00162C38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Ekim</w:t>
            </w:r>
          </w:p>
        </w:tc>
      </w:tr>
      <w:tr w:rsidR="00CA2132" w:rsidRPr="002D5E30" w14:paraId="23ED896E" w14:textId="7338A997" w:rsidTr="00CA2132">
        <w:tc>
          <w:tcPr>
            <w:tcW w:w="1057" w:type="pct"/>
          </w:tcPr>
          <w:p w14:paraId="4EAB96B7" w14:textId="60774C41" w:rsidR="00CA2132" w:rsidRPr="002D5E30" w:rsidRDefault="00CA2132" w:rsidP="00540E2A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Paramet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re1</w:t>
            </w:r>
          </w:p>
        </w:tc>
        <w:tc>
          <w:tcPr>
            <w:tcW w:w="987" w:type="pct"/>
          </w:tcPr>
          <w:p w14:paraId="27C1C346" w14:textId="2BD2733A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,25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2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,14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</w:t>
            </w:r>
          </w:p>
        </w:tc>
        <w:tc>
          <w:tcPr>
            <w:tcW w:w="985" w:type="pct"/>
          </w:tcPr>
          <w:p w14:paraId="4F6D1145" w14:textId="32E62167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,01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5,8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5" w:type="pct"/>
          </w:tcPr>
          <w:p w14:paraId="263C70CA" w14:textId="63F0362B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,24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4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,95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6" w:type="pct"/>
          </w:tcPr>
          <w:p w14:paraId="5FCEF4AC" w14:textId="11FAD3D4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,68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5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</w:t>
            </w:r>
            <w:proofErr w:type="gramStart"/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47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  <w:proofErr w:type="gramEnd"/>
          </w:p>
        </w:tc>
      </w:tr>
      <w:tr w:rsidR="00CA2132" w:rsidRPr="002D5E30" w14:paraId="5A3FE7A5" w14:textId="218D5D34" w:rsidTr="00CA2132">
        <w:tc>
          <w:tcPr>
            <w:tcW w:w="1057" w:type="pct"/>
          </w:tcPr>
          <w:p w14:paraId="6ABE0B4A" w14:textId="48913106" w:rsidR="00CA2132" w:rsidRPr="002D5E30" w:rsidRDefault="00CA2132" w:rsidP="00540E2A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964AF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Parametre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987" w:type="pct"/>
          </w:tcPr>
          <w:p w14:paraId="17C3F6EB" w14:textId="10A0B938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5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,98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4,5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c</w:t>
            </w:r>
          </w:p>
        </w:tc>
        <w:tc>
          <w:tcPr>
            <w:tcW w:w="985" w:type="pct"/>
          </w:tcPr>
          <w:p w14:paraId="53E45176" w14:textId="5AF84B21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,78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6,42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bc</w:t>
            </w:r>
          </w:p>
        </w:tc>
        <w:tc>
          <w:tcPr>
            <w:tcW w:w="985" w:type="pct"/>
          </w:tcPr>
          <w:p w14:paraId="79160FA1" w14:textId="74096489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,12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8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</w:t>
            </w:r>
            <w:proofErr w:type="gramStart"/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00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  <w:proofErr w:type="gramEnd"/>
          </w:p>
        </w:tc>
        <w:tc>
          <w:tcPr>
            <w:tcW w:w="986" w:type="pct"/>
          </w:tcPr>
          <w:p w14:paraId="473D4AE3" w14:textId="39283382" w:rsidR="00CA2132" w:rsidRPr="002D5E30" w:rsidRDefault="00B1713E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6,8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8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  <w:proofErr w:type="gramEnd"/>
          </w:p>
        </w:tc>
      </w:tr>
      <w:tr w:rsidR="00CA2132" w:rsidRPr="002D5E30" w14:paraId="4A15E40A" w14:textId="156ECCBF" w:rsidTr="00CA2132">
        <w:tc>
          <w:tcPr>
            <w:tcW w:w="1057" w:type="pct"/>
          </w:tcPr>
          <w:p w14:paraId="60A6994E" w14:textId="2792A8CB" w:rsidR="00CA2132" w:rsidRPr="002D5E30" w:rsidRDefault="00CA2132" w:rsidP="00540E2A">
            <w:pPr>
              <w:pStyle w:val="TableParagraph"/>
              <w:spacing w:line="480" w:lineRule="auto"/>
              <w:ind w:righ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C964AF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Parametre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987" w:type="pct"/>
          </w:tcPr>
          <w:p w14:paraId="7254228B" w14:textId="2ADC805B" w:rsidR="00CA2132" w:rsidRPr="002D5E30" w:rsidRDefault="00CA2132" w:rsidP="00B1713E">
            <w:pPr>
              <w:pStyle w:val="TableParagraph"/>
              <w:tabs>
                <w:tab w:val="left" w:pos="312"/>
                <w:tab w:val="center" w:pos="561"/>
              </w:tabs>
              <w:spacing w:line="48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ab/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8,9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 ± 10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,58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b</w:t>
            </w:r>
          </w:p>
        </w:tc>
        <w:tc>
          <w:tcPr>
            <w:tcW w:w="985" w:type="pct"/>
          </w:tcPr>
          <w:p w14:paraId="20BE2D34" w14:textId="7FB5B546" w:rsidR="00CA2132" w:rsidRPr="002D5E30" w:rsidRDefault="00B1713E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6,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10 ±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,40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  <w:tc>
          <w:tcPr>
            <w:tcW w:w="985" w:type="pct"/>
          </w:tcPr>
          <w:p w14:paraId="3AD8DD5C" w14:textId="29ADE259" w:rsidR="00CA2132" w:rsidRPr="002D5E30" w:rsidRDefault="00CA2132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,35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± 13</w:t>
            </w:r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,</w:t>
            </w:r>
            <w:proofErr w:type="gramStart"/>
            <w:r w:rsidR="00B1713E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77</w:t>
            </w:r>
            <w:r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</w:t>
            </w:r>
            <w:proofErr w:type="gramEnd"/>
          </w:p>
        </w:tc>
        <w:tc>
          <w:tcPr>
            <w:tcW w:w="986" w:type="pct"/>
          </w:tcPr>
          <w:p w14:paraId="56B16C8A" w14:textId="460B6734" w:rsidR="00CA2132" w:rsidRPr="002D5E30" w:rsidRDefault="00B1713E" w:rsidP="00B1713E">
            <w:pPr>
              <w:pStyle w:val="TableParagraph"/>
              <w:spacing w:line="48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9,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11 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8,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12</w:t>
            </w:r>
            <w:r w:rsidR="00CA2132" w:rsidRPr="002D5E3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tr-TR"/>
              </w:rPr>
              <w:t>ab</w:t>
            </w:r>
          </w:p>
        </w:tc>
      </w:tr>
    </w:tbl>
    <w:p w14:paraId="03A358F9" w14:textId="6EDD21AF" w:rsidR="00DF61C9" w:rsidRPr="00D87F9F" w:rsidRDefault="00CA2132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D87F9F">
        <w:rPr>
          <w:rFonts w:ascii="Times New Roman" w:eastAsia="Times New Roman" w:hAnsi="Times New Roman" w:cs="Times New Roman"/>
          <w:sz w:val="24"/>
          <w:szCs w:val="24"/>
          <w:lang w:val="tr-TR"/>
        </w:rPr>
        <w:t>Aynı satırda farklı harflerle gösterilen ortalamalar arasındaki fark anlamlıdır (</w:t>
      </w:r>
      <w:r w:rsidRPr="00D87F9F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P</w:t>
      </w:r>
      <w:r w:rsidRPr="00D87F9F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Pr="00D87F9F">
        <w:rPr>
          <w:rFonts w:ascii="Times New Roman" w:eastAsia="Times New Roman" w:hAnsi="Times New Roman" w:cs="Times New Roman"/>
          <w:sz w:val="24"/>
          <w:szCs w:val="24"/>
          <w:lang w:val="tr-TR"/>
        </w:rPr>
        <w:t>&lt; 0</w:t>
      </w:r>
      <w:proofErr w:type="gramEnd"/>
      <w:r w:rsidR="00B1713E">
        <w:rPr>
          <w:rFonts w:ascii="Times New Roman" w:eastAsia="Times New Roman" w:hAnsi="Times New Roman" w:cs="Times New Roman"/>
          <w:sz w:val="24"/>
          <w:szCs w:val="24"/>
          <w:lang w:val="tr-TR"/>
        </w:rPr>
        <w:t>,</w:t>
      </w:r>
      <w:r w:rsidRPr="00D87F9F">
        <w:rPr>
          <w:rFonts w:ascii="Times New Roman" w:eastAsia="Times New Roman" w:hAnsi="Times New Roman" w:cs="Times New Roman"/>
          <w:sz w:val="24"/>
          <w:szCs w:val="24"/>
          <w:lang w:val="tr-TR"/>
        </w:rPr>
        <w:t>05).</w:t>
      </w:r>
    </w:p>
    <w:p w14:paraId="36411723" w14:textId="77777777" w:rsidR="00CA2132" w:rsidRPr="002D5E30" w:rsidRDefault="00CA2132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14:paraId="43D22531" w14:textId="6F2A4BDC" w:rsidR="001378FB" w:rsidRPr="002D5E30" w:rsidRDefault="001378FB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3.</w:t>
      </w:r>
      <w:r w:rsidR="00B424F1"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. </w:t>
      </w:r>
      <w:r w:rsidR="0082724C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İkinci alt başlık</w:t>
      </w:r>
    </w:p>
    <w:p w14:paraId="5201F172" w14:textId="434E22F7" w:rsidR="00B424F1" w:rsidRDefault="0082724C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2724C">
        <w:rPr>
          <w:rFonts w:ascii="Times New Roman" w:hAnsi="Times New Roman" w:cs="Times New Roman"/>
          <w:sz w:val="24"/>
          <w:szCs w:val="24"/>
          <w:lang w:val="tr-TR"/>
        </w:rPr>
        <w:t>İkinci alt başlık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içeriği</w:t>
      </w:r>
    </w:p>
    <w:p w14:paraId="27A03AB8" w14:textId="77777777" w:rsidR="0082724C" w:rsidRPr="002D5E30" w:rsidRDefault="0082724C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4EE5CD9C" w14:textId="2C018CC4" w:rsidR="00B424F1" w:rsidRPr="002D5E30" w:rsidRDefault="00B424F1" w:rsidP="00540E2A">
      <w:pPr>
        <w:pStyle w:val="TableParagraph"/>
        <w:spacing w:line="480" w:lineRule="auto"/>
        <w:ind w:right="525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3.3. </w:t>
      </w:r>
      <w:r w:rsidR="0082724C">
        <w:rPr>
          <w:rFonts w:ascii="Times New Roman" w:hAnsi="Times New Roman" w:cs="Times New Roman"/>
          <w:b/>
          <w:bCs/>
          <w:sz w:val="24"/>
          <w:szCs w:val="24"/>
          <w:lang w:val="tr-TR"/>
        </w:rPr>
        <w:t>Üçüncü alt başlık</w:t>
      </w:r>
    </w:p>
    <w:p w14:paraId="6D214D9A" w14:textId="413E2400" w:rsidR="0082724C" w:rsidRDefault="0082724C" w:rsidP="00100E87">
      <w:pPr>
        <w:pStyle w:val="TableParagraph"/>
        <w:spacing w:line="480" w:lineRule="auto"/>
        <w:ind w:right="525" w:firstLine="708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Üçüncü</w:t>
      </w:r>
      <w:r w:rsidRPr="0082724C">
        <w:rPr>
          <w:rFonts w:ascii="Times New Roman" w:hAnsi="Times New Roman" w:cs="Times New Roman"/>
          <w:sz w:val="24"/>
          <w:szCs w:val="24"/>
          <w:lang w:val="tr-TR"/>
        </w:rPr>
        <w:t xml:space="preserve"> alt başlık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içeriği</w:t>
      </w:r>
    </w:p>
    <w:p w14:paraId="4A48BF26" w14:textId="77777777" w:rsidR="00B424F1" w:rsidRPr="002D5E30" w:rsidRDefault="00B424F1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49F2E7B" w14:textId="5C314932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4. </w:t>
      </w:r>
      <w:r w:rsidRPr="00E07A8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TARTIŞMA</w:t>
      </w:r>
    </w:p>
    <w:p w14:paraId="159E8B07" w14:textId="7165C877" w:rsidR="00C151F7" w:rsidRPr="004C706D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Tartışma içeriği</w:t>
      </w:r>
    </w:p>
    <w:p w14:paraId="68C8612F" w14:textId="77777777" w:rsidR="004C706D" w:rsidRPr="002D5E30" w:rsidRDefault="004C706D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7292272D" w14:textId="6E25A902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SONUÇ</w:t>
      </w:r>
    </w:p>
    <w:p w14:paraId="254FF4A9" w14:textId="5AD52E6F" w:rsidR="004C706D" w:rsidRPr="004C706D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Sonuç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içeriği</w:t>
      </w:r>
    </w:p>
    <w:p w14:paraId="5595E9AA" w14:textId="77777777" w:rsidR="00384617" w:rsidRPr="002D5E30" w:rsidRDefault="00384617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52476C67" w14:textId="162F9731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TEŞEKKÜR</w:t>
      </w:r>
    </w:p>
    <w:p w14:paraId="28A2FA12" w14:textId="49FBA922" w:rsidR="00CC0272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Yazarlar, laboratuvar çalışmalarında yardımlarından dolayı Ahmet </w:t>
      </w:r>
      <w:proofErr w:type="spellStart"/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Ta</w:t>
      </w:r>
      <w:r w:rsidR="007C7EBE">
        <w:rPr>
          <w:rFonts w:ascii="Times New Roman" w:eastAsia="Times New Roman" w:hAnsi="Times New Roman" w:cs="Times New Roman"/>
          <w:sz w:val="24"/>
          <w:szCs w:val="24"/>
          <w:lang w:val="tr-TR"/>
        </w:rPr>
        <w:t>ş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'a</w:t>
      </w:r>
      <w:proofErr w:type="spellEnd"/>
      <w:r w:rsidR="005D09C7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(Isparta Uygulamalı Bilimler Üniversitesi, Türkiye)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teşekkür e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tmektedir.</w:t>
      </w:r>
    </w:p>
    <w:p w14:paraId="5F3F2FF8" w14:textId="77777777" w:rsidR="004C706D" w:rsidRPr="002D5E30" w:rsidRDefault="004C706D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0D7BD15" w14:textId="052894EE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FİNANS</w:t>
      </w:r>
    </w:p>
    <w:p w14:paraId="69197AEB" w14:textId="77777777" w:rsidR="004C706D" w:rsidRPr="004C706D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Örnek-1: Bu çalışma 3241-E2-14 proje numarası ile Isparta Uygulamalı Bilimler Üniversitesi Bilimsel Araştırma Projeleri Koordinasyon Birimi tarafından desteklenmiştir.</w:t>
      </w:r>
    </w:p>
    <w:p w14:paraId="1DEFD4C9" w14:textId="3A6A12B6" w:rsidR="00CC0272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Örnek-2: Bu çalışmanın yürütülmesinde herhangi bir finans</w:t>
      </w:r>
      <w:r w:rsidR="00540E2A">
        <w:rPr>
          <w:rFonts w:ascii="Times New Roman" w:eastAsia="Times New Roman" w:hAnsi="Times New Roman" w:cs="Times New Roman"/>
          <w:sz w:val="24"/>
          <w:szCs w:val="24"/>
          <w:lang w:val="tr-TR"/>
        </w:rPr>
        <w:t>al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destek alınmamıştır.</w:t>
      </w:r>
    </w:p>
    <w:p w14:paraId="4E6B9269" w14:textId="77777777" w:rsidR="004C706D" w:rsidRPr="002D5E30" w:rsidRDefault="004C706D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6F3CA57F" w14:textId="42A064D8" w:rsidR="00FD610C" w:rsidRDefault="000B2813" w:rsidP="00540E2A">
      <w:pPr>
        <w:spacing w:line="480" w:lineRule="auto"/>
        <w:ind w:right="525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676DAA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ÇIKAR ÇATIŞMASI BEYANI</w:t>
      </w:r>
    </w:p>
    <w:p w14:paraId="04A5DD65" w14:textId="2197CA2B" w:rsidR="00FD610C" w:rsidRDefault="00FD610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04494B">
        <w:rPr>
          <w:rFonts w:ascii="Times New Roman" w:eastAsia="Times New Roman" w:hAnsi="Times New Roman" w:cs="Times New Roman"/>
          <w:sz w:val="24"/>
          <w:szCs w:val="24"/>
          <w:lang w:val="tr-TR"/>
        </w:rPr>
        <w:t>Yazarlar, bu çalışmayı etkileyebilecek finansal çıkarlar veya kişisel ilişkiler olmadığını beyan e</w:t>
      </w:r>
      <w:r w:rsidR="008555C6">
        <w:rPr>
          <w:rFonts w:ascii="Times New Roman" w:eastAsia="Times New Roman" w:hAnsi="Times New Roman" w:cs="Times New Roman"/>
          <w:sz w:val="24"/>
          <w:szCs w:val="24"/>
          <w:lang w:val="tr-TR"/>
        </w:rPr>
        <w:t>tmektedir.</w:t>
      </w:r>
    </w:p>
    <w:p w14:paraId="2417647D" w14:textId="77777777" w:rsidR="00FD610C" w:rsidRDefault="00FD610C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D2E94E5" w14:textId="21219FB1" w:rsidR="00BA3777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YAZAR KATKILARI</w:t>
      </w:r>
    </w:p>
    <w:p w14:paraId="2172A763" w14:textId="0B8A3E9C" w:rsidR="00384617" w:rsidRDefault="004C706D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Çalışma k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urgu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su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: BT; 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Literatür taraması: AT, KL; </w:t>
      </w:r>
      <w:r w:rsidRPr="004C706D">
        <w:rPr>
          <w:rFonts w:ascii="Times New Roman" w:eastAsia="Times New Roman" w:hAnsi="Times New Roman" w:cs="Times New Roman"/>
          <w:sz w:val="24"/>
          <w:szCs w:val="24"/>
          <w:lang w:val="tr-TR"/>
        </w:rPr>
        <w:t>Metodoloji: CT, FU; Deneyin gerçekleştirilmesi: FM, CT, FU; Veri analizi: FU, TA; Makale yazımı: CT, FU, Denetleme: CT. Tüm yazarlar nihai taslağı onaylamıştır.</w:t>
      </w:r>
    </w:p>
    <w:p w14:paraId="60D231C3" w14:textId="77777777" w:rsidR="0004494B" w:rsidRPr="002D5E30" w:rsidRDefault="0004494B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6A765E5" w14:textId="339DD09F" w:rsidR="00B55D66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B55D6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ETİK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ONAY</w:t>
      </w:r>
      <w:r w:rsidRPr="00B55D66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BEYANI</w:t>
      </w:r>
    </w:p>
    <w:p w14:paraId="0A7471C1" w14:textId="568B794D" w:rsidR="00B55D66" w:rsidRPr="00B55D66" w:rsidRDefault="00B55D66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55D6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Örnek-1: </w:t>
      </w:r>
      <w:bookmarkStart w:id="0" w:name="_Hlk90533858"/>
      <w:r w:rsidRPr="00B55D66">
        <w:rPr>
          <w:rFonts w:ascii="Times New Roman" w:eastAsia="Times New Roman" w:hAnsi="Times New Roman" w:cs="Times New Roman"/>
          <w:sz w:val="24"/>
          <w:szCs w:val="24"/>
          <w:lang w:val="tr-TR"/>
        </w:rPr>
        <w:t>Bu çalışma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da</w:t>
      </w:r>
      <w:r w:rsidRPr="00B55D66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deney hayvanları kullanılma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ması nedeniyle </w:t>
      </w:r>
      <w:r w:rsidRPr="00B55D66">
        <w:rPr>
          <w:rFonts w:ascii="Times New Roman" w:eastAsia="Times New Roman" w:hAnsi="Times New Roman" w:cs="Times New Roman"/>
          <w:sz w:val="24"/>
          <w:szCs w:val="24"/>
          <w:lang w:val="tr-TR"/>
        </w:rPr>
        <w:t>Yerel Etik Kurul Onayı alınmamıştır.</w:t>
      </w:r>
      <w:bookmarkEnd w:id="0"/>
    </w:p>
    <w:p w14:paraId="2C7B195C" w14:textId="208B52E4" w:rsidR="00B57EC9" w:rsidRDefault="00B55D66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B55D66">
        <w:rPr>
          <w:rFonts w:ascii="Times New Roman" w:eastAsia="Times New Roman" w:hAnsi="Times New Roman" w:cs="Times New Roman"/>
          <w:sz w:val="24"/>
          <w:szCs w:val="24"/>
          <w:lang w:val="tr-TR"/>
        </w:rPr>
        <w:t>Örnek-2: Bu çalışma Isparta Uygulamalı Bilimler Üniversitesi Hayvan Deneyleri Yerel Etik Kurul onayı ile yürütülmüştür (Tarih: 01.07.2010, No: 21438139-147).</w:t>
      </w:r>
    </w:p>
    <w:p w14:paraId="1BF7AFE0" w14:textId="4F6134D8" w:rsidR="00B55D66" w:rsidRDefault="00B55D66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30059AB3" w14:textId="3FDFAD2C" w:rsidR="003E659C" w:rsidRPr="00593D8E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 w:rsidRPr="00593D8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VERİ KULLAN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</w:t>
      </w:r>
      <w:r w:rsidRPr="00593D8E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LABİLİRLİK BEYAN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I</w:t>
      </w:r>
    </w:p>
    <w:p w14:paraId="051288D8" w14:textId="77777777" w:rsidR="003E659C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Örnek-1: Bu çalışmada kullanılan veriler </w:t>
      </w:r>
      <w:proofErr w:type="spellStart"/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Figshare</w:t>
      </w:r>
      <w:proofErr w:type="spellEnd"/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platformunda https://doi.org/10.6084/m9.figshare.11815566.v1 DOI adresi ile erişime açıktır.</w:t>
      </w:r>
    </w:p>
    <w:p w14:paraId="4E587B95" w14:textId="77777777" w:rsidR="003E659C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Örnek-2: Bu çalışmada kullanılan verilere ilgili yazardan talep üzerine erişilebilir. Veriler, gizlilik veya etik kısıtlamalar nedeniyle kamuya açık değildir.</w:t>
      </w:r>
    </w:p>
    <w:p w14:paraId="4DF704D9" w14:textId="77777777" w:rsidR="003E659C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Örnek-3: Bu çalışmada kullanılan veriler makul talep üzerine ilgili yazardan temin edilebilir.</w:t>
      </w:r>
    </w:p>
    <w:p w14:paraId="4764E331" w14:textId="77777777" w:rsidR="003E659C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Örnek-4: Bu çalışmada yeni veri oluşturulmadığı veya analiz edilmediği için veri paylaşımı bu makale için geçerli değildir.</w:t>
      </w:r>
    </w:p>
    <w:p w14:paraId="56AE3756" w14:textId="77777777" w:rsidR="003E659C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Örnek-5: Araştırma verileri paylaşılmaz.</w:t>
      </w:r>
    </w:p>
    <w:p w14:paraId="0EC3FE0A" w14:textId="7DF836FC" w:rsidR="00521E84" w:rsidRPr="003E659C" w:rsidRDefault="003E659C" w:rsidP="00100E87">
      <w:pPr>
        <w:pStyle w:val="TableParagraph"/>
        <w:spacing w:line="480" w:lineRule="auto"/>
        <w:ind w:right="5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E659C">
        <w:rPr>
          <w:rFonts w:ascii="Times New Roman" w:eastAsia="Times New Roman" w:hAnsi="Times New Roman" w:cs="Times New Roman"/>
          <w:sz w:val="24"/>
          <w:szCs w:val="24"/>
          <w:lang w:val="tr-TR"/>
        </w:rPr>
        <w:t>Örnek-6: Bu çalışmada kullanılan veriler bu makalenin ekinde mevcuttur.</w:t>
      </w:r>
    </w:p>
    <w:p w14:paraId="0153AD0E" w14:textId="77777777" w:rsidR="003E659C" w:rsidRDefault="003E659C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186B571F" w14:textId="5B8E66A0" w:rsidR="007D6C0F" w:rsidRPr="002D5E30" w:rsidRDefault="000B2813" w:rsidP="00540E2A">
      <w:pPr>
        <w:pStyle w:val="TableParagraph"/>
        <w:spacing w:line="480" w:lineRule="auto"/>
        <w:ind w:right="5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KAYNAKLAR</w:t>
      </w:r>
    </w:p>
    <w:p w14:paraId="4E75D57F" w14:textId="257693F9" w:rsidR="00257105" w:rsidRDefault="00257105" w:rsidP="00257105">
      <w:pPr>
        <w:pStyle w:val="TableParagraph"/>
        <w:spacing w:line="36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0485659"/>
      <w:r w:rsidRPr="00C7653B">
        <w:rPr>
          <w:rFonts w:ascii="Times New Roman" w:eastAsia="Times New Roman" w:hAnsi="Times New Roman" w:cs="Times New Roman"/>
          <w:sz w:val="24"/>
          <w:szCs w:val="24"/>
        </w:rPr>
        <w:lastRenderedPageBreak/>
        <w:t>International Union for Conservation of Nature</w:t>
      </w:r>
      <w:r w:rsidRPr="00C535C2">
        <w:rPr>
          <w:rFonts w:ascii="Times New Roman" w:eastAsia="Times New Roman" w:hAnsi="Times New Roman" w:cs="Times New Roman"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C535C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C7653B">
        <w:rPr>
          <w:rFonts w:ascii="Times New Roman" w:eastAsia="Times New Roman" w:hAnsi="Times New Roman" w:cs="Times New Roman"/>
          <w:i/>
          <w:iCs/>
          <w:sz w:val="24"/>
          <w:szCs w:val="24"/>
        </w:rPr>
        <w:t>Chondrostoma</w:t>
      </w:r>
      <w:proofErr w:type="spellEnd"/>
      <w:r w:rsidRPr="00C765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nasus</w:t>
      </w:r>
      <w:r w:rsidRPr="00C535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8" w:history="1">
        <w:r w:rsidR="00CC5D17" w:rsidRPr="002623B8">
          <w:rPr>
            <w:rStyle w:val="Kpr"/>
            <w:rFonts w:ascii="Times New Roman" w:eastAsia="Times New Roman" w:hAnsi="Times New Roman" w:cs="Times New Roman"/>
            <w:color w:val="0070C0"/>
            <w:sz w:val="24"/>
            <w:szCs w:val="24"/>
          </w:rPr>
          <w:t>https://www.iucnredlist.org/species/4789/97800985</w:t>
        </w:r>
      </w:hyperlink>
    </w:p>
    <w:bookmarkEnd w:id="1"/>
    <w:p w14:paraId="4B16D61E" w14:textId="557DDC82" w:rsidR="001076D4" w:rsidRPr="002D5E30" w:rsidRDefault="001076D4" w:rsidP="00540E2A">
      <w:pPr>
        <w:pStyle w:val="TableParagraph"/>
        <w:spacing w:line="48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Le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Couteur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D.,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Kendig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H.,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Naganathan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V., &amp;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McLachlan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A. (2010).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The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ethics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prescribing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medications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to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older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people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In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Koch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F. M.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Gloth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&amp; R.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Nay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Eds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.), </w:t>
      </w:r>
      <w:proofErr w:type="spellStart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Medication</w:t>
      </w:r>
      <w:proofErr w:type="spellEnd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management</w:t>
      </w:r>
      <w:proofErr w:type="spellEnd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in </w:t>
      </w:r>
      <w:proofErr w:type="spellStart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older</w:t>
      </w:r>
      <w:proofErr w:type="spellEnd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adults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pp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29-42). </w:t>
      </w: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Springer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hyperlink r:id="rId9" w:history="1">
        <w:r w:rsidR="00E244BC" w:rsidRPr="0065533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https://doi.org/10.1007/978-1-60327-457-9_</w:t>
        </w:r>
        <w:r w:rsidRPr="0065533F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3</w:t>
        </w:r>
      </w:hyperlink>
    </w:p>
    <w:p w14:paraId="6180CF27" w14:textId="1FCED192" w:rsidR="00F97EDC" w:rsidRPr="002D5E30" w:rsidRDefault="00F97EDC" w:rsidP="00540E2A">
      <w:pPr>
        <w:pStyle w:val="TableParagraph"/>
        <w:spacing w:line="480" w:lineRule="auto"/>
        <w:ind w:left="851" w:right="272" w:hanging="85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spellStart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Ozdal</w:t>
      </w:r>
      <w:proofErr w:type="spellEnd"/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A. M. (2019). </w:t>
      </w:r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Mücevher </w:t>
      </w:r>
      <w:proofErr w:type="spellStart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ciklet</w:t>
      </w:r>
      <w:proofErr w:type="spellEnd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(</w:t>
      </w:r>
      <w:proofErr w:type="spellStart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Hemichromis</w:t>
      </w:r>
      <w:proofErr w:type="spellEnd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guttatus</w:t>
      </w:r>
      <w:proofErr w:type="spellEnd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) yemlerine pigment kaynağı olarak kırmızı biber (</w:t>
      </w:r>
      <w:proofErr w:type="spellStart"/>
      <w:r w:rsidR="000C06FF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C</w:t>
      </w:r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apsicum</w:t>
      </w:r>
      <w:proofErr w:type="spellEnd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annuum</w:t>
      </w:r>
      <w:proofErr w:type="spellEnd"/>
      <w:r w:rsidR="00CD0B57" w:rsidRPr="00CD0B57">
        <w:rPr>
          <w:rFonts w:ascii="Times New Roman" w:eastAsia="Times New Roman" w:hAnsi="Times New Roman" w:cs="Times New Roman"/>
          <w:i/>
          <w:iCs/>
          <w:sz w:val="24"/>
          <w:szCs w:val="24"/>
          <w:lang w:val="tr-TR"/>
        </w:rPr>
        <w:t>) ilavesinin büyüme ve renklenme üzerine etkileri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r w:rsidR="00980192">
        <w:rPr>
          <w:rFonts w:ascii="Times New Roman" w:eastAsia="Times New Roman" w:hAnsi="Times New Roman" w:cs="Times New Roman"/>
          <w:sz w:val="24"/>
          <w:szCs w:val="24"/>
          <w:lang w:val="tr-TR"/>
        </w:rPr>
        <w:t>[</w:t>
      </w:r>
      <w:r w:rsidR="005C4B6D">
        <w:rPr>
          <w:rFonts w:ascii="Times New Roman" w:eastAsia="Times New Roman" w:hAnsi="Times New Roman" w:cs="Times New Roman"/>
          <w:sz w:val="24"/>
          <w:szCs w:val="24"/>
          <w:lang w:val="tr-TR"/>
        </w:rPr>
        <w:t>Yüksek Lisans Tezi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Isparta </w:t>
      </w:r>
      <w:r w:rsidR="00FB2F4D">
        <w:rPr>
          <w:rFonts w:ascii="Times New Roman" w:eastAsia="Times New Roman" w:hAnsi="Times New Roman" w:cs="Times New Roman"/>
          <w:sz w:val="24"/>
          <w:szCs w:val="24"/>
          <w:lang w:val="tr-TR"/>
        </w:rPr>
        <w:t>Uygulamalı Bilimler Üniversitesi</w:t>
      </w:r>
      <w:r w:rsidR="00980192">
        <w:rPr>
          <w:rFonts w:ascii="Times New Roman" w:eastAsia="Times New Roman" w:hAnsi="Times New Roman" w:cs="Times New Roman"/>
          <w:sz w:val="24"/>
          <w:szCs w:val="24"/>
          <w:lang w:val="tr-TR"/>
        </w:rPr>
        <w:t>]</w:t>
      </w:r>
      <w:r w:rsidRPr="002D5E30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71C07B52" w14:textId="14F6B9D6" w:rsidR="00BA3777" w:rsidRPr="002D5E30" w:rsidRDefault="00BA3777" w:rsidP="00540E2A">
      <w:pPr>
        <w:pStyle w:val="TableParagraph"/>
        <w:spacing w:line="480" w:lineRule="auto"/>
        <w:ind w:left="540" w:right="525" w:hanging="56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Petrauskienė, L.,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Utevska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, O., &amp;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Utevsky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, S. (2009). Can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different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species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medicinal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leeches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(</w:t>
      </w:r>
      <w:r w:rsidRPr="002D5E30">
        <w:rPr>
          <w:rFonts w:ascii="Times New Roman" w:hAnsi="Times New Roman" w:cs="Times New Roman"/>
          <w:i/>
          <w:iCs/>
          <w:sz w:val="24"/>
          <w:szCs w:val="24"/>
          <w:lang w:val="tr-TR"/>
        </w:rPr>
        <w:t>Hirudo</w:t>
      </w:r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spp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.)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interbreed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? </w:t>
      </w:r>
      <w:proofErr w:type="spellStart"/>
      <w:r w:rsidRPr="002D5E30">
        <w:rPr>
          <w:rFonts w:ascii="Times New Roman" w:hAnsi="Times New Roman" w:cs="Times New Roman"/>
          <w:i/>
          <w:iCs/>
          <w:sz w:val="24"/>
          <w:szCs w:val="24"/>
          <w:lang w:val="tr-TR"/>
        </w:rPr>
        <w:t>Invertebrate</w:t>
      </w:r>
      <w:proofErr w:type="spellEnd"/>
      <w:r w:rsidRPr="002D5E30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hAnsi="Times New Roman" w:cs="Times New Roman"/>
          <w:i/>
          <w:iCs/>
          <w:sz w:val="24"/>
          <w:szCs w:val="24"/>
          <w:lang w:val="tr-TR"/>
        </w:rPr>
        <w:t>Biology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2D5E30">
        <w:rPr>
          <w:rFonts w:ascii="Times New Roman" w:hAnsi="Times New Roman" w:cs="Times New Roman"/>
          <w:i/>
          <w:iCs/>
          <w:sz w:val="24"/>
          <w:szCs w:val="24"/>
          <w:lang w:val="tr-TR"/>
        </w:rPr>
        <w:t>128</w:t>
      </w:r>
      <w:r w:rsidRPr="002D5E30">
        <w:rPr>
          <w:rFonts w:ascii="Times New Roman" w:hAnsi="Times New Roman" w:cs="Times New Roman"/>
          <w:sz w:val="24"/>
          <w:szCs w:val="24"/>
          <w:lang w:val="tr-TR"/>
        </w:rPr>
        <w:t>(4), 324-331.</w:t>
      </w:r>
      <w:r w:rsidR="006A5EE0"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hyperlink r:id="rId10" w:history="1">
        <w:r w:rsidR="006A5EE0" w:rsidRPr="002D5E30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https://doi.org/10.1111/j.1744-7410.2009.00180.x</w:t>
        </w:r>
      </w:hyperlink>
    </w:p>
    <w:p w14:paraId="0B527618" w14:textId="17893F40" w:rsidR="001076D4" w:rsidRDefault="001076D4" w:rsidP="00540E2A">
      <w:pPr>
        <w:spacing w:line="480" w:lineRule="auto"/>
        <w:ind w:left="630" w:right="525" w:hanging="63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Sawyer, R. T. (1986). </w:t>
      </w:r>
      <w:proofErr w:type="spellStart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>Leech</w:t>
      </w:r>
      <w:proofErr w:type="spellEnd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>biology</w:t>
      </w:r>
      <w:proofErr w:type="spellEnd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>and</w:t>
      </w:r>
      <w:proofErr w:type="spellEnd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E34DC9">
        <w:rPr>
          <w:rFonts w:ascii="Times New Roman" w:hAnsi="Times New Roman" w:cs="Times New Roman"/>
          <w:i/>
          <w:iCs/>
          <w:sz w:val="24"/>
          <w:szCs w:val="24"/>
          <w:lang w:val="tr-TR"/>
        </w:rPr>
        <w:t>behavior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. Oxford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University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2D5E30">
        <w:rPr>
          <w:rFonts w:ascii="Times New Roman" w:hAnsi="Times New Roman" w:cs="Times New Roman"/>
          <w:sz w:val="24"/>
          <w:szCs w:val="24"/>
          <w:lang w:val="tr-TR"/>
        </w:rPr>
        <w:t>Press</w:t>
      </w:r>
      <w:proofErr w:type="spellEnd"/>
      <w:r w:rsidRPr="002D5E30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074C2FD4" w14:textId="7DE62AE1" w:rsidR="0059580E" w:rsidRPr="0059580E" w:rsidRDefault="0059580E" w:rsidP="00540E2A">
      <w:pPr>
        <w:pStyle w:val="TableParagraph"/>
        <w:spacing w:line="480" w:lineRule="auto"/>
        <w:ind w:left="565" w:hanging="56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Snoswell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, C. (2016, Ekim </w:t>
      </w:r>
      <w:proofErr w:type="gramStart"/>
      <w:r w:rsidRPr="008F0F0B">
        <w:rPr>
          <w:rFonts w:ascii="Times New Roman" w:hAnsi="Times New Roman" w:cs="Times New Roman"/>
          <w:sz w:val="24"/>
          <w:szCs w:val="24"/>
          <w:lang w:val="tr-TR"/>
        </w:rPr>
        <w:t>31 -</w:t>
      </w:r>
      <w:proofErr w:type="gram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Kasım 3).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Models</w:t>
      </w:r>
      <w:proofErr w:type="spellEnd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of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care</w:t>
      </w:r>
      <w:proofErr w:type="spellEnd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for</w:t>
      </w:r>
      <w:proofErr w:type="spellEnd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store-and-forward</w:t>
      </w:r>
      <w:proofErr w:type="spellEnd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teledermatology</w:t>
      </w:r>
      <w:proofErr w:type="spellEnd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 xml:space="preserve"> in </w:t>
      </w:r>
      <w:proofErr w:type="spellStart"/>
      <w:r w:rsidRPr="008F0F0B">
        <w:rPr>
          <w:rFonts w:ascii="Times New Roman" w:hAnsi="Times New Roman" w:cs="Times New Roman"/>
          <w:i/>
          <w:iCs/>
          <w:sz w:val="24"/>
          <w:szCs w:val="24"/>
          <w:lang w:val="tr-TR"/>
        </w:rPr>
        <w:t>Australia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[Poster sunum]. 7</w:t>
      </w:r>
      <w:r w:rsidRPr="008F0F0B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th</w:t>
      </w:r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International Conference on </w:t>
      </w: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Successes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Failures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Telehealth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F0F0B">
        <w:rPr>
          <w:rFonts w:ascii="Times New Roman" w:hAnsi="Times New Roman" w:cs="Times New Roman"/>
          <w:sz w:val="24"/>
          <w:szCs w:val="24"/>
          <w:lang w:val="tr-TR"/>
        </w:rPr>
        <w:t>Auckland</w:t>
      </w:r>
      <w:proofErr w:type="spellEnd"/>
      <w:r w:rsidRPr="008F0F0B">
        <w:rPr>
          <w:rFonts w:ascii="Times New Roman" w:hAnsi="Times New Roman" w:cs="Times New Roman"/>
          <w:sz w:val="24"/>
          <w:szCs w:val="24"/>
          <w:lang w:val="tr-TR"/>
        </w:rPr>
        <w:t>, Yeni Zelanda.</w:t>
      </w:r>
    </w:p>
    <w:sectPr w:rsidR="0059580E" w:rsidRPr="0059580E" w:rsidSect="00A3313C">
      <w:headerReference w:type="default" r:id="rId11"/>
      <w:footerReference w:type="default" r:id="rId12"/>
      <w:pgSz w:w="11910" w:h="16840"/>
      <w:pgMar w:top="1418" w:right="1418" w:bottom="1418" w:left="1418" w:header="0" w:footer="1338" w:gutter="0"/>
      <w:lnNumType w:countBy="1" w:restart="continuous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CBD1" w14:textId="77777777" w:rsidR="00C46118" w:rsidRDefault="00C46118" w:rsidP="00BA3777">
      <w:r>
        <w:separator/>
      </w:r>
    </w:p>
  </w:endnote>
  <w:endnote w:type="continuationSeparator" w:id="0">
    <w:p w14:paraId="4E90DDC1" w14:textId="77777777" w:rsidR="00C46118" w:rsidRDefault="00C46118" w:rsidP="00BA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18054"/>
      <w:docPartObj>
        <w:docPartGallery w:val="Page Numbers (Bottom of Page)"/>
        <w:docPartUnique/>
      </w:docPartObj>
    </w:sdtPr>
    <w:sdtContent>
      <w:p w14:paraId="63D81167" w14:textId="428D4F4F" w:rsidR="00096B90" w:rsidRDefault="00096B90" w:rsidP="00FE6C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AAC1600" w14:textId="30E888E2" w:rsidR="00BA3777" w:rsidRPr="00E31FF8" w:rsidRDefault="00BA3777" w:rsidP="00BA3777">
    <w:pPr>
      <w:ind w:left="454" w:right="453"/>
      <w:jc w:val="center"/>
      <w:rPr>
        <w:rFonts w:ascii="Times New Roman" w:eastAsia="Times New Roman" w:hAnsi="Times New Roman" w:cs="Times New Roman"/>
        <w:bCs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E344" w14:textId="77777777" w:rsidR="00C46118" w:rsidRDefault="00C46118" w:rsidP="00BA3777">
      <w:r>
        <w:separator/>
      </w:r>
    </w:p>
  </w:footnote>
  <w:footnote w:type="continuationSeparator" w:id="0">
    <w:p w14:paraId="6A92A014" w14:textId="77777777" w:rsidR="00C46118" w:rsidRDefault="00C46118" w:rsidP="00BA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21BD" w14:textId="3BD51E40" w:rsidR="00096B90" w:rsidRDefault="00096B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77"/>
    <w:rsid w:val="000338D6"/>
    <w:rsid w:val="00037965"/>
    <w:rsid w:val="0004494B"/>
    <w:rsid w:val="000679CE"/>
    <w:rsid w:val="000846E9"/>
    <w:rsid w:val="00096B90"/>
    <w:rsid w:val="000B2813"/>
    <w:rsid w:val="000C06FF"/>
    <w:rsid w:val="000D0EA7"/>
    <w:rsid w:val="000E3373"/>
    <w:rsid w:val="000F57A1"/>
    <w:rsid w:val="00100E87"/>
    <w:rsid w:val="001076D4"/>
    <w:rsid w:val="001378FB"/>
    <w:rsid w:val="0014325F"/>
    <w:rsid w:val="00162C38"/>
    <w:rsid w:val="00171F51"/>
    <w:rsid w:val="00174F3B"/>
    <w:rsid w:val="0019698D"/>
    <w:rsid w:val="001C7257"/>
    <w:rsid w:val="001D3045"/>
    <w:rsid w:val="001D33B3"/>
    <w:rsid w:val="001F72B8"/>
    <w:rsid w:val="00212C81"/>
    <w:rsid w:val="0023156E"/>
    <w:rsid w:val="0025022B"/>
    <w:rsid w:val="00257105"/>
    <w:rsid w:val="002623B8"/>
    <w:rsid w:val="00281F12"/>
    <w:rsid w:val="002D5E30"/>
    <w:rsid w:val="002E056A"/>
    <w:rsid w:val="00305531"/>
    <w:rsid w:val="0034195D"/>
    <w:rsid w:val="00354617"/>
    <w:rsid w:val="003679BD"/>
    <w:rsid w:val="00384617"/>
    <w:rsid w:val="003A2903"/>
    <w:rsid w:val="003D65FF"/>
    <w:rsid w:val="003E659C"/>
    <w:rsid w:val="004443DD"/>
    <w:rsid w:val="00470890"/>
    <w:rsid w:val="004866AE"/>
    <w:rsid w:val="00493A5E"/>
    <w:rsid w:val="004C706D"/>
    <w:rsid w:val="004D31FB"/>
    <w:rsid w:val="004E6B89"/>
    <w:rsid w:val="00521E84"/>
    <w:rsid w:val="00527076"/>
    <w:rsid w:val="00540E2A"/>
    <w:rsid w:val="0058259A"/>
    <w:rsid w:val="00593D8E"/>
    <w:rsid w:val="0059580E"/>
    <w:rsid w:val="005A5FF5"/>
    <w:rsid w:val="005B60E4"/>
    <w:rsid w:val="005C4B6D"/>
    <w:rsid w:val="005C7E01"/>
    <w:rsid w:val="005D06A0"/>
    <w:rsid w:val="005D09C7"/>
    <w:rsid w:val="005D101E"/>
    <w:rsid w:val="005F501A"/>
    <w:rsid w:val="006056C9"/>
    <w:rsid w:val="00620FD9"/>
    <w:rsid w:val="0065533F"/>
    <w:rsid w:val="00676DAA"/>
    <w:rsid w:val="006878CA"/>
    <w:rsid w:val="006A1C5A"/>
    <w:rsid w:val="006A5EE0"/>
    <w:rsid w:val="006E08C4"/>
    <w:rsid w:val="007130A6"/>
    <w:rsid w:val="007252B5"/>
    <w:rsid w:val="007753B4"/>
    <w:rsid w:val="007806FD"/>
    <w:rsid w:val="00781FBB"/>
    <w:rsid w:val="007C7EBE"/>
    <w:rsid w:val="007D6C0F"/>
    <w:rsid w:val="007E340B"/>
    <w:rsid w:val="007E4063"/>
    <w:rsid w:val="007F439E"/>
    <w:rsid w:val="008209EF"/>
    <w:rsid w:val="0082724C"/>
    <w:rsid w:val="008555C6"/>
    <w:rsid w:val="00855795"/>
    <w:rsid w:val="008575F5"/>
    <w:rsid w:val="008979A3"/>
    <w:rsid w:val="008B31AE"/>
    <w:rsid w:val="008B67EB"/>
    <w:rsid w:val="008D7D5B"/>
    <w:rsid w:val="008F3E08"/>
    <w:rsid w:val="00915DF4"/>
    <w:rsid w:val="00922418"/>
    <w:rsid w:val="00931F44"/>
    <w:rsid w:val="00936BD2"/>
    <w:rsid w:val="0093701A"/>
    <w:rsid w:val="00980192"/>
    <w:rsid w:val="009C6D75"/>
    <w:rsid w:val="009E0499"/>
    <w:rsid w:val="00A01F3F"/>
    <w:rsid w:val="00A048FC"/>
    <w:rsid w:val="00A1649E"/>
    <w:rsid w:val="00A259C2"/>
    <w:rsid w:val="00A26F2C"/>
    <w:rsid w:val="00A3313C"/>
    <w:rsid w:val="00A454BD"/>
    <w:rsid w:val="00A64E03"/>
    <w:rsid w:val="00A72070"/>
    <w:rsid w:val="00A8147A"/>
    <w:rsid w:val="00A834F4"/>
    <w:rsid w:val="00A85C1E"/>
    <w:rsid w:val="00A9352A"/>
    <w:rsid w:val="00A958C4"/>
    <w:rsid w:val="00A97AB8"/>
    <w:rsid w:val="00B000C1"/>
    <w:rsid w:val="00B1713E"/>
    <w:rsid w:val="00B424F1"/>
    <w:rsid w:val="00B542F0"/>
    <w:rsid w:val="00B55D66"/>
    <w:rsid w:val="00B57EC9"/>
    <w:rsid w:val="00BA3777"/>
    <w:rsid w:val="00C151F7"/>
    <w:rsid w:val="00C23D06"/>
    <w:rsid w:val="00C46118"/>
    <w:rsid w:val="00C47993"/>
    <w:rsid w:val="00C51428"/>
    <w:rsid w:val="00CA2132"/>
    <w:rsid w:val="00CC0272"/>
    <w:rsid w:val="00CC5D17"/>
    <w:rsid w:val="00CD0B57"/>
    <w:rsid w:val="00CE1228"/>
    <w:rsid w:val="00D13662"/>
    <w:rsid w:val="00D45E41"/>
    <w:rsid w:val="00D8696D"/>
    <w:rsid w:val="00D87F9F"/>
    <w:rsid w:val="00DC43C4"/>
    <w:rsid w:val="00DD62A5"/>
    <w:rsid w:val="00DF61C9"/>
    <w:rsid w:val="00E0366E"/>
    <w:rsid w:val="00E04A0C"/>
    <w:rsid w:val="00E07A8F"/>
    <w:rsid w:val="00E244BC"/>
    <w:rsid w:val="00E34DC9"/>
    <w:rsid w:val="00E37A4F"/>
    <w:rsid w:val="00E766A2"/>
    <w:rsid w:val="00E92082"/>
    <w:rsid w:val="00E9424B"/>
    <w:rsid w:val="00EB0189"/>
    <w:rsid w:val="00EC317B"/>
    <w:rsid w:val="00EE6D3B"/>
    <w:rsid w:val="00F20DE2"/>
    <w:rsid w:val="00F315C8"/>
    <w:rsid w:val="00F33BC0"/>
    <w:rsid w:val="00F65CCC"/>
    <w:rsid w:val="00F81C33"/>
    <w:rsid w:val="00F95725"/>
    <w:rsid w:val="00F97EDC"/>
    <w:rsid w:val="00FB2F4D"/>
    <w:rsid w:val="00FD0B5F"/>
    <w:rsid w:val="00FD610C"/>
    <w:rsid w:val="00FE5F73"/>
    <w:rsid w:val="00F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14B42"/>
  <w15:chartTrackingRefBased/>
  <w15:docId w15:val="{6B7A91CB-5DD9-4C8C-8C6A-BC9E77BE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77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3777"/>
  </w:style>
  <w:style w:type="table" w:styleId="TabloKlavuzu">
    <w:name w:val="Table Grid"/>
    <w:basedOn w:val="NormalTablo"/>
    <w:uiPriority w:val="39"/>
    <w:rsid w:val="00BA377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BA3777"/>
  </w:style>
  <w:style w:type="paragraph" w:styleId="stBilgi">
    <w:name w:val="header"/>
    <w:basedOn w:val="Normal"/>
    <w:link w:val="s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A3777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A37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A3777"/>
    <w:rPr>
      <w:lang w:val="en-US"/>
    </w:rPr>
  </w:style>
  <w:style w:type="character" w:styleId="Kpr">
    <w:name w:val="Hyperlink"/>
    <w:basedOn w:val="VarsaylanParagrafYazTipi"/>
    <w:uiPriority w:val="99"/>
    <w:unhideWhenUsed/>
    <w:rsid w:val="00BA37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cnredlist.org/species/4789/978009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11/j.1744-7410.2009.00180.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978-1-60327-457-9_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7C1C4-4DFB-4663-85DC-4A433A66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</dc:creator>
  <cp:keywords/>
  <dc:description/>
  <cp:lastModifiedBy>hp</cp:lastModifiedBy>
  <cp:revision>20</cp:revision>
  <dcterms:created xsi:type="dcterms:W3CDTF">2021-12-22T21:43:00Z</dcterms:created>
  <dcterms:modified xsi:type="dcterms:W3CDTF">2022-10-12T11:33:00Z</dcterms:modified>
</cp:coreProperties>
</file>