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B6" w:rsidRDefault="00975BB6">
      <w:pPr>
        <w:rPr>
          <w:rFonts w:ascii="Arial" w:hAnsi="Arial" w:cs="Arial"/>
          <w:color w:val="000000"/>
          <w:sz w:val="20"/>
          <w:szCs w:val="20"/>
        </w:rPr>
      </w:pPr>
    </w:p>
    <w:p w:rsidR="00490649" w:rsidRPr="00490649" w:rsidRDefault="00490649" w:rsidP="00490649">
      <w:pPr>
        <w:jc w:val="center"/>
        <w:rPr>
          <w:rFonts w:ascii="Palatino Linotype" w:hAnsi="Palatino Linotype" w:cs="Arial"/>
          <w:b/>
          <w:color w:val="000000"/>
        </w:rPr>
      </w:pPr>
      <w:r w:rsidRPr="00490649">
        <w:rPr>
          <w:rFonts w:ascii="Palatino Linotype" w:hAnsi="Palatino Linotype" w:cs="Arial"/>
          <w:b/>
          <w:color w:val="000000"/>
        </w:rPr>
        <w:t xml:space="preserve">AUTHOR RESPONSE FORM / </w:t>
      </w:r>
      <w:r w:rsidRPr="00490649">
        <w:rPr>
          <w:rFonts w:ascii="Palatino Linotype" w:hAnsi="Palatino Linotype" w:cs="Arial"/>
          <w:b/>
          <w:i/>
          <w:color w:val="000000"/>
        </w:rPr>
        <w:t>YAZAR CEVAP FORMU</w:t>
      </w:r>
    </w:p>
    <w:p w:rsidR="0033572F" w:rsidRPr="00B62DE8" w:rsidRDefault="00975BB6" w:rsidP="00B62DE8">
      <w:pPr>
        <w:jc w:val="both"/>
        <w:rPr>
          <w:rFonts w:ascii="Palatino Linotype" w:hAnsi="Palatino Linotype"/>
          <w:color w:val="000000"/>
        </w:rPr>
      </w:pPr>
      <w:r w:rsidRPr="00B62DE8">
        <w:rPr>
          <w:rFonts w:ascii="Palatino Linotype" w:hAnsi="Palatino Linotype" w:cs="Arial"/>
          <w:color w:val="000000"/>
        </w:rPr>
        <w:t>Please l</w:t>
      </w:r>
      <w:r w:rsidR="006E6FC4" w:rsidRPr="00B62DE8">
        <w:rPr>
          <w:rFonts w:ascii="Palatino Linotype" w:hAnsi="Palatino Linotype" w:cs="Arial"/>
          <w:color w:val="000000"/>
        </w:rPr>
        <w:t xml:space="preserve">ist the field editor’s, reviewer(s)’, and production editor’s </w:t>
      </w:r>
      <w:r w:rsidRPr="00B62DE8">
        <w:rPr>
          <w:rFonts w:ascii="Palatino Linotype" w:hAnsi="Palatino Linotype" w:cs="Arial"/>
          <w:color w:val="000000"/>
        </w:rPr>
        <w:t>comments in the left-hand column, spacing them so that you can insert the relevant response in the center column and the respective point(s) in the text in the right-hand column. Adding line numbers to the manuscript file and referring to specific line numbers will be useful in determining which parts of the manuscript changed.</w:t>
      </w:r>
      <w:r w:rsidR="00490649">
        <w:rPr>
          <w:rFonts w:ascii="Palatino Linotype" w:hAnsi="Palatino Linotype" w:cs="Arial"/>
          <w:color w:val="000000"/>
        </w:rPr>
        <w:t xml:space="preserve"> /</w:t>
      </w:r>
      <w:r w:rsidRPr="00B62DE8">
        <w:rPr>
          <w:rFonts w:ascii="Palatino Linotype" w:hAnsi="Palatino Linotype"/>
          <w:color w:val="000000"/>
        </w:rPr>
        <w:t> </w:t>
      </w:r>
      <w:r w:rsidR="0033572F" w:rsidRPr="00490649">
        <w:rPr>
          <w:rFonts w:ascii="Palatino Linotype" w:hAnsi="Palatino Linotype"/>
          <w:i/>
          <w:color w:val="000000"/>
        </w:rPr>
        <w:t xml:space="preserve">Lütfen </w:t>
      </w:r>
      <w:r w:rsidR="006E6FC4" w:rsidRPr="00490649">
        <w:rPr>
          <w:rFonts w:ascii="Palatino Linotype" w:hAnsi="Palatino Linotype"/>
          <w:i/>
          <w:color w:val="000000"/>
        </w:rPr>
        <w:t>alan editörü</w:t>
      </w:r>
      <w:r w:rsidR="0033572F" w:rsidRPr="00490649">
        <w:rPr>
          <w:rFonts w:ascii="Palatino Linotype" w:hAnsi="Palatino Linotype"/>
          <w:i/>
          <w:color w:val="000000"/>
        </w:rPr>
        <w:t xml:space="preserve">, </w:t>
      </w:r>
      <w:r w:rsidR="006E6FC4" w:rsidRPr="00490649">
        <w:rPr>
          <w:rFonts w:ascii="Palatino Linotype" w:hAnsi="Palatino Linotype"/>
          <w:i/>
          <w:color w:val="000000"/>
        </w:rPr>
        <w:t>hakem(ler) ve yayın editörünün</w:t>
      </w:r>
      <w:r w:rsidR="0033572F" w:rsidRPr="00490649">
        <w:rPr>
          <w:rFonts w:ascii="Palatino Linotype" w:hAnsi="Palatino Linotype"/>
          <w:i/>
          <w:color w:val="000000"/>
        </w:rPr>
        <w:t xml:space="preserve"> yorumlarını sol sütunda listeleyiniz, böylece ilgili yanıtı </w:t>
      </w:r>
      <w:r w:rsidR="006E6FC4" w:rsidRPr="00490649">
        <w:rPr>
          <w:rFonts w:ascii="Palatino Linotype" w:hAnsi="Palatino Linotype"/>
          <w:i/>
          <w:color w:val="000000"/>
        </w:rPr>
        <w:t xml:space="preserve">ya da </w:t>
      </w:r>
      <w:r w:rsidR="0033572F" w:rsidRPr="00490649">
        <w:rPr>
          <w:rFonts w:ascii="Palatino Linotype" w:hAnsi="Palatino Linotype"/>
          <w:i/>
          <w:color w:val="000000"/>
        </w:rPr>
        <w:t xml:space="preserve"> metindeki ilgili noktayı/noktaları ortadaki sütuna yerleştirebilesiniz. </w:t>
      </w:r>
      <w:r w:rsidR="006E6FC4" w:rsidRPr="00490649">
        <w:rPr>
          <w:rFonts w:ascii="Palatino Linotype" w:hAnsi="Palatino Linotype"/>
          <w:i/>
          <w:color w:val="000000"/>
        </w:rPr>
        <w:t>Sağdaki sütunda ise m</w:t>
      </w:r>
      <w:r w:rsidR="0033572F" w:rsidRPr="00490649">
        <w:rPr>
          <w:rFonts w:ascii="Palatino Linotype" w:hAnsi="Palatino Linotype"/>
          <w:i/>
          <w:color w:val="000000"/>
        </w:rPr>
        <w:t>akale dosyasına satır numaralarının eklenmesi</w:t>
      </w:r>
      <w:r w:rsidR="006E6FC4" w:rsidRPr="00490649">
        <w:rPr>
          <w:rFonts w:ascii="Palatino Linotype" w:hAnsi="Palatino Linotype"/>
          <w:i/>
          <w:color w:val="000000"/>
        </w:rPr>
        <w:t xml:space="preserve"> sonrası</w:t>
      </w:r>
      <w:r w:rsidR="0033572F" w:rsidRPr="00490649">
        <w:rPr>
          <w:rFonts w:ascii="Palatino Linotype" w:hAnsi="Palatino Linotype"/>
          <w:i/>
          <w:color w:val="000000"/>
        </w:rPr>
        <w:t xml:space="preserve"> ve belirli satır numaralarına atıfta bulunulması, makalenin hangi bölümlerinin değiştiğini belirlemede faydalı olacaktır.</w:t>
      </w:r>
      <w:r w:rsidR="00B62DE8" w:rsidRPr="00490649">
        <w:rPr>
          <w:rFonts w:ascii="Palatino Linotype" w:hAnsi="Palatino Linotype"/>
          <w:i/>
          <w:color w:val="000000"/>
        </w:rPr>
        <w:t xml:space="preserve"> (Aşağıdaki tablo içeriği örnek olması açısından doldurulmuştur. Öneri makalenizin dili Türkçe ise tablo Türkçe dilinde doldurulabilir.)</w:t>
      </w:r>
    </w:p>
    <w:p w:rsidR="00621925" w:rsidRPr="00B62DE8" w:rsidRDefault="00621925" w:rsidP="00B62DE8">
      <w:pPr>
        <w:pStyle w:val="NormalWeb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62DE8">
        <w:rPr>
          <w:rFonts w:ascii="Palatino Linotype" w:hAnsi="Palatino Linotype" w:cs="Arial"/>
          <w:color w:val="000000"/>
          <w:sz w:val="22"/>
          <w:szCs w:val="22"/>
        </w:rPr>
        <w:t>Manuscript #: 202</w:t>
      </w:r>
      <w:r w:rsidRPr="00B62DE8">
        <w:rPr>
          <w:rFonts w:ascii="Palatino Linotype" w:hAnsi="Palatino Linotype" w:cs="Arial"/>
          <w:color w:val="000000"/>
          <w:sz w:val="22"/>
          <w:szCs w:val="22"/>
        </w:rPr>
        <w:t>X-XX</w:t>
      </w:r>
    </w:p>
    <w:p w:rsidR="00621925" w:rsidRPr="00B62DE8" w:rsidRDefault="00621925" w:rsidP="00B62DE8">
      <w:pPr>
        <w:pStyle w:val="NormalWeb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B62DE8">
        <w:rPr>
          <w:rFonts w:ascii="Palatino Linotype" w:hAnsi="Palatino Linotype" w:cs="Arial"/>
          <w:color w:val="000000"/>
          <w:sz w:val="22"/>
          <w:szCs w:val="22"/>
        </w:rPr>
        <w:t>Manuscript title: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621925" w:rsidTr="00B62DE8">
        <w:tc>
          <w:tcPr>
            <w:tcW w:w="1666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Suggestion, Question, or Comment from </w:t>
            </w:r>
            <w:r w:rsidR="00B62DE8"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the Editor</w:t>
            </w:r>
          </w:p>
        </w:tc>
        <w:tc>
          <w:tcPr>
            <w:tcW w:w="1667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Author’s Response</w:t>
            </w:r>
          </w:p>
        </w:tc>
        <w:tc>
          <w:tcPr>
            <w:tcW w:w="1667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Change in the Manuscript</w:t>
            </w:r>
          </w:p>
        </w:tc>
      </w:tr>
      <w:tr w:rsidR="00621925" w:rsidTr="00B62DE8">
        <w:tc>
          <w:tcPr>
            <w:tcW w:w="1666" w:type="pct"/>
          </w:tcPr>
          <w:p w:rsidR="00621925" w:rsidRPr="00490649" w:rsidRDefault="00621925" w:rsidP="00621925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621925" w:rsidRPr="00490649" w:rsidRDefault="00621925" w:rsidP="00B62DE8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tr-TR"/>
              </w:rPr>
            </w:pPr>
            <w:r w:rsidRPr="00621925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“As far as: ‘</w:t>
            </w:r>
            <w:r w:rsidRPr="00621925">
              <w:rPr>
                <w:rFonts w:ascii="Palatino Linotype" w:eastAsia="Times New Roman" w:hAnsi="Palatino Linotype" w:cs="Arial"/>
                <w:i/>
                <w:iCs/>
                <w:color w:val="000000"/>
                <w:sz w:val="18"/>
                <w:szCs w:val="18"/>
                <w:lang w:eastAsia="tr-TR"/>
              </w:rPr>
              <w:t>To our knowledge, there is no published normative data for choroidal thickness determined by SS-OCT</w:t>
            </w:r>
            <w:r w:rsidRPr="00621925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.’ </w:t>
            </w:r>
            <w:r w:rsidR="00B62DE8" w:rsidRPr="00490649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br/>
            </w:r>
            <w:r w:rsidRPr="00621925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In the methods section, please give a sentence or two on your literature review strategy to support the comment.”</w:t>
            </w:r>
          </w:p>
        </w:tc>
        <w:tc>
          <w:tcPr>
            <w:tcW w:w="1667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490649">
              <w:rPr>
                <w:rFonts w:ascii="Palatino Linotype" w:hAnsi="Palatino Linotype"/>
                <w:b/>
                <w:sz w:val="18"/>
                <w:szCs w:val="18"/>
              </w:rPr>
              <w:t>EXAMPLE</w:t>
            </w:r>
          </w:p>
          <w:p w:rsidR="00621925" w:rsidRPr="00490649" w:rsidRDefault="00621925" w:rsidP="00621925">
            <w:pPr>
              <w:rPr>
                <w:rFonts w:ascii="Palatino Linotype" w:hAnsi="Palatino Linotype"/>
                <w:sz w:val="18"/>
                <w:szCs w:val="18"/>
              </w:rPr>
            </w:pP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We truly appreciate the Editor’s suggestion, and we recognize that it would improve the revised version of the manuscript.  However, Reviewer #1 had requested the exclusion of this comment from the text. </w:t>
            </w:r>
          </w:p>
        </w:tc>
        <w:tc>
          <w:tcPr>
            <w:tcW w:w="1667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490649">
              <w:rPr>
                <w:rFonts w:ascii="Palatino Linotype" w:hAnsi="Palatino Linotype"/>
                <w:b/>
                <w:sz w:val="18"/>
                <w:szCs w:val="18"/>
              </w:rPr>
              <w:t>EXAMPLE</w:t>
            </w:r>
          </w:p>
          <w:p w:rsidR="00621925" w:rsidRPr="00490649" w:rsidRDefault="00621925" w:rsidP="00621925">
            <w:pPr>
              <w:rPr>
                <w:rFonts w:ascii="Palatino Linotype" w:hAnsi="Palatino Linotype"/>
                <w:sz w:val="18"/>
                <w:szCs w:val="18"/>
              </w:rPr>
            </w:pP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I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n observance of Reviewer’s #1 request, the following sentence was excluded 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  <w:u w:val="single"/>
              </w:rPr>
              <w:t>from lines 144 and 145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 of the submitted version of the manuscript: “</w:t>
            </w:r>
            <w:r w:rsidRPr="00490649">
              <w:rPr>
                <w:rFonts w:ascii="Palatino Linotype" w:hAnsi="Palatino Linotype" w:cs="Arial"/>
                <w:i/>
                <w:iCs/>
                <w:color w:val="000000"/>
                <w:sz w:val="18"/>
                <w:szCs w:val="18"/>
              </w:rPr>
              <w:t>To our knowledge, there is no published normative data for choroidal thickness determined by SS-OCT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.”</w:t>
            </w:r>
          </w:p>
        </w:tc>
      </w:tr>
      <w:tr w:rsidR="00621925" w:rsidTr="00B62DE8">
        <w:tc>
          <w:tcPr>
            <w:tcW w:w="1666" w:type="pct"/>
          </w:tcPr>
          <w:p w:rsidR="00621925" w:rsidRDefault="00621925" w:rsidP="00621925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1667" w:type="pct"/>
          </w:tcPr>
          <w:p w:rsidR="00621925" w:rsidRDefault="00621925" w:rsidP="00621925"/>
        </w:tc>
        <w:tc>
          <w:tcPr>
            <w:tcW w:w="1667" w:type="pct"/>
          </w:tcPr>
          <w:p w:rsidR="00621925" w:rsidRDefault="00621925" w:rsidP="00621925"/>
        </w:tc>
      </w:tr>
      <w:tr w:rsidR="00621925" w:rsidTr="00B62DE8">
        <w:tc>
          <w:tcPr>
            <w:tcW w:w="1666" w:type="pct"/>
          </w:tcPr>
          <w:p w:rsidR="00621925" w:rsidRDefault="00621925" w:rsidP="00621925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1667" w:type="pct"/>
          </w:tcPr>
          <w:p w:rsidR="00621925" w:rsidRDefault="00621925" w:rsidP="00621925"/>
        </w:tc>
        <w:tc>
          <w:tcPr>
            <w:tcW w:w="1667" w:type="pct"/>
          </w:tcPr>
          <w:p w:rsidR="00621925" w:rsidRDefault="00621925" w:rsidP="00621925"/>
        </w:tc>
      </w:tr>
      <w:tr w:rsidR="00621925" w:rsidTr="00B62DE8">
        <w:tc>
          <w:tcPr>
            <w:tcW w:w="1666" w:type="pct"/>
          </w:tcPr>
          <w:p w:rsidR="00621925" w:rsidRPr="00490649" w:rsidRDefault="00621925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Suggestion, Question, or Comment from</w:t>
            </w:r>
            <w:r w:rsidR="00B62DE8"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Reviewer #1</w:t>
            </w:r>
          </w:p>
        </w:tc>
        <w:tc>
          <w:tcPr>
            <w:tcW w:w="1667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Author’s Response</w:t>
            </w:r>
          </w:p>
        </w:tc>
        <w:tc>
          <w:tcPr>
            <w:tcW w:w="1667" w:type="pct"/>
          </w:tcPr>
          <w:p w:rsidR="00621925" w:rsidRPr="00490649" w:rsidRDefault="00621925" w:rsidP="006219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Change in the Manuscript</w:t>
            </w:r>
          </w:p>
        </w:tc>
      </w:tr>
      <w:tr w:rsidR="00B62DE8" w:rsidTr="00B62DE8">
        <w:tc>
          <w:tcPr>
            <w:tcW w:w="1666" w:type="pct"/>
          </w:tcPr>
          <w:p w:rsidR="00490649" w:rsidRPr="00490649" w:rsidRDefault="00490649" w:rsidP="00490649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B62DE8" w:rsidRPr="00490649" w:rsidRDefault="00B62DE8" w:rsidP="00490649">
            <w:pPr>
              <w:rPr>
                <w:rFonts w:ascii="Palatino Linotype" w:hAnsi="Palatino Linotype"/>
                <w:sz w:val="18"/>
                <w:szCs w:val="18"/>
              </w:rPr>
            </w:pPr>
            <w:r w:rsidRPr="00490649">
              <w:rPr>
                <w:rFonts w:ascii="Palatino Linotype" w:hAnsi="Palatino Linotype"/>
                <w:sz w:val="18"/>
                <w:szCs w:val="18"/>
              </w:rPr>
              <w:t>“The authors measured en face SS-OCT in patients with chronic central serous chorioretinopathy (CSCR) and reported en face SS-OCT images showing choroidal vascular abnormalities.</w:t>
            </w:r>
          </w:p>
        </w:tc>
        <w:tc>
          <w:tcPr>
            <w:tcW w:w="1667" w:type="pct"/>
          </w:tcPr>
          <w:p w:rsidR="00490649" w:rsidRPr="00490649" w:rsidRDefault="00490649" w:rsidP="00B62DE8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B62DE8" w:rsidRPr="00490649" w:rsidRDefault="00B62DE8" w:rsidP="00B62DE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  <w:r w:rsidRPr="00B62DE8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We completely agree with the comment made by the Reviewer.  This comment was added to the Discussion section of the manuscript. </w:t>
            </w:r>
            <w:r w:rsidRPr="00490649"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  <w:br/>
            </w:r>
            <w:r w:rsidRPr="00B62DE8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The methodology used in the present study significantly contributes to a better characterization of the choroidal vasculature.</w:t>
            </w:r>
          </w:p>
        </w:tc>
        <w:tc>
          <w:tcPr>
            <w:tcW w:w="1667" w:type="pct"/>
          </w:tcPr>
          <w:p w:rsidR="00490649" w:rsidRPr="00490649" w:rsidRDefault="00490649" w:rsidP="00621925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B62DE8" w:rsidRPr="00490649" w:rsidRDefault="00B62DE8" w:rsidP="00621925">
            <w:pPr>
              <w:rPr>
                <w:rFonts w:ascii="Palatino Linotype" w:hAnsi="Palatino Linotype"/>
                <w:sz w:val="18"/>
                <w:szCs w:val="18"/>
              </w:rPr>
            </w:pP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On 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  <w:u w:val="single"/>
              </w:rPr>
              <w:t>line 283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 of the submitted version of the manuscript, the following sentence was included:  “</w:t>
            </w:r>
            <w:r w:rsidRPr="00490649">
              <w:rPr>
                <w:rFonts w:ascii="Palatino Linotype" w:hAnsi="Palatino Linotype" w:cs="Arial"/>
                <w:i/>
                <w:iCs/>
                <w:color w:val="000000"/>
                <w:sz w:val="18"/>
                <w:szCs w:val="18"/>
              </w:rPr>
              <w:t>This test may be useful to understand alterations in the layers underneath the neurosensory retina in pathologies other than CSCR, without requiring venous injection for angiography.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”</w:t>
            </w:r>
          </w:p>
        </w:tc>
      </w:tr>
      <w:tr w:rsidR="00B62DE8" w:rsidTr="00B62DE8">
        <w:tc>
          <w:tcPr>
            <w:tcW w:w="1666" w:type="pct"/>
          </w:tcPr>
          <w:p w:rsidR="00B62DE8" w:rsidRPr="00490649" w:rsidRDefault="00B62DE8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Suggestion, Question, or Comment from </w:t>
            </w: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Reviewer #2</w:t>
            </w:r>
          </w:p>
        </w:tc>
        <w:tc>
          <w:tcPr>
            <w:tcW w:w="1667" w:type="pct"/>
          </w:tcPr>
          <w:p w:rsidR="00B62DE8" w:rsidRPr="00490649" w:rsidRDefault="00B62DE8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Author’s Response</w:t>
            </w:r>
          </w:p>
        </w:tc>
        <w:tc>
          <w:tcPr>
            <w:tcW w:w="1667" w:type="pct"/>
          </w:tcPr>
          <w:p w:rsidR="00B62DE8" w:rsidRPr="00490649" w:rsidRDefault="00B62DE8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Change in the Manuscript</w:t>
            </w:r>
          </w:p>
        </w:tc>
      </w:tr>
      <w:tr w:rsidR="00490649" w:rsidTr="00B62DE8">
        <w:tc>
          <w:tcPr>
            <w:tcW w:w="1666" w:type="pct"/>
          </w:tcPr>
          <w:p w:rsidR="00490649" w:rsidRPr="00621925" w:rsidRDefault="00490649" w:rsidP="00B62DE8"/>
        </w:tc>
        <w:tc>
          <w:tcPr>
            <w:tcW w:w="1667" w:type="pct"/>
          </w:tcPr>
          <w:p w:rsidR="00490649" w:rsidRPr="00621925" w:rsidRDefault="00490649" w:rsidP="00B62DE8"/>
        </w:tc>
        <w:tc>
          <w:tcPr>
            <w:tcW w:w="1667" w:type="pct"/>
          </w:tcPr>
          <w:p w:rsidR="00490649" w:rsidRPr="00621925" w:rsidRDefault="00490649" w:rsidP="00B62DE8"/>
        </w:tc>
      </w:tr>
      <w:tr w:rsidR="00B62DE8" w:rsidTr="00B62DE8">
        <w:tc>
          <w:tcPr>
            <w:tcW w:w="1666" w:type="pct"/>
          </w:tcPr>
          <w:p w:rsidR="00B62DE8" w:rsidRPr="00621925" w:rsidRDefault="00B62DE8" w:rsidP="00B62DE8"/>
        </w:tc>
        <w:tc>
          <w:tcPr>
            <w:tcW w:w="1667" w:type="pct"/>
          </w:tcPr>
          <w:p w:rsidR="00B62DE8" w:rsidRPr="00621925" w:rsidRDefault="00B62DE8" w:rsidP="00B62DE8"/>
        </w:tc>
        <w:tc>
          <w:tcPr>
            <w:tcW w:w="1667" w:type="pct"/>
          </w:tcPr>
          <w:p w:rsidR="00B62DE8" w:rsidRPr="00621925" w:rsidRDefault="00B62DE8" w:rsidP="00B62DE8"/>
        </w:tc>
      </w:tr>
      <w:tr w:rsidR="00B62DE8" w:rsidTr="00B62DE8">
        <w:tc>
          <w:tcPr>
            <w:tcW w:w="1666" w:type="pct"/>
          </w:tcPr>
          <w:p w:rsidR="00B62DE8" w:rsidRPr="00490649" w:rsidRDefault="00B62DE8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Suggestion, Question, or Comment from </w:t>
            </w: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 xml:space="preserve">the </w:t>
            </w: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Production Editor</w:t>
            </w:r>
          </w:p>
        </w:tc>
        <w:tc>
          <w:tcPr>
            <w:tcW w:w="1667" w:type="pct"/>
          </w:tcPr>
          <w:p w:rsidR="00B62DE8" w:rsidRPr="00490649" w:rsidRDefault="00B62DE8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Author’s Response</w:t>
            </w:r>
          </w:p>
        </w:tc>
        <w:tc>
          <w:tcPr>
            <w:tcW w:w="1667" w:type="pct"/>
          </w:tcPr>
          <w:p w:rsidR="00B62DE8" w:rsidRPr="00490649" w:rsidRDefault="00B62DE8" w:rsidP="00B62DE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490649">
              <w:rPr>
                <w:rFonts w:ascii="Palatino Linotype" w:hAnsi="Palatino Linotype"/>
                <w:b/>
                <w:sz w:val="20"/>
                <w:szCs w:val="20"/>
              </w:rPr>
              <w:t>Change in the Manuscript</w:t>
            </w:r>
          </w:p>
        </w:tc>
      </w:tr>
      <w:tr w:rsidR="00B62DE8" w:rsidTr="00B62DE8">
        <w:tc>
          <w:tcPr>
            <w:tcW w:w="1666" w:type="pct"/>
          </w:tcPr>
          <w:p w:rsidR="00490649" w:rsidRPr="00490649" w:rsidRDefault="00490649" w:rsidP="00490649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B62DE8" w:rsidRPr="00490649" w:rsidRDefault="00B62DE8" w:rsidP="00490649">
            <w:pPr>
              <w:rPr>
                <w:rFonts w:ascii="Palatino Linotype" w:hAnsi="Palatino Linotype"/>
                <w:sz w:val="18"/>
                <w:szCs w:val="18"/>
              </w:rPr>
            </w:pPr>
            <w:r w:rsidRPr="00490649">
              <w:rPr>
                <w:rFonts w:ascii="Palatino Linotype" w:hAnsi="Palatino Linotype"/>
                <w:sz w:val="18"/>
                <w:szCs w:val="18"/>
              </w:rPr>
              <w:t>“Due to our limited number of print pages, please select 1/3 of the images for online only publication.”</w:t>
            </w:r>
          </w:p>
        </w:tc>
        <w:tc>
          <w:tcPr>
            <w:tcW w:w="1667" w:type="pct"/>
          </w:tcPr>
          <w:p w:rsidR="00490649" w:rsidRPr="00490649" w:rsidRDefault="00490649" w:rsidP="00B62DE8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B62DE8" w:rsidRPr="00B62DE8" w:rsidRDefault="00B62DE8" w:rsidP="00B62DE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  <w:r w:rsidRPr="00B62DE8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Following the Editorial Office comment, we selected 1/3 of the submitted images (Figure 3 and Figure 4) for “online only” publication.  </w:t>
            </w:r>
            <w:r w:rsidRPr="00490649"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  <w:br/>
            </w:r>
            <w:r w:rsidRPr="00B62DE8">
              <w:rPr>
                <w:rFonts w:ascii="Palatino Linotype" w:eastAsia="Times New Roman" w:hAnsi="Palatino Linotype" w:cs="Arial"/>
                <w:color w:val="000000"/>
                <w:sz w:val="18"/>
                <w:szCs w:val="18"/>
                <w:lang w:eastAsia="tr-TR"/>
              </w:rPr>
              <w:t>The “online only” figures were submitted in PDF format, each figure as a separate file.</w:t>
            </w:r>
          </w:p>
          <w:p w:rsidR="00B62DE8" w:rsidRPr="00490649" w:rsidRDefault="00B62DE8" w:rsidP="00B62DE8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67" w:type="pct"/>
          </w:tcPr>
          <w:p w:rsidR="00490649" w:rsidRPr="00490649" w:rsidRDefault="00490649" w:rsidP="00B62DE8">
            <w:pPr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</w:pPr>
            <w:r w:rsidRPr="00490649">
              <w:rPr>
                <w:rFonts w:ascii="Palatino Linotype" w:eastAsia="Times New Roman" w:hAnsi="Palatino Linotype" w:cs="Arial"/>
                <w:b/>
                <w:color w:val="000000"/>
                <w:sz w:val="18"/>
                <w:szCs w:val="18"/>
                <w:lang w:eastAsia="tr-TR"/>
              </w:rPr>
              <w:t>EXAMPLE</w:t>
            </w:r>
          </w:p>
          <w:p w:rsidR="00B62DE8" w:rsidRPr="00490649" w:rsidRDefault="00B62DE8" w:rsidP="00B62DE8">
            <w:pPr>
              <w:rPr>
                <w:rFonts w:ascii="Palatino Linotype" w:hAnsi="Palatino Linotype"/>
                <w:sz w:val="18"/>
                <w:szCs w:val="18"/>
              </w:rPr>
            </w:pP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On 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  <w:u w:val="single"/>
              </w:rPr>
              <w:t>lines 166, 179, 181, 186, 236, and 239</w:t>
            </w:r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 of the submitted version of the manuscript, a reference “</w:t>
            </w:r>
            <w:r w:rsidRPr="00490649">
              <w:rPr>
                <w:rFonts w:ascii="Palatino Linotype" w:hAnsi="Palatino Linotype" w:cs="Arial"/>
                <w:i/>
                <w:iCs/>
                <w:color w:val="000000"/>
                <w:sz w:val="18"/>
                <w:szCs w:val="18"/>
              </w:rPr>
              <w:t>available at </w:t>
            </w:r>
            <w:hyperlink r:id="rId5" w:history="1">
              <w:r w:rsidRPr="00490649">
                <w:rPr>
                  <w:rStyle w:val="Hyperlink"/>
                  <w:rFonts w:ascii="Palatino Linotype" w:hAnsi="Palatino Linotype" w:cs="Arial"/>
                  <w:i/>
                  <w:iCs/>
                  <w:sz w:val="18"/>
                  <w:szCs w:val="18"/>
                </w:rPr>
                <w:t>http://aaojournal.org</w:t>
              </w:r>
            </w:hyperlink>
            <w:r w:rsidRPr="00490649">
              <w:rPr>
                <w:rFonts w:ascii="Palatino Linotype" w:hAnsi="Palatino Linotype" w:cs="Arial"/>
                <w:color w:val="000000"/>
                <w:sz w:val="18"/>
                <w:szCs w:val="18"/>
              </w:rPr>
              <w:t>” was added after each figure selected for “online only” publication.</w:t>
            </w:r>
          </w:p>
        </w:tc>
      </w:tr>
    </w:tbl>
    <w:p w:rsidR="00975BB6" w:rsidRPr="00975BB6" w:rsidRDefault="00975BB6">
      <w:bookmarkStart w:id="0" w:name="_GoBack"/>
      <w:bookmarkEnd w:id="0"/>
    </w:p>
    <w:sectPr w:rsidR="00975BB6" w:rsidRPr="00975BB6" w:rsidSect="00B62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B6"/>
    <w:rsid w:val="0033572F"/>
    <w:rsid w:val="00490649"/>
    <w:rsid w:val="005C541D"/>
    <w:rsid w:val="00621925"/>
    <w:rsid w:val="006E6FC4"/>
    <w:rsid w:val="008C3E1E"/>
    <w:rsid w:val="00975BB6"/>
    <w:rsid w:val="00B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A2C0"/>
  <w15:chartTrackingRefBased/>
  <w15:docId w15:val="{6743DE7F-4747-4619-A8F1-ED287DE7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7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6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aojourna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8AC2-4CBF-4A5C-85EE-C03E161B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 Can metin</dc:creator>
  <cp:keywords/>
  <dc:description/>
  <cp:lastModifiedBy>Taki Can metin</cp:lastModifiedBy>
  <cp:revision>2</cp:revision>
  <dcterms:created xsi:type="dcterms:W3CDTF">2021-12-28T18:56:00Z</dcterms:created>
  <dcterms:modified xsi:type="dcterms:W3CDTF">2022-01-02T07:27:00Z</dcterms:modified>
</cp:coreProperties>
</file>