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EDA07" w14:textId="5961BD5D" w:rsidR="00563CF1" w:rsidRDefault="00563CF1" w:rsidP="00563CF1">
      <w:pPr>
        <w:pStyle w:val="NormalWeb"/>
        <w:shd w:val="clear" w:color="auto" w:fill="FFFFFF"/>
        <w:ind w:left="360"/>
        <w:jc w:val="center"/>
        <w:rPr>
          <w:rFonts w:eastAsia="TimesNewRomanPSMT"/>
          <w:b/>
          <w:bCs/>
          <w:sz w:val="32"/>
          <w:szCs w:val="32"/>
          <w:u w:val="single"/>
          <w:rtl/>
        </w:rPr>
      </w:pPr>
      <w:r w:rsidRPr="00563CF1">
        <w:rPr>
          <w:rFonts w:eastAsia="TimesNewRomanPSMT" w:hint="cs"/>
          <w:b/>
          <w:bCs/>
          <w:sz w:val="32"/>
          <w:szCs w:val="32"/>
          <w:u w:val="single"/>
          <w:rtl/>
        </w:rPr>
        <w:t>شروط</w:t>
      </w:r>
      <w:r w:rsidRPr="00563CF1">
        <w:rPr>
          <w:rFonts w:ascii="TimesNewRomanPSMT" w:eastAsia="TimesNewRomanPSMT" w:hAnsi="TimesNewRomanPSMT" w:cs="TimesNewRomanPSMT" w:hint="eastAsia"/>
          <w:b/>
          <w:bCs/>
          <w:sz w:val="28"/>
          <w:szCs w:val="28"/>
          <w:u w:val="single"/>
          <w:rtl/>
        </w:rPr>
        <w:t xml:space="preserve"> </w:t>
      </w:r>
      <w:r w:rsidRPr="00563CF1">
        <w:rPr>
          <w:rFonts w:eastAsia="TimesNewRomanPSMT" w:hint="cs"/>
          <w:b/>
          <w:bCs/>
          <w:sz w:val="32"/>
          <w:szCs w:val="32"/>
          <w:u w:val="single"/>
          <w:rtl/>
        </w:rPr>
        <w:t>كتابة</w:t>
      </w:r>
      <w:r w:rsidRPr="00563CF1">
        <w:rPr>
          <w:rFonts w:ascii="TimesNewRomanPSMT" w:eastAsia="TimesNewRomanPSMT" w:hAnsi="TimesNewRomanPSMT" w:cs="TimesNewRomanPSMT" w:hint="eastAsia"/>
          <w:b/>
          <w:bCs/>
          <w:sz w:val="28"/>
          <w:szCs w:val="28"/>
          <w:u w:val="single"/>
          <w:rtl/>
        </w:rPr>
        <w:t xml:space="preserve"> </w:t>
      </w:r>
      <w:r w:rsidRPr="00563CF1">
        <w:rPr>
          <w:rFonts w:eastAsia="TimesNewRomanPSMT" w:hint="cs"/>
          <w:b/>
          <w:bCs/>
          <w:sz w:val="32"/>
          <w:szCs w:val="32"/>
          <w:u w:val="single"/>
          <w:rtl/>
        </w:rPr>
        <w:t>البحث</w:t>
      </w:r>
    </w:p>
    <w:p w14:paraId="15AA8B0E" w14:textId="77777777" w:rsidR="00563CF1" w:rsidRPr="00563CF1" w:rsidRDefault="00563CF1" w:rsidP="00563CF1">
      <w:pPr>
        <w:pStyle w:val="NormalWeb"/>
        <w:shd w:val="clear" w:color="auto" w:fill="FFFFFF"/>
        <w:ind w:left="360"/>
        <w:jc w:val="center"/>
        <w:rPr>
          <w:b/>
          <w:bCs/>
          <w:sz w:val="36"/>
          <w:szCs w:val="36"/>
          <w:u w:val="single"/>
        </w:rPr>
      </w:pPr>
    </w:p>
    <w:p w14:paraId="03DC4777" w14:textId="7DAD6C1F" w:rsidR="000F056C" w:rsidRPr="00407E66" w:rsidRDefault="00563CF1" w:rsidP="00A77484">
      <w:pPr>
        <w:pStyle w:val="NormalWeb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563CF1">
        <w:rPr>
          <w:rFonts w:ascii="Traditional Arabic" w:eastAsia="TimesNewRomanPSMT" w:hAnsi="Traditional Arabic" w:cs="Traditional Arabic" w:hint="cs"/>
          <w:sz w:val="32"/>
          <w:szCs w:val="32"/>
          <w:rtl/>
        </w:rPr>
        <w:t>يمكن</w:t>
      </w:r>
      <w:r w:rsidR="000F056C" w:rsidRPr="00563CF1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استخدام</w:t>
      </w:r>
      <w:r w:rsidR="000F056C" w:rsidRPr="00563CF1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</w:t>
      </w:r>
      <w:r w:rsidR="000F056C" w:rsidRPr="00563C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قالب لمقالة نموذجية</w:t>
      </w:r>
      <w:r w:rsidR="000F056C" w:rsidRPr="00563CF1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0F056C"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في المقالات المرسلة </w:t>
      </w:r>
      <w:r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>إلى</w:t>
      </w:r>
      <w:r w:rsidR="000F056C"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المجلة. </w:t>
      </w:r>
      <w:r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>يمكنك</w:t>
      </w:r>
      <w:r w:rsidR="000F056C"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</w:t>
      </w:r>
      <w:r w:rsidR="00B65D84"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>التوصل</w:t>
      </w:r>
      <w:r w:rsidR="000F056C"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</w:t>
      </w:r>
      <w:r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>إلى</w:t>
      </w:r>
      <w:r w:rsidR="000F056C"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قالب المقالة من</w:t>
      </w:r>
      <w:r w:rsidR="002E1F2C" w:rsidRPr="002E1F2C">
        <w:rPr>
          <w:rFonts w:ascii="Traditional Arabic" w:eastAsia="TimesNewRomanPSMT" w:hAnsi="Traditional Arabic" w:cs="Traditional Arabic"/>
          <w:sz w:val="32"/>
          <w:szCs w:val="32"/>
        </w:rPr>
        <w:t>https://dergipark.org.tr/tr/pub/dinveinsan</w:t>
      </w:r>
      <w:r w:rsidR="002E1F2C">
        <w:rPr>
          <w:rFonts w:ascii="Traditional Arabic" w:eastAsia="TimesNewRomanPSMT" w:hAnsi="Traditional Arabic" w:cs="Traditional Arabic"/>
          <w:sz w:val="32"/>
          <w:szCs w:val="32"/>
        </w:rPr>
        <w:t xml:space="preserve">  </w:t>
      </w:r>
    </w:p>
    <w:p w14:paraId="79AAE1F5" w14:textId="027C729F" w:rsidR="00563CF1" w:rsidRPr="00407E66" w:rsidRDefault="00A77484" w:rsidP="00DC41F6">
      <w:pPr>
        <w:pStyle w:val="NormalWeb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>يجب</w:t>
      </w:r>
      <w:r w:rsidR="00563CF1"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ملء المعلومات </w:t>
      </w:r>
      <w:r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>التالية</w:t>
      </w:r>
      <w:r w:rsidR="00563CF1"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على صفحة النشر</w:t>
      </w:r>
      <w:r w:rsidRPr="00407E66">
        <w:rPr>
          <w:rFonts w:ascii="Traditional Arabic" w:eastAsia="TimesNewRomanPSMT" w:hAnsi="Traditional Arabic" w:cs="Traditional Arabic"/>
          <w:sz w:val="32"/>
          <w:szCs w:val="32"/>
        </w:rPr>
        <w:t xml:space="preserve"> </w:t>
      </w:r>
      <w:proofErr w:type="spellStart"/>
      <w:r w:rsidR="00563CF1" w:rsidRPr="00407E66">
        <w:rPr>
          <w:rFonts w:ascii="Traditional Arabic" w:hAnsi="Traditional Arabic" w:cs="Traditional Arabic" w:hint="cs"/>
          <w:sz w:val="32"/>
          <w:szCs w:val="32"/>
        </w:rPr>
        <w:t>credits</w:t>
      </w:r>
      <w:proofErr w:type="spellEnd"/>
      <w:r w:rsidR="00563CF1" w:rsidRPr="00407E66">
        <w:rPr>
          <w:rFonts w:ascii="Traditional Arabic" w:eastAsia="TimesNewRomanPSMT" w:hAnsi="Traditional Arabic" w:cs="Traditional Arabic" w:hint="cs"/>
          <w:sz w:val="32"/>
          <w:szCs w:val="32"/>
        </w:rPr>
        <w:t xml:space="preserve"> </w:t>
      </w:r>
      <w:r w:rsidR="00563CF1"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في </w:t>
      </w:r>
      <w:r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>بداية</w:t>
      </w:r>
      <w:r w:rsidR="00563CF1"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قالب لمقالة </w:t>
      </w:r>
      <w:r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>نموذجية</w:t>
      </w:r>
      <w:r w:rsidR="00563CF1"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من قبل المؤلف: العنوان، والاسم، واللقب، ومعلومات المؤسسة، ومعلومات الاتصال، و</w:t>
      </w:r>
      <w:r w:rsidR="00563CF1" w:rsidRPr="00407E66">
        <w:rPr>
          <w:rFonts w:ascii="Traditional Arabic" w:hAnsi="Traditional Arabic" w:cs="Traditional Arabic" w:hint="cs"/>
          <w:sz w:val="32"/>
          <w:szCs w:val="32"/>
        </w:rPr>
        <w:t>ORCID</w:t>
      </w:r>
      <w:r w:rsidR="00563CF1"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، والعنوان التركي </w:t>
      </w:r>
      <w:r w:rsidRPr="00407E66">
        <w:rPr>
          <w:rFonts w:ascii="Traditional Arabic" w:eastAsia="TimesNewRomanPSMT" w:hAnsi="Traditional Arabic" w:cs="Traditional Arabic" w:hint="cs"/>
          <w:sz w:val="32"/>
          <w:szCs w:val="32"/>
          <w:rtl/>
        </w:rPr>
        <w:t>والإنجليزي</w:t>
      </w:r>
      <w:r w:rsidR="00563CF1" w:rsidRPr="00407E66">
        <w:rPr>
          <w:rFonts w:ascii="Traditional Arabic" w:hAnsi="Traditional Arabic" w:cs="Traditional Arabic" w:hint="cs"/>
          <w:sz w:val="32"/>
          <w:szCs w:val="32"/>
        </w:rPr>
        <w:t>.</w:t>
      </w:r>
    </w:p>
    <w:p w14:paraId="37A3A32D" w14:textId="089AB1BE" w:rsidR="00A77484" w:rsidRPr="00545C64" w:rsidRDefault="00234287" w:rsidP="00DC41F6">
      <w:pPr>
        <w:pStyle w:val="NormalWeb"/>
        <w:numPr>
          <w:ilvl w:val="0"/>
          <w:numId w:val="2"/>
        </w:numPr>
        <w:shd w:val="clear" w:color="auto" w:fill="FFFFFF"/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>يجب</w:t>
      </w:r>
      <w:r w:rsidR="00A77484"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كتابة الدراسات </w:t>
      </w:r>
      <w:r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>العلمية</w:t>
      </w:r>
      <w:r w:rsidR="00A77484"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</w:t>
      </w:r>
      <w:r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>وملحقاتها (</w:t>
      </w:r>
      <w:r w:rsidR="00A77484"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الصور والأشكال والجداول وما </w:t>
      </w:r>
      <w:r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إلى </w:t>
      </w:r>
      <w:r w:rsidR="00A77484"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>ذلك</w:t>
      </w:r>
      <w:r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) </w:t>
      </w:r>
      <w:r w:rsidR="00A77484"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>في</w:t>
      </w:r>
      <w:r w:rsidRPr="00545C64">
        <w:rPr>
          <w:rFonts w:ascii="Traditional Arabic" w:eastAsia="TimesNewRomanPSMT" w:hAnsi="Traditional Arabic" w:cs="Traditional Arabic" w:hint="cs"/>
          <w:sz w:val="32"/>
          <w:szCs w:val="32"/>
        </w:rPr>
        <w:t xml:space="preserve">Microsoft Office 2010 </w:t>
      </w:r>
      <w:r w:rsidR="00A77484" w:rsidRPr="00545C6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77484"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>وما فوق في خط نوع</w:t>
      </w:r>
      <w:r w:rsidR="00A77484" w:rsidRPr="00545C6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A77484" w:rsidRPr="00545C64">
        <w:rPr>
          <w:rFonts w:ascii="Traditional Arabic" w:hAnsi="Traditional Arabic" w:cs="Traditional Arabic" w:hint="cs"/>
          <w:sz w:val="32"/>
          <w:szCs w:val="32"/>
        </w:rPr>
        <w:t>Cambria</w:t>
      </w:r>
      <w:proofErr w:type="spellEnd"/>
      <w:r w:rsidR="00A77484"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، </w:t>
      </w:r>
      <w:r w:rsidR="00A77484" w:rsidRPr="004D2AC9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>بنط ١١، تباعد الأسطر</w:t>
      </w:r>
      <w:r w:rsidR="00EA1A53"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</w:t>
      </w:r>
      <w:r w:rsidR="00EA1A53" w:rsidRPr="00545C64">
        <w:rPr>
          <w:rFonts w:ascii="Traditional Arabic" w:eastAsia="TimesNewRomanPSMT" w:hAnsi="Traditional Arabic" w:cs="Traditional Arabic" w:hint="cs"/>
          <w:sz w:val="32"/>
          <w:szCs w:val="32"/>
        </w:rPr>
        <w:t xml:space="preserve">1.5 </w:t>
      </w:r>
      <w:r w:rsidR="00EA1A53"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>(</w:t>
      </w:r>
      <w:r w:rsidR="00EA1A53" w:rsidRPr="004D2AC9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>الخلاصة/الملخص والكلمات الرئيسية/</w:t>
      </w:r>
      <w:proofErr w:type="spellStart"/>
      <w:r w:rsidR="00EA1A53" w:rsidRPr="004D2AC9">
        <w:rPr>
          <w:rFonts w:ascii="Traditional Arabic" w:eastAsia="TimesNewRomanPSMT" w:hAnsi="Traditional Arabic" w:cs="Traditional Arabic" w:hint="cs"/>
          <w:b/>
          <w:bCs/>
          <w:sz w:val="32"/>
          <w:szCs w:val="32"/>
        </w:rPr>
        <w:t>Keywords</w:t>
      </w:r>
      <w:proofErr w:type="spellEnd"/>
      <w:r w:rsidR="00525DE3" w:rsidRPr="004D2AC9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 xml:space="preserve">، بنظ </w:t>
      </w:r>
      <w:r w:rsidR="00525DE3" w:rsidRPr="004D2AC9">
        <w:rPr>
          <w:rFonts w:ascii="Traditional Arabic" w:eastAsia="TimesNewRomanPSMT" w:hAnsi="Traditional Arabic" w:cs="Traditional Arabic" w:hint="cs"/>
          <w:b/>
          <w:bCs/>
          <w:sz w:val="32"/>
          <w:szCs w:val="32"/>
        </w:rPr>
        <w:t>9</w:t>
      </w:r>
      <w:r w:rsidR="00525DE3" w:rsidRPr="004D2AC9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 xml:space="preserve">، تباعد الأسطر </w:t>
      </w:r>
      <w:r w:rsidR="00525DE3" w:rsidRPr="004D2AC9">
        <w:rPr>
          <w:rFonts w:ascii="Traditional Arabic" w:eastAsia="TimesNewRomanPSMT" w:hAnsi="Traditional Arabic" w:cs="Traditional Arabic" w:hint="cs"/>
          <w:b/>
          <w:bCs/>
          <w:sz w:val="32"/>
          <w:szCs w:val="32"/>
        </w:rPr>
        <w:t>1</w:t>
      </w:r>
      <w:r w:rsidR="00EA1A53"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>)</w:t>
      </w:r>
      <w:r w:rsidR="00525DE3"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>. أولئك الذين يست</w:t>
      </w:r>
      <w:r w:rsidR="00407E66"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>خ</w:t>
      </w:r>
      <w:r w:rsidR="00525DE3"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>دمون خطوطا مختلفة يجب عليهم أيض</w:t>
      </w:r>
      <w:r w:rsidR="00DC41F6" w:rsidRP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>ًا إضافة الخطوط التي تدعم الخط.</w:t>
      </w:r>
    </w:p>
    <w:p w14:paraId="628506EC" w14:textId="0D34230D" w:rsidR="00DC41F6" w:rsidRPr="00DC41F6" w:rsidRDefault="00DC41F6" w:rsidP="00DC41F6">
      <w:pPr>
        <w:pStyle w:val="NormalWeb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>إع</w:t>
      </w:r>
      <w:r w:rsidRPr="00DC41F6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دادات الصفحة للنص: </w:t>
      </w:r>
      <w:r w:rsidRPr="004D2AC9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 xml:space="preserve">أعلى: </w:t>
      </w:r>
      <w:r w:rsidRPr="004D2AC9">
        <w:rPr>
          <w:rFonts w:ascii="Traditional Arabic" w:eastAsia="TimesNewRomanPSMT" w:hAnsi="Traditional Arabic" w:cs="Traditional Arabic"/>
          <w:b/>
          <w:bCs/>
          <w:sz w:val="32"/>
          <w:szCs w:val="32"/>
        </w:rPr>
        <w:t>2,5</w:t>
      </w:r>
      <w:r w:rsidRPr="004D2AC9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 xml:space="preserve"> سم، </w:t>
      </w:r>
      <w:r w:rsidR="00F03564" w:rsidRPr="004D2AC9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>يسار</w:t>
      </w:r>
      <w:r w:rsidRPr="004D2AC9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4D2AC9">
        <w:rPr>
          <w:rFonts w:ascii="Traditional Arabic" w:eastAsia="TimesNewRomanPSMT" w:hAnsi="Traditional Arabic" w:cs="Traditional Arabic"/>
          <w:b/>
          <w:bCs/>
          <w:sz w:val="32"/>
          <w:szCs w:val="32"/>
        </w:rPr>
        <w:t>2,5</w:t>
      </w:r>
      <w:r w:rsidRPr="004D2AC9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 xml:space="preserve"> سم، </w:t>
      </w:r>
      <w:r w:rsidR="00F03564" w:rsidRPr="004D2AC9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 xml:space="preserve">يمين: </w:t>
      </w:r>
      <w:r w:rsidR="00F03564" w:rsidRPr="004D2AC9">
        <w:rPr>
          <w:rFonts w:ascii="Traditional Arabic" w:eastAsia="TimesNewRomanPSMT" w:hAnsi="Traditional Arabic" w:cs="Traditional Arabic"/>
          <w:b/>
          <w:bCs/>
          <w:sz w:val="32"/>
          <w:szCs w:val="32"/>
        </w:rPr>
        <w:t>2,5</w:t>
      </w:r>
      <w:r w:rsidR="00F03564" w:rsidRPr="004D2AC9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 xml:space="preserve"> سم، أسفل: </w:t>
      </w:r>
      <w:r w:rsidR="00F03564" w:rsidRPr="004D2AC9">
        <w:rPr>
          <w:rFonts w:ascii="Traditional Arabic" w:eastAsia="TimesNewRomanPSMT" w:hAnsi="Traditional Arabic" w:cs="Traditional Arabic"/>
          <w:b/>
          <w:bCs/>
          <w:sz w:val="32"/>
          <w:szCs w:val="32"/>
        </w:rPr>
        <w:t>2,5</w:t>
      </w:r>
      <w:r w:rsidR="00F03564" w:rsidRPr="004D2AC9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 xml:space="preserve"> سم</w:t>
      </w:r>
      <w:r w:rsidR="00F03564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، </w:t>
      </w:r>
      <w:r w:rsidRPr="00DC41F6">
        <w:rPr>
          <w:rFonts w:ascii="Traditional Arabic" w:eastAsia="TimesNewRomanPSMT" w:hAnsi="Traditional Arabic" w:cs="Traditional Arabic" w:hint="cs"/>
          <w:sz w:val="32"/>
          <w:szCs w:val="32"/>
          <w:rtl/>
        </w:rPr>
        <w:t>تباعد الفقرات</w:t>
      </w:r>
      <w:r w:rsidR="00F03564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: </w:t>
      </w:r>
      <w:r w:rsidRPr="004D2AC9">
        <w:rPr>
          <w:rFonts w:ascii="Traditional Arabic" w:hAnsi="Traditional Arabic" w:cs="Traditional Arabic" w:hint="cs"/>
          <w:b/>
          <w:bCs/>
          <w:sz w:val="32"/>
          <w:szCs w:val="32"/>
        </w:rPr>
        <w:t xml:space="preserve">6 </w:t>
      </w:r>
      <w:proofErr w:type="spellStart"/>
      <w:r w:rsidRPr="004D2AC9">
        <w:rPr>
          <w:rFonts w:ascii="Traditional Arabic" w:hAnsi="Traditional Arabic" w:cs="Traditional Arabic" w:hint="cs"/>
          <w:b/>
          <w:bCs/>
          <w:sz w:val="32"/>
          <w:szCs w:val="32"/>
        </w:rPr>
        <w:t>nk</w:t>
      </w:r>
      <w:proofErr w:type="spellEnd"/>
      <w:r w:rsidR="00F03564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أوّلاً</w:t>
      </w:r>
      <w:r w:rsidRPr="00DC41F6">
        <w:rPr>
          <w:rFonts w:ascii="Traditional Arabic" w:eastAsia="TimesNewRomanPSMT" w:hAnsi="Traditional Arabic" w:cs="Traditional Arabic" w:hint="cs"/>
          <w:sz w:val="32"/>
          <w:szCs w:val="32"/>
          <w:rtl/>
        </w:rPr>
        <w:t>؛ ثم</w:t>
      </w:r>
      <w:r w:rsidR="00145023" w:rsidRPr="004D2AC9">
        <w:rPr>
          <w:rFonts w:ascii="Traditional Arabic" w:hAnsi="Traditional Arabic" w:cs="Traditional Arabic"/>
          <w:b/>
          <w:bCs/>
          <w:sz w:val="32"/>
          <w:szCs w:val="32"/>
        </w:rPr>
        <w:t xml:space="preserve"> 6 </w:t>
      </w:r>
      <w:proofErr w:type="spellStart"/>
      <w:r w:rsidR="00145023" w:rsidRPr="004D2AC9">
        <w:rPr>
          <w:rFonts w:ascii="Traditional Arabic" w:hAnsi="Traditional Arabic" w:cs="Traditional Arabic"/>
          <w:b/>
          <w:bCs/>
          <w:sz w:val="32"/>
          <w:szCs w:val="32"/>
        </w:rPr>
        <w:t>nk</w:t>
      </w:r>
      <w:proofErr w:type="spellEnd"/>
      <w:r w:rsidR="00145023" w:rsidRPr="004D2AC9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C41F6">
        <w:rPr>
          <w:rFonts w:ascii="Traditional Arabic" w:eastAsia="TimesNewRomanPSMT" w:hAnsi="Traditional Arabic" w:cs="Traditional Arabic" w:hint="cs"/>
          <w:sz w:val="32"/>
          <w:szCs w:val="32"/>
          <w:rtl/>
        </w:rPr>
        <w:t>یجب أن یكون تباعد الأسطر</w:t>
      </w:r>
      <w:r w:rsidRPr="003355ED">
        <w:rPr>
          <w:rFonts w:ascii="Traditional Arabic" w:hAnsi="Traditional Arabic" w:cs="Traditional Arabic" w:hint="cs"/>
          <w:b/>
          <w:bCs/>
          <w:sz w:val="32"/>
          <w:szCs w:val="32"/>
        </w:rPr>
        <w:t>1</w:t>
      </w:r>
      <w:r w:rsidR="003355ED">
        <w:rPr>
          <w:rFonts w:ascii="Traditional Arabic" w:hAnsi="Traditional Arabic" w:cs="Traditional Arabic"/>
          <w:b/>
          <w:bCs/>
          <w:sz w:val="32"/>
          <w:szCs w:val="32"/>
        </w:rPr>
        <w:t>,</w:t>
      </w:r>
      <w:r w:rsidRPr="003355ED">
        <w:rPr>
          <w:rFonts w:ascii="Traditional Arabic" w:hAnsi="Traditional Arabic" w:cs="Traditional Arabic" w:hint="cs"/>
          <w:b/>
          <w:bCs/>
          <w:sz w:val="32"/>
          <w:szCs w:val="32"/>
        </w:rPr>
        <w:t>5</w:t>
      </w:r>
      <w:r w:rsidRPr="003355ED">
        <w:rPr>
          <w:rFonts w:ascii="Traditional Arabic" w:eastAsia="TimesNewRomanPSMT" w:hAnsi="Traditional Arabic" w:cs="Traditional Arabic" w:hint="cs"/>
          <w:b/>
          <w:bCs/>
          <w:sz w:val="32"/>
          <w:szCs w:val="32"/>
        </w:rPr>
        <w:t xml:space="preserve"> </w:t>
      </w:r>
      <w:r w:rsidRPr="003355ED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>سم</w:t>
      </w:r>
      <w:r w:rsidRPr="00DC41F6">
        <w:rPr>
          <w:rFonts w:ascii="Traditional Arabic" w:hAnsi="Traditional Arabic" w:cs="Traditional Arabic" w:hint="cs"/>
          <w:sz w:val="32"/>
          <w:szCs w:val="32"/>
        </w:rPr>
        <w:t>.</w:t>
      </w:r>
    </w:p>
    <w:p w14:paraId="559FA11F" w14:textId="0E67F911" w:rsidR="00145023" w:rsidRPr="003B2DE5" w:rsidRDefault="00145023" w:rsidP="00145023">
      <w:pPr>
        <w:pStyle w:val="NormalWeb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>يجب أن يكون</w:t>
      </w:r>
      <w:r w:rsidRPr="00145023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عنوان المقال باللغة </w:t>
      </w: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>التركية</w:t>
      </w:r>
      <w:r w:rsidRPr="00145023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في الصفحة الأولى، في الأعلى وفي الوسط، بخط غامق وبخط </w:t>
      </w:r>
      <w:r w:rsidRPr="003355ED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>بحجم</w:t>
      </w:r>
      <w:r w:rsidRPr="003355E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355ED">
        <w:rPr>
          <w:rFonts w:ascii="Traditional Arabic" w:hAnsi="Traditional Arabic" w:cs="Traditional Arabic"/>
          <w:b/>
          <w:bCs/>
          <w:sz w:val="32"/>
          <w:szCs w:val="32"/>
        </w:rPr>
        <w:t>11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يجب </w:t>
      </w:r>
      <w:r w:rsidR="003B2DE5">
        <w:rPr>
          <w:rFonts w:ascii="Traditional Arabic" w:eastAsia="TimesNewRomanPSMT" w:hAnsi="Traditional Arabic" w:cs="Traditional Arabic" w:hint="cs"/>
          <w:sz w:val="32"/>
          <w:szCs w:val="32"/>
          <w:rtl/>
        </w:rPr>
        <w:t>أن</w:t>
      </w:r>
      <w:r w:rsidRPr="00145023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</w:t>
      </w:r>
      <w:r w:rsidR="003B2DE5">
        <w:rPr>
          <w:rFonts w:ascii="Traditional Arabic" w:eastAsia="TimesNewRomanPSMT" w:hAnsi="Traditional Arabic" w:cs="Traditional Arabic" w:hint="cs"/>
          <w:sz w:val="32"/>
          <w:szCs w:val="32"/>
          <w:rtl/>
        </w:rPr>
        <w:t>يوضع</w:t>
      </w:r>
      <w:r w:rsidRPr="00145023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</w:t>
      </w:r>
      <w:r w:rsidR="003B2DE5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تحته </w:t>
      </w:r>
      <w:r w:rsidRPr="00145023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مباشرة العنوان </w:t>
      </w:r>
      <w:r w:rsidR="003B2DE5" w:rsidRPr="00145023">
        <w:rPr>
          <w:rFonts w:ascii="Traditional Arabic" w:eastAsia="TimesNewRomanPSMT" w:hAnsi="Traditional Arabic" w:cs="Traditional Arabic" w:hint="cs"/>
          <w:sz w:val="32"/>
          <w:szCs w:val="32"/>
          <w:rtl/>
        </w:rPr>
        <w:t>بالإنجليزي</w:t>
      </w:r>
      <w:r w:rsidRPr="00145023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بخط غامق وفي الوسط</w:t>
      </w:r>
      <w:r w:rsidR="003B2DE5">
        <w:rPr>
          <w:rFonts w:ascii="Traditional Arabic" w:eastAsia="TimesNewRomanPSMT" w:hAnsi="Traditional Arabic" w:cs="Traditional Arabic" w:hint="cs"/>
          <w:sz w:val="32"/>
          <w:szCs w:val="32"/>
          <w:rtl/>
        </w:rPr>
        <w:t>.</w:t>
      </w:r>
    </w:p>
    <w:p w14:paraId="45CABC5E" w14:textId="1632CF4C" w:rsidR="003B2DE5" w:rsidRPr="00145023" w:rsidRDefault="003B2DE5" w:rsidP="003B2DE5">
      <w:pPr>
        <w:pStyle w:val="NormalWeb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يجب </w:t>
      </w:r>
      <w:r w:rsidR="00545C64">
        <w:rPr>
          <w:rFonts w:ascii="Traditional Arabic" w:eastAsia="TimesNewRomanPSMT" w:hAnsi="Traditional Arabic" w:cs="Traditional Arabic" w:hint="cs"/>
          <w:sz w:val="32"/>
          <w:szCs w:val="32"/>
          <w:rtl/>
        </w:rPr>
        <w:t>أن</w:t>
      </w: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تبدأ العناوين ور</w:t>
      </w:r>
      <w:r w:rsidR="00FE7ABC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ؤوس الفقرات في المقالة من </w:t>
      </w:r>
      <w:r w:rsidR="00FE7ABC" w:rsidRPr="003355ED">
        <w:rPr>
          <w:rFonts w:ascii="Traditional Arabic" w:eastAsia="TimesNewRomanPSMT" w:hAnsi="Traditional Arabic" w:cs="Traditional Arabic"/>
          <w:b/>
          <w:bCs/>
          <w:sz w:val="32"/>
          <w:szCs w:val="32"/>
        </w:rPr>
        <w:t>1</w:t>
      </w:r>
      <w:r w:rsidR="003355ED">
        <w:rPr>
          <w:rFonts w:ascii="Traditional Arabic" w:eastAsia="TimesNewRomanPSMT" w:hAnsi="Traditional Arabic" w:cs="Traditional Arabic"/>
          <w:b/>
          <w:bCs/>
          <w:sz w:val="32"/>
          <w:szCs w:val="32"/>
        </w:rPr>
        <w:t>,</w:t>
      </w:r>
      <w:r w:rsidR="00FE7ABC" w:rsidRPr="003355ED">
        <w:rPr>
          <w:rFonts w:ascii="Traditional Arabic" w:eastAsia="TimesNewRomanPSMT" w:hAnsi="Traditional Arabic" w:cs="Traditional Arabic"/>
          <w:b/>
          <w:bCs/>
          <w:sz w:val="32"/>
          <w:szCs w:val="32"/>
        </w:rPr>
        <w:t>25</w:t>
      </w:r>
      <w:r w:rsidR="00FE7ABC" w:rsidRPr="003355ED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 xml:space="preserve"> سم </w:t>
      </w:r>
      <w:r w:rsidR="00FE7ABC">
        <w:rPr>
          <w:rFonts w:ascii="Traditional Arabic" w:eastAsia="TimesNewRomanPSMT" w:hAnsi="Traditional Arabic" w:cs="Traditional Arabic" w:hint="cs"/>
          <w:sz w:val="32"/>
          <w:szCs w:val="32"/>
          <w:rtl/>
        </w:rPr>
        <w:t>من الداخل.</w:t>
      </w:r>
    </w:p>
    <w:p w14:paraId="3C96D996" w14:textId="4AC74FFF" w:rsidR="00FE7ABC" w:rsidRPr="00FE7ABC" w:rsidRDefault="00FE7ABC" w:rsidP="00FE7ABC">
      <w:pPr>
        <w:pStyle w:val="NormalWeb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>يجب</w:t>
      </w:r>
      <w:r w:rsidRPr="00FE7ABC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كتابة </w:t>
      </w: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>العناوين</w:t>
      </w:r>
      <w:r w:rsidRPr="00FE7ABC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و</w:t>
      </w: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>العناوين الفرعية</w:t>
      </w:r>
      <w:r w:rsidRPr="00FE7ABC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في المقالة بخط غامق</w:t>
      </w:r>
      <w:r w:rsidRPr="00FE7AB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ويجب أن يكون</w:t>
      </w:r>
      <w:r w:rsidRPr="00FE7ABC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الحرف الأول من كل كلمة </w:t>
      </w: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>كبيرًا.</w:t>
      </w:r>
    </w:p>
    <w:p w14:paraId="5B54D143" w14:textId="374754C6" w:rsidR="00FE7ABC" w:rsidRPr="004E4955" w:rsidRDefault="00FE7ABC" w:rsidP="00FE7ABC">
      <w:pPr>
        <w:pStyle w:val="NormalWeb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يجب أن يكون ضبط المحاذاة النص كله </w:t>
      </w:r>
      <w:r w:rsidR="004E4955">
        <w:rPr>
          <w:rFonts w:ascii="Traditional Arabic" w:eastAsia="TimesNewRomanPSMT" w:hAnsi="Traditional Arabic" w:cs="Traditional Arabic" w:hint="cs"/>
          <w:sz w:val="32"/>
          <w:szCs w:val="32"/>
          <w:rtl/>
        </w:rPr>
        <w:t>لكلا الجانبين سوى عنوان المقالة.</w:t>
      </w:r>
    </w:p>
    <w:p w14:paraId="468C0845" w14:textId="66A76E89" w:rsidR="004E4955" w:rsidRPr="004D2AC9" w:rsidRDefault="004E4955" w:rsidP="004E4955">
      <w:pPr>
        <w:pStyle w:val="NormalWeb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4D2AC9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يجب أن تبدأ الببليوغرافيا السطر الأوّل معلق، السطر الثاني من الداخل </w:t>
      </w:r>
      <w:r w:rsidRPr="003355ED">
        <w:rPr>
          <w:rFonts w:ascii="Traditional Arabic" w:eastAsia="TimesNewRomanPSMT" w:hAnsi="Traditional Arabic" w:cs="Traditional Arabic"/>
          <w:b/>
          <w:bCs/>
          <w:sz w:val="32"/>
          <w:szCs w:val="32"/>
        </w:rPr>
        <w:t>1</w:t>
      </w:r>
      <w:r w:rsidR="003355ED">
        <w:rPr>
          <w:rFonts w:ascii="Traditional Arabic" w:eastAsia="TimesNewRomanPSMT" w:hAnsi="Traditional Arabic" w:cs="Traditional Arabic"/>
          <w:b/>
          <w:bCs/>
          <w:sz w:val="32"/>
          <w:szCs w:val="32"/>
        </w:rPr>
        <w:t>,</w:t>
      </w:r>
      <w:r w:rsidRPr="003355ED">
        <w:rPr>
          <w:rFonts w:ascii="Traditional Arabic" w:eastAsia="TimesNewRomanPSMT" w:hAnsi="Traditional Arabic" w:cs="Traditional Arabic"/>
          <w:b/>
          <w:bCs/>
          <w:sz w:val="32"/>
          <w:szCs w:val="32"/>
        </w:rPr>
        <w:t>25</w:t>
      </w:r>
      <w:r w:rsidRPr="003355ED">
        <w:rPr>
          <w:rFonts w:ascii="Traditional Arabic" w:eastAsia="TimesNewRomanPSMT" w:hAnsi="Traditional Arabic" w:cs="Traditional Arabic" w:hint="cs"/>
          <w:b/>
          <w:bCs/>
          <w:sz w:val="32"/>
          <w:szCs w:val="32"/>
          <w:rtl/>
        </w:rPr>
        <w:t xml:space="preserve"> سم</w:t>
      </w:r>
      <w:r w:rsidRPr="004D2AC9">
        <w:rPr>
          <w:rFonts w:ascii="Traditional Arabic" w:eastAsia="TimesNewRomanPSMT" w:hAnsi="Traditional Arabic" w:cs="Traditional Arabic" w:hint="cs"/>
          <w:sz w:val="32"/>
          <w:szCs w:val="32"/>
          <w:rtl/>
        </w:rPr>
        <w:t>.</w:t>
      </w:r>
    </w:p>
    <w:p w14:paraId="7B45E492" w14:textId="7F32BDC9" w:rsidR="00A77484" w:rsidRDefault="007A1F55" w:rsidP="007A1F55">
      <w:pPr>
        <w:pStyle w:val="NormalWeb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7A1F55">
        <w:rPr>
          <w:rFonts w:ascii="Traditional Arabic" w:hAnsi="Traditional Arabic" w:cs="Traditional Arabic" w:hint="cs"/>
          <w:sz w:val="32"/>
          <w:szCs w:val="32"/>
          <w:rtl/>
        </w:rPr>
        <w:t xml:space="preserve">يجب أن تكون الهوامش في خط </w:t>
      </w:r>
      <w:proofErr w:type="spellStart"/>
      <w:r w:rsidRPr="007A1F55">
        <w:rPr>
          <w:rFonts w:ascii="Traditional Arabic" w:hAnsi="Traditional Arabic" w:cs="Traditional Arabic"/>
          <w:sz w:val="32"/>
          <w:szCs w:val="32"/>
        </w:rPr>
        <w:t>Cambria</w:t>
      </w:r>
      <w:proofErr w:type="spellEnd"/>
      <w:r w:rsidRPr="007A1F55">
        <w:rPr>
          <w:rFonts w:ascii="Traditional Arabic" w:hAnsi="Traditional Arabic" w:cs="Traditional Arabic" w:hint="cs"/>
          <w:sz w:val="32"/>
          <w:szCs w:val="32"/>
          <w:rtl/>
        </w:rPr>
        <w:t xml:space="preserve"> على مسافة سطر، </w:t>
      </w:r>
      <w:r w:rsidRPr="003355E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بنط </w:t>
      </w:r>
      <w:r w:rsidR="004115E9" w:rsidRPr="003355ED">
        <w:rPr>
          <w:rFonts w:ascii="Traditional Arabic" w:hAnsi="Traditional Arabic" w:cs="Traditional Arabic"/>
          <w:b/>
          <w:bCs/>
          <w:sz w:val="32"/>
          <w:szCs w:val="32"/>
        </w:rPr>
        <w:t>8</w:t>
      </w:r>
      <w:r w:rsidRPr="007A1F55">
        <w:rPr>
          <w:rFonts w:ascii="Traditional Arabic" w:hAnsi="Traditional Arabic" w:cs="Traditional Arabic" w:hint="cs"/>
          <w:sz w:val="32"/>
          <w:szCs w:val="32"/>
          <w:rtl/>
        </w:rPr>
        <w:t>، ويجب ضبط محاذاة النص لكلا الجانبين.</w:t>
      </w:r>
    </w:p>
    <w:p w14:paraId="5002F7BB" w14:textId="73A6A264" w:rsidR="007A1F55" w:rsidRDefault="007A1F55" w:rsidP="007A1F55">
      <w:pPr>
        <w:pStyle w:val="NormalWeb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يجب إرسال الدراسات إلكترونيًا من عنوان المجلة </w:t>
      </w:r>
      <w:hyperlink r:id="rId5" w:history="1">
        <w:r w:rsidR="00AB6305" w:rsidRPr="00573857">
          <w:rPr>
            <w:rStyle w:val="Kpr"/>
            <w:rFonts w:ascii="Traditional Arabic" w:hAnsi="Traditional Arabic" w:cs="Traditional Arabic"/>
            <w:sz w:val="32"/>
            <w:szCs w:val="32"/>
          </w:rPr>
          <w:t>https://dergipark.org.tr/tr/pub/dinveinsan</w:t>
        </w:r>
      </w:hyperlink>
    </w:p>
    <w:p w14:paraId="18199AE6" w14:textId="702FA99D" w:rsidR="00AB6305" w:rsidRDefault="00AB6305" w:rsidP="00AB6305">
      <w:pPr>
        <w:pStyle w:val="NormalWeb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في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المقالات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المكتوبة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بلغات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غير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الحروف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اللاتينية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،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يجب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أيضًا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تضمين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العنوان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والملخص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والكلمات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الرئيسية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والببليوغرافيا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(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المراجع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)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المكتوبة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بحروف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لاتينية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>.</w:t>
      </w:r>
    </w:p>
    <w:p w14:paraId="6F8AE724" w14:textId="03AED76A" w:rsidR="00AB6305" w:rsidRDefault="00AB6305" w:rsidP="00AB6305">
      <w:pPr>
        <w:pStyle w:val="NormalWeb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في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المقالات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المكتوبة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بلغات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غير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الحروف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اللاتينية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،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يجب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أيضًا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تضمين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العنوان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والملخص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والكلمات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الرئيسية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والببليوغرافيا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(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المراجع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)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المكتوبة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بحروف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AB6305">
        <w:rPr>
          <w:rFonts w:ascii="Traditional Arabic" w:hAnsi="Traditional Arabic" w:cs="Traditional Arabic"/>
          <w:sz w:val="32"/>
          <w:szCs w:val="32"/>
        </w:rPr>
        <w:t>لاتينية</w:t>
      </w:r>
      <w:proofErr w:type="spellEnd"/>
      <w:r w:rsidRPr="00AB6305">
        <w:rPr>
          <w:rFonts w:ascii="Traditional Arabic" w:hAnsi="Traditional Arabic" w:cs="Traditional Arabic"/>
          <w:sz w:val="32"/>
          <w:szCs w:val="32"/>
        </w:rPr>
        <w:t>.</w:t>
      </w:r>
      <w:bookmarkStart w:id="0" w:name="_GoBack"/>
      <w:bookmarkEnd w:id="0"/>
    </w:p>
    <w:p w14:paraId="526F71F2" w14:textId="677EC656" w:rsidR="007A1F55" w:rsidRDefault="007A1F55" w:rsidP="007A1F55">
      <w:pPr>
        <w:pStyle w:val="NormalWeb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في بداية الدر</w:t>
      </w:r>
      <w:r w:rsidR="005803A4">
        <w:rPr>
          <w:rFonts w:ascii="Traditional Arabic" w:hAnsi="Traditional Arabic" w:cs="Traditional Arabic" w:hint="cs"/>
          <w:sz w:val="32"/>
          <w:szCs w:val="32"/>
          <w:rtl/>
        </w:rPr>
        <w:t xml:space="preserve">اسة، يجب وضع ملخص باللغات التركية والأجنبيّة، لا يزيد عن </w:t>
      </w:r>
      <w:r w:rsidR="005803A4">
        <w:rPr>
          <w:rFonts w:ascii="Traditional Arabic" w:hAnsi="Traditional Arabic" w:cs="Traditional Arabic"/>
          <w:sz w:val="32"/>
          <w:szCs w:val="32"/>
        </w:rPr>
        <w:t>250</w:t>
      </w:r>
      <w:r w:rsidR="005803A4">
        <w:rPr>
          <w:rFonts w:ascii="Traditional Arabic" w:hAnsi="Traditional Arabic" w:cs="Traditional Arabic" w:hint="cs"/>
          <w:sz w:val="32"/>
          <w:szCs w:val="32"/>
          <w:rtl/>
        </w:rPr>
        <w:t xml:space="preserve"> كلمة، ولا يزيد عن </w:t>
      </w:r>
      <w:r w:rsidR="005803A4">
        <w:rPr>
          <w:rFonts w:ascii="Traditional Arabic" w:hAnsi="Traditional Arabic" w:cs="Traditional Arabic"/>
          <w:sz w:val="32"/>
          <w:szCs w:val="32"/>
        </w:rPr>
        <w:t>5</w:t>
      </w:r>
      <w:r w:rsidR="005803A4">
        <w:rPr>
          <w:rFonts w:ascii="Traditional Arabic" w:hAnsi="Traditional Arabic" w:cs="Traditional Arabic" w:hint="cs"/>
          <w:sz w:val="32"/>
          <w:szCs w:val="32"/>
          <w:rtl/>
        </w:rPr>
        <w:t xml:space="preserve"> كلمات رئيسية. </w:t>
      </w:r>
    </w:p>
    <w:p w14:paraId="2684690B" w14:textId="6EAD9198" w:rsidR="005803A4" w:rsidRPr="009870DE" w:rsidRDefault="009870DE" w:rsidP="009870DE">
      <w:pPr>
        <w:pStyle w:val="NormalWeb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>يمكن</w:t>
      </w:r>
      <w:r w:rsidR="005803A4" w:rsidRPr="009870DE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للمحرر المختص </w:t>
      </w: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>إجراء</w:t>
      </w:r>
      <w:r w:rsidR="005803A4" w:rsidRPr="009870DE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</w:t>
      </w:r>
      <w:r w:rsidRPr="009870DE">
        <w:rPr>
          <w:rFonts w:ascii="Traditional Arabic" w:eastAsia="TimesNewRomanPSMT" w:hAnsi="Traditional Arabic" w:cs="Traditional Arabic" w:hint="cs"/>
          <w:sz w:val="32"/>
          <w:szCs w:val="32"/>
          <w:rtl/>
        </w:rPr>
        <w:t>التصحيحات</w:t>
      </w:r>
      <w:r w:rsidR="005803A4" w:rsidRPr="009870DE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</w:t>
      </w:r>
      <w:r w:rsidRPr="009870DE">
        <w:rPr>
          <w:rFonts w:ascii="Traditional Arabic" w:eastAsia="TimesNewRomanPSMT" w:hAnsi="Traditional Arabic" w:cs="Traditional Arabic" w:hint="cs"/>
          <w:sz w:val="32"/>
          <w:szCs w:val="32"/>
          <w:rtl/>
        </w:rPr>
        <w:t>الإملائية</w:t>
      </w:r>
      <w:r w:rsidR="005803A4" w:rsidRPr="009870DE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اللازمة </w:t>
      </w: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>بنفسه</w:t>
      </w:r>
      <w:r w:rsidR="005803A4" w:rsidRPr="009870DE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. ومع ذلك، </w:t>
      </w: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>إذا رأى</w:t>
      </w:r>
      <w:r w:rsidR="005803A4" w:rsidRPr="009870DE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ذلك </w:t>
      </w:r>
      <w:r w:rsidRPr="009870DE">
        <w:rPr>
          <w:rFonts w:ascii="Traditional Arabic" w:eastAsia="TimesNewRomanPSMT" w:hAnsi="Traditional Arabic" w:cs="Traditional Arabic" w:hint="cs"/>
          <w:sz w:val="32"/>
          <w:szCs w:val="32"/>
          <w:rtl/>
        </w:rPr>
        <w:t>ضروريا</w:t>
      </w:r>
      <w:r w:rsidR="005803A4" w:rsidRPr="009870DE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، </w:t>
      </w: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يمكنه </w:t>
      </w:r>
      <w:r w:rsidRPr="009870DE">
        <w:rPr>
          <w:rFonts w:ascii="Traditional Arabic" w:eastAsia="TimesNewRomanPSMT" w:hAnsi="Traditional Arabic" w:cs="Traditional Arabic" w:hint="cs"/>
          <w:sz w:val="32"/>
          <w:szCs w:val="32"/>
          <w:rtl/>
        </w:rPr>
        <w:t>تصح</w:t>
      </w: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>يح</w:t>
      </w:r>
      <w:r w:rsidR="005803A4" w:rsidRPr="009870DE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الملخص المكتوب بلغة</w:t>
      </w:r>
      <w:r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أجنبيّة.</w:t>
      </w:r>
    </w:p>
    <w:p w14:paraId="058BAFCE" w14:textId="4746ECE4" w:rsidR="005803A4" w:rsidRDefault="009870DE" w:rsidP="005803A4">
      <w:pPr>
        <w:pStyle w:val="NormalWeb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يجب اتباع القضايا المتعلّقة بأخلاقيّات </w:t>
      </w:r>
      <w:r w:rsidR="00D759FA">
        <w:rPr>
          <w:rFonts w:ascii="Traditional Arabic" w:hAnsi="Traditional Arabic" w:cs="Traditional Arabic" w:hint="cs"/>
          <w:sz w:val="32"/>
          <w:szCs w:val="32"/>
          <w:rtl/>
        </w:rPr>
        <w:t xml:space="preserve">النشر للمجلة، كما هو مفضل </w:t>
      </w:r>
      <w:r w:rsidR="00E241C1">
        <w:rPr>
          <w:rFonts w:ascii="Traditional Arabic" w:hAnsi="Traditional Arabic" w:cs="Traditional Arabic" w:hint="cs"/>
          <w:sz w:val="32"/>
          <w:szCs w:val="32"/>
          <w:rtl/>
        </w:rPr>
        <w:t>تحت</w:t>
      </w:r>
      <w:r w:rsidR="00D759FA">
        <w:rPr>
          <w:rFonts w:ascii="Traditional Arabic" w:hAnsi="Traditional Arabic" w:cs="Traditional Arabic" w:hint="cs"/>
          <w:sz w:val="32"/>
          <w:szCs w:val="32"/>
          <w:rtl/>
        </w:rPr>
        <w:t xml:space="preserve"> عنوان </w:t>
      </w:r>
      <w:r w:rsidR="00D759FA" w:rsidRPr="00E10A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"القواعد الأخلاقيّة"</w:t>
      </w:r>
      <w:r w:rsidR="00D759FA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14:paraId="4191E412" w14:textId="7077B0C3" w:rsidR="00D759FA" w:rsidRPr="00E43AAD" w:rsidRDefault="00D759FA" w:rsidP="00D759FA">
      <w:pPr>
        <w:pStyle w:val="NormalWeb"/>
        <w:numPr>
          <w:ilvl w:val="0"/>
          <w:numId w:val="4"/>
        </w:numPr>
        <w:shd w:val="clear" w:color="auto" w:fill="FFFFFF"/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يتم إرسال كل مقال يتم إرساله إلى مجلتنا إلى اثنين من المحكمين المستقلين خارج هيئة التحرير بعد المراقبة الأولية لهيئة التحرير الفنية. بعد </w:t>
      </w:r>
      <w:r w:rsidR="005520EC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إبداء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الحكام ر</w:t>
      </w:r>
      <w:r w:rsidR="005520EC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أيًا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</w:t>
      </w:r>
      <w:r w:rsidR="005520EC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إيجابيًا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، </w:t>
      </w:r>
      <w:r w:rsidR="005520EC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يتم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</w:t>
      </w:r>
      <w:r w:rsidR="005520EC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إ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عادة </w:t>
      </w:r>
      <w:r w:rsidR="005520EC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تقييم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المقالة من قبل </w:t>
      </w:r>
      <w:r w:rsidR="005520EC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هيئة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</w:t>
      </w:r>
      <w:r w:rsidR="005520EC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التحرير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وبعد الحصول على حقوق النشر والوثائق </w:t>
      </w:r>
      <w:r w:rsidR="005520EC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الأخلاقية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اللازمة، </w:t>
      </w:r>
      <w:r w:rsidR="00E43AAD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يتمّ</w:t>
      </w:r>
      <w:r w:rsidR="005520EC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تمرير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المقالة </w:t>
      </w:r>
      <w:r w:rsidR="005520EC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إلى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مرحلة </w:t>
      </w:r>
      <w:r w:rsidR="005520EC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التحرير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/</w:t>
      </w:r>
      <w:r w:rsidR="005520EC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التخطيط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للنشر. بعد </w:t>
      </w:r>
      <w:r w:rsidR="005520EC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الترتيبات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اللازمة، </w:t>
      </w:r>
      <w:r w:rsidR="005520EC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يتم وضعها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</w:t>
      </w:r>
      <w:r w:rsidR="00E43AAD"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>بترتيب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  <w:rtl/>
        </w:rPr>
        <w:t xml:space="preserve"> النشر</w:t>
      </w:r>
      <w:r w:rsidRPr="00E43AAD">
        <w:rPr>
          <w:rFonts w:ascii="Traditional Arabic" w:eastAsia="TimesNewRomanPSMT" w:hAnsi="Traditional Arabic" w:cs="Traditional Arabic" w:hint="cs"/>
          <w:sz w:val="32"/>
          <w:szCs w:val="32"/>
        </w:rPr>
        <w:t>.</w:t>
      </w:r>
    </w:p>
    <w:p w14:paraId="5B6F79D7" w14:textId="1A520FEC" w:rsidR="000F056C" w:rsidRDefault="00E43AAD" w:rsidP="00F31651">
      <w:pPr>
        <w:pStyle w:val="NormalWeb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يتمّ تقييم كل مقال يتم إرساله إلى مجلّتنا عن طريق المسح في برنامج كشف السرقة الأدبيّة. المقالات التي تقلّ عن الحد الأدنى من المتطلبات لن يتم</w:t>
      </w:r>
      <w:r w:rsidR="00153D2C">
        <w:rPr>
          <w:rFonts w:ascii="Traditional Arabic" w:hAnsi="Traditional Arabic" w:cs="Traditional Arabic" w:hint="cs"/>
          <w:sz w:val="32"/>
          <w:szCs w:val="32"/>
          <w:rtl/>
        </w:rPr>
        <w:t xml:space="preserve"> تقييمها. تُستخدم برامج مثل </w:t>
      </w:r>
      <w:proofErr w:type="spellStart"/>
      <w:r w:rsidR="00153D2C">
        <w:rPr>
          <w:rFonts w:ascii="Traditional Arabic" w:hAnsi="Traditional Arabic" w:cs="Traditional Arabic"/>
          <w:sz w:val="32"/>
          <w:szCs w:val="32"/>
        </w:rPr>
        <w:t>iThenticate</w:t>
      </w:r>
      <w:proofErr w:type="spellEnd"/>
      <w:r w:rsidR="00153D2C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proofErr w:type="spellStart"/>
      <w:r w:rsidR="00153D2C">
        <w:rPr>
          <w:rFonts w:ascii="Traditional Arabic" w:hAnsi="Traditional Arabic" w:cs="Traditional Arabic"/>
          <w:sz w:val="32"/>
          <w:szCs w:val="32"/>
        </w:rPr>
        <w:t>Turnitin</w:t>
      </w:r>
      <w:proofErr w:type="spellEnd"/>
      <w:r w:rsidR="00153D2C">
        <w:rPr>
          <w:rFonts w:ascii="Traditional Arabic" w:hAnsi="Traditional Arabic" w:cs="Traditional Arabic" w:hint="cs"/>
          <w:sz w:val="32"/>
          <w:szCs w:val="32"/>
          <w:rtl/>
        </w:rPr>
        <w:t xml:space="preserve"> لاكتشاف الانتحال. من خلال هذه الأنظمة يتم التأكد من عدم نشر المقالات في أيّ مكان من قبل أو أنّها لا تحتوي على أيّ سرقة أدبية. مقابل ذلك ت</w:t>
      </w:r>
      <w:r w:rsidR="00F31651">
        <w:rPr>
          <w:rFonts w:ascii="Traditional Arabic" w:hAnsi="Traditional Arabic" w:cs="Traditional Arabic" w:hint="cs"/>
          <w:sz w:val="32"/>
          <w:szCs w:val="32"/>
          <w:rtl/>
        </w:rPr>
        <w:t>قع المسؤوليّة الكاملة عن الانتحال وما شابه على عاتق المؤلف.</w:t>
      </w:r>
    </w:p>
    <w:p w14:paraId="477FBDE1" w14:textId="0AA440CD" w:rsidR="00EB78BD" w:rsidRDefault="00F568A0" w:rsidP="00F568A0">
      <w:pPr>
        <w:pStyle w:val="NormalWeb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يجب ترتيب ترتيب الدّراسات على النحو التّالي:</w:t>
      </w:r>
    </w:p>
    <w:p w14:paraId="5A56A6B4" w14:textId="4C646AAB" w:rsidR="00EB78BD" w:rsidRDefault="00EB78BD" w:rsidP="00EB78BD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435CF61E" w14:textId="605AA820" w:rsidR="00B65D84" w:rsidRDefault="00B65D84" w:rsidP="00B65D84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10F0BB8E" w14:textId="7E57E796" w:rsidR="00B65D84" w:rsidRDefault="00B65D84" w:rsidP="00B65D84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0D5C5DC1" w14:textId="2B857D1F" w:rsidR="00B65D84" w:rsidRDefault="00B65D84" w:rsidP="00B65D84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3B1DD718" w14:textId="02D17C7A" w:rsidR="00B65D84" w:rsidRDefault="00B65D84" w:rsidP="00B65D84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39A1161C" w14:textId="73D9F614" w:rsidR="00B65D84" w:rsidRDefault="00B65D84" w:rsidP="00B65D84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0BC2602B" w14:textId="3AF011AF" w:rsidR="00B65D84" w:rsidRDefault="00B65D84" w:rsidP="00B65D84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26E34C07" w14:textId="78E88022" w:rsidR="00B65D84" w:rsidRDefault="00B65D84" w:rsidP="00B65D84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0A887F28" w14:textId="2D84B154" w:rsidR="00B65D84" w:rsidRDefault="00B65D84" w:rsidP="00B65D84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p w14:paraId="5693A90C" w14:textId="77777777" w:rsidR="00874D0A" w:rsidRDefault="00874D0A" w:rsidP="00874D0A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3DBCFB57" w14:textId="2B615233" w:rsidR="00EB78BD" w:rsidRPr="00B65D84" w:rsidRDefault="00EB78BD" w:rsidP="00B65D84">
      <w:pPr>
        <w:pStyle w:val="NormalWeb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65D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العنوان التركي</w:t>
      </w:r>
    </w:p>
    <w:p w14:paraId="1E07CC23" w14:textId="498AFB5F" w:rsidR="00EB78BD" w:rsidRPr="00B65D84" w:rsidRDefault="00EB78BD" w:rsidP="00B65D84">
      <w:pPr>
        <w:pStyle w:val="NormalWeb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65D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العنوان الإنجليزي</w:t>
      </w:r>
    </w:p>
    <w:p w14:paraId="0468F16F" w14:textId="79C920C6" w:rsidR="00B65D84" w:rsidRDefault="008E0992" w:rsidP="00B65D84">
      <w:pPr>
        <w:pStyle w:val="NormalWeb"/>
        <w:bidi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B65D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الملخّص</w:t>
      </w:r>
    </w:p>
    <w:p w14:paraId="33FB4FF4" w14:textId="3652F680" w:rsidR="00874D0A" w:rsidRPr="00B65D84" w:rsidRDefault="00874D0A" w:rsidP="00874D0A">
      <w:pPr>
        <w:pStyle w:val="NormalWeb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الكلمات المفتاحيّة</w:t>
      </w:r>
    </w:p>
    <w:p w14:paraId="10FCCA8B" w14:textId="56069FDA" w:rsidR="00B65D84" w:rsidRPr="00B65D84" w:rsidRDefault="008E0992" w:rsidP="00B65D84">
      <w:pPr>
        <w:pStyle w:val="NormalWeb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65D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خلاصة</w:t>
      </w:r>
    </w:p>
    <w:p w14:paraId="68B56562" w14:textId="00F18F25" w:rsidR="008E0992" w:rsidRPr="00B65D84" w:rsidRDefault="008E0992" w:rsidP="00B65D84">
      <w:pPr>
        <w:pStyle w:val="NormalWeb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65D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الكلمات الدّالّة</w:t>
      </w:r>
    </w:p>
    <w:p w14:paraId="09F53155" w14:textId="4E0D2E9F" w:rsidR="008E0992" w:rsidRPr="00B65D84" w:rsidRDefault="008E0992" w:rsidP="00B65D84">
      <w:pPr>
        <w:pStyle w:val="NormalWeb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65D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المقدّمة</w:t>
      </w:r>
    </w:p>
    <w:p w14:paraId="2A2BAF2C" w14:textId="6AC25BBB" w:rsidR="008E0992" w:rsidRPr="00B65D84" w:rsidRDefault="008E0992" w:rsidP="00B65D84">
      <w:pPr>
        <w:pStyle w:val="NormalWeb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65D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الفصول</w:t>
      </w:r>
    </w:p>
    <w:p w14:paraId="7B19AA7E" w14:textId="053CA6FA" w:rsidR="008E0992" w:rsidRPr="00B65D84" w:rsidRDefault="008E0992" w:rsidP="00B65D84">
      <w:pPr>
        <w:pStyle w:val="NormalWeb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65D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الخاتمة</w:t>
      </w:r>
    </w:p>
    <w:p w14:paraId="228A6BE9" w14:textId="5947F6C2" w:rsidR="008E0992" w:rsidRPr="00B65D84" w:rsidRDefault="008E0992" w:rsidP="00B65D84">
      <w:pPr>
        <w:pStyle w:val="NormalWeb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65D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المصادر والمراجع</w:t>
      </w:r>
    </w:p>
    <w:p w14:paraId="38D24E5D" w14:textId="7715101C" w:rsidR="008E0992" w:rsidRDefault="008E0992" w:rsidP="008E0992">
      <w:pPr>
        <w:pStyle w:val="NormalWeb"/>
        <w:bidi/>
        <w:jc w:val="center"/>
        <w:rPr>
          <w:rFonts w:cstheme="majorBidi"/>
          <w:b/>
          <w:bCs/>
          <w:rtl/>
        </w:rPr>
      </w:pPr>
    </w:p>
    <w:p w14:paraId="7E180990" w14:textId="6D457FBF" w:rsidR="008E0992" w:rsidRPr="00B65D84" w:rsidRDefault="008E0992" w:rsidP="00B65D84">
      <w:pPr>
        <w:pStyle w:val="NormalWeb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B65D84">
        <w:rPr>
          <w:rFonts w:ascii="Traditional Arabic" w:hAnsi="Traditional Arabic" w:cs="Traditional Arabic" w:hint="cs"/>
          <w:sz w:val="32"/>
          <w:szCs w:val="32"/>
          <w:rtl/>
        </w:rPr>
        <w:t xml:space="preserve">يجب إعداد الهوامش في المقالات وفقا لقواعد </w:t>
      </w:r>
      <w:r w:rsidRPr="004D2AC9">
        <w:rPr>
          <w:rFonts w:ascii="Traditional Arabic" w:hAnsi="Traditional Arabic" w:cs="Traditional Arabic" w:hint="cs"/>
          <w:sz w:val="32"/>
          <w:szCs w:val="32"/>
          <w:rtl/>
        </w:rPr>
        <w:t xml:space="preserve">الببليوغرافيا </w:t>
      </w:r>
      <w:r w:rsidRPr="00B65D84">
        <w:rPr>
          <w:rFonts w:ascii="Traditional Arabic" w:hAnsi="Traditional Arabic" w:cs="Traditional Arabic" w:hint="cs"/>
          <w:sz w:val="32"/>
          <w:szCs w:val="32"/>
          <w:rtl/>
        </w:rPr>
        <w:t>في المقالات العلمية والواردة في النّص. (انظر قائمة المراجع)</w:t>
      </w:r>
    </w:p>
    <w:p w14:paraId="5A32FC4B" w14:textId="4EC39497" w:rsidR="003E38BF" w:rsidRPr="00B65D84" w:rsidRDefault="003E38BF" w:rsidP="00B65D84">
      <w:pPr>
        <w:pStyle w:val="NormalWeb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B65D84">
        <w:rPr>
          <w:rFonts w:ascii="Traditional Arabic" w:hAnsi="Traditional Arabic" w:cs="Traditional Arabic" w:hint="cs"/>
          <w:sz w:val="32"/>
          <w:szCs w:val="32"/>
          <w:rtl/>
        </w:rPr>
        <w:t>الآراء الواردة في المقالات المنشورة في المجلّة ملزمة للمؤلفين. جميع المسؤوليّة القانونيّة للمقالات تقع على عاتق المؤلّفين.</w:t>
      </w:r>
    </w:p>
    <w:p w14:paraId="40284763" w14:textId="57D65306" w:rsidR="003E38BF" w:rsidRPr="00B65D84" w:rsidRDefault="003E38BF" w:rsidP="00B65D84">
      <w:pPr>
        <w:pStyle w:val="NormalWeb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B65D84">
        <w:rPr>
          <w:rFonts w:ascii="Traditional Arabic" w:hAnsi="Traditional Arabic" w:cs="Traditional Arabic" w:hint="cs"/>
          <w:sz w:val="32"/>
          <w:szCs w:val="32"/>
          <w:rtl/>
        </w:rPr>
        <w:t>لا يتم دفع أجرة التّ</w:t>
      </w:r>
      <w:r w:rsidR="006F4286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B65D84">
        <w:rPr>
          <w:rFonts w:ascii="Traditional Arabic" w:hAnsi="Traditional Arabic" w:cs="Traditional Arabic" w:hint="cs"/>
          <w:sz w:val="32"/>
          <w:szCs w:val="32"/>
          <w:rtl/>
        </w:rPr>
        <w:t>ليف للمقالات المنشورة. لا يمكن سحب المقال المنشور.</w:t>
      </w:r>
    </w:p>
    <w:p w14:paraId="3703883E" w14:textId="2602BF89" w:rsidR="003E38BF" w:rsidRPr="00B65D84" w:rsidRDefault="00C97DA8" w:rsidP="00B65D84">
      <w:pPr>
        <w:pStyle w:val="NormalWeb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B65D84">
        <w:rPr>
          <w:rFonts w:ascii="Traditional Arabic" w:hAnsi="Traditional Arabic" w:cs="Traditional Arabic" w:hint="cs"/>
          <w:sz w:val="32"/>
          <w:szCs w:val="32"/>
          <w:rtl/>
        </w:rPr>
        <w:t xml:space="preserve">يوصي بألا تتجاوز الدّراسات العلميّة المراد إرسالها </w:t>
      </w:r>
      <w:r w:rsidRPr="00B65D84">
        <w:rPr>
          <w:rFonts w:ascii="Traditional Arabic" w:hAnsi="Traditional Arabic" w:cs="Traditional Arabic" w:hint="cs"/>
          <w:sz w:val="32"/>
          <w:szCs w:val="32"/>
        </w:rPr>
        <w:t>20</w:t>
      </w:r>
      <w:r w:rsidRPr="00B65D84">
        <w:rPr>
          <w:rFonts w:ascii="Traditional Arabic" w:hAnsi="Traditional Arabic" w:cs="Traditional Arabic" w:hint="cs"/>
          <w:sz w:val="32"/>
          <w:szCs w:val="32"/>
          <w:rtl/>
        </w:rPr>
        <w:t xml:space="preserve"> صفحة. لا يمكن نشر </w:t>
      </w:r>
      <w:r w:rsidR="0064025E" w:rsidRPr="00B65D84">
        <w:rPr>
          <w:rFonts w:ascii="Traditional Arabic" w:hAnsi="Traditional Arabic" w:cs="Traditional Arabic" w:hint="cs"/>
          <w:sz w:val="32"/>
          <w:szCs w:val="32"/>
          <w:rtl/>
        </w:rPr>
        <w:t>أكثر من مقال لنفس المؤلّف في عدد واحد.</w:t>
      </w:r>
    </w:p>
    <w:p w14:paraId="527ABF23" w14:textId="11794899" w:rsidR="0064025E" w:rsidRPr="00B65D84" w:rsidRDefault="0064025E" w:rsidP="00B65D84">
      <w:pPr>
        <w:pStyle w:val="NormalWeb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65D84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يجب أن تصل الدراسات إلى المجلّة إلكترونيًا </w:t>
      </w:r>
      <w:r w:rsidR="008A7363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B65D8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65D84">
        <w:rPr>
          <w:rFonts w:ascii="Traditional Arabic" w:hAnsi="Traditional Arabic" w:cs="Traditional Arabic" w:hint="cs"/>
          <w:sz w:val="32"/>
          <w:szCs w:val="32"/>
        </w:rPr>
        <w:t>15</w:t>
      </w:r>
      <w:r w:rsidRPr="00B65D8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A7363">
        <w:rPr>
          <w:rFonts w:ascii="Traditional Arabic" w:hAnsi="Traditional Arabic" w:cs="Traditional Arabic" w:hint="cs"/>
          <w:sz w:val="32"/>
          <w:szCs w:val="32"/>
          <w:rtl/>
        </w:rPr>
        <w:t>نيسان</w:t>
      </w:r>
      <w:r w:rsidRPr="00B65D84">
        <w:rPr>
          <w:rFonts w:ascii="Traditional Arabic" w:hAnsi="Traditional Arabic" w:cs="Traditional Arabic" w:hint="cs"/>
          <w:sz w:val="32"/>
          <w:szCs w:val="32"/>
          <w:rtl/>
        </w:rPr>
        <w:t xml:space="preserve"> على أبعد تقدير بالنسبة لعدد يونيو </w:t>
      </w:r>
      <w:r w:rsidR="008A7363">
        <w:rPr>
          <w:rFonts w:ascii="Traditional Arabic" w:hAnsi="Traditional Arabic" w:cs="Traditional Arabic" w:hint="cs"/>
          <w:sz w:val="32"/>
          <w:szCs w:val="32"/>
          <w:rtl/>
        </w:rPr>
        <w:t>وحتى</w:t>
      </w:r>
      <w:r w:rsidRPr="00B65D8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65D84">
        <w:rPr>
          <w:rFonts w:ascii="Traditional Arabic" w:hAnsi="Traditional Arabic" w:cs="Traditional Arabic" w:hint="cs"/>
          <w:sz w:val="32"/>
          <w:szCs w:val="32"/>
        </w:rPr>
        <w:t>15</w:t>
      </w:r>
      <w:r w:rsidRPr="00B65D84">
        <w:rPr>
          <w:rFonts w:ascii="Traditional Arabic" w:hAnsi="Traditional Arabic" w:cs="Traditional Arabic" w:hint="cs"/>
          <w:sz w:val="32"/>
          <w:szCs w:val="32"/>
          <w:rtl/>
        </w:rPr>
        <w:t xml:space="preserve"> أكتوبر </w:t>
      </w:r>
      <w:r w:rsidR="00B65D84" w:rsidRPr="00B65D84">
        <w:rPr>
          <w:rFonts w:ascii="Traditional Arabic" w:hAnsi="Traditional Arabic" w:cs="Traditional Arabic" w:hint="cs"/>
          <w:sz w:val="32"/>
          <w:szCs w:val="32"/>
          <w:rtl/>
        </w:rPr>
        <w:t>على أبعد تقدير بالنسبة لعدد ديسمبر.</w:t>
      </w:r>
    </w:p>
    <w:p w14:paraId="74B033EC" w14:textId="3DB355D6" w:rsidR="00BC512A" w:rsidRPr="00F568A0" w:rsidRDefault="0065264A" w:rsidP="00EB78BD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F568A0">
        <w:rPr>
          <w:rFonts w:cstheme="majorBidi"/>
          <w:rtl/>
        </w:rPr>
        <w:t xml:space="preserve"> </w:t>
      </w:r>
    </w:p>
    <w:sectPr w:rsidR="00BC512A" w:rsidRPr="00F568A0" w:rsidSect="006A7C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4EFE"/>
    <w:multiLevelType w:val="hybridMultilevel"/>
    <w:tmpl w:val="5E82F3FC"/>
    <w:lvl w:ilvl="0" w:tplc="B5E0FD74">
      <w:start w:val="1"/>
      <w:numFmt w:val="decimalFullWidth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4"/>
        <w:szCs w:val="24"/>
        <w:lang w:val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573F"/>
    <w:multiLevelType w:val="hybridMultilevel"/>
    <w:tmpl w:val="A822C41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31756"/>
    <w:multiLevelType w:val="hybridMultilevel"/>
    <w:tmpl w:val="02606F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83FA9"/>
    <w:multiLevelType w:val="hybridMultilevel"/>
    <w:tmpl w:val="5792FDDA"/>
    <w:lvl w:ilvl="0" w:tplc="3A6A805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109AF"/>
    <w:multiLevelType w:val="hybridMultilevel"/>
    <w:tmpl w:val="EE049EF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B1"/>
    <w:rsid w:val="000F056C"/>
    <w:rsid w:val="00145023"/>
    <w:rsid w:val="00153D2C"/>
    <w:rsid w:val="00234287"/>
    <w:rsid w:val="002E1F2C"/>
    <w:rsid w:val="003355ED"/>
    <w:rsid w:val="00351EB0"/>
    <w:rsid w:val="003B2DE5"/>
    <w:rsid w:val="003E38BF"/>
    <w:rsid w:val="00407E66"/>
    <w:rsid w:val="004115E9"/>
    <w:rsid w:val="0044201A"/>
    <w:rsid w:val="00492E44"/>
    <w:rsid w:val="004D2AC9"/>
    <w:rsid w:val="004E4955"/>
    <w:rsid w:val="00525DE3"/>
    <w:rsid w:val="00545C64"/>
    <w:rsid w:val="005520EC"/>
    <w:rsid w:val="00563CF1"/>
    <w:rsid w:val="005803A4"/>
    <w:rsid w:val="0064025E"/>
    <w:rsid w:val="0065264A"/>
    <w:rsid w:val="00693A80"/>
    <w:rsid w:val="006A7CB1"/>
    <w:rsid w:val="006F4286"/>
    <w:rsid w:val="0071268C"/>
    <w:rsid w:val="007A1F55"/>
    <w:rsid w:val="00835D38"/>
    <w:rsid w:val="00874D0A"/>
    <w:rsid w:val="008A7363"/>
    <w:rsid w:val="008E0992"/>
    <w:rsid w:val="009870DE"/>
    <w:rsid w:val="009B5877"/>
    <w:rsid w:val="00A514AD"/>
    <w:rsid w:val="00A77484"/>
    <w:rsid w:val="00AB6305"/>
    <w:rsid w:val="00AF4B0C"/>
    <w:rsid w:val="00B65D84"/>
    <w:rsid w:val="00BC512A"/>
    <w:rsid w:val="00BD5039"/>
    <w:rsid w:val="00C8388D"/>
    <w:rsid w:val="00C97DA8"/>
    <w:rsid w:val="00D759FA"/>
    <w:rsid w:val="00DC41F6"/>
    <w:rsid w:val="00E10A77"/>
    <w:rsid w:val="00E241C1"/>
    <w:rsid w:val="00E43AAD"/>
    <w:rsid w:val="00EA1A53"/>
    <w:rsid w:val="00EB78BD"/>
    <w:rsid w:val="00ED6CCA"/>
    <w:rsid w:val="00F03564"/>
    <w:rsid w:val="00F31651"/>
    <w:rsid w:val="00F568A0"/>
    <w:rsid w:val="00F70BBB"/>
    <w:rsid w:val="00FE542F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224"/>
  <w15:chartTrackingRefBased/>
  <w15:docId w15:val="{A3DE5E56-2E6F-3345-B876-9AED6B4C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92E44"/>
    <w:pPr>
      <w:spacing w:before="120" w:after="120" w:line="360" w:lineRule="auto"/>
    </w:pPr>
    <w:rPr>
      <w:rFonts w:asciiTheme="majorBidi" w:hAnsiTheme="maj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7CB1"/>
    <w:pPr>
      <w:ind w:left="720"/>
      <w:contextualSpacing/>
    </w:pPr>
  </w:style>
  <w:style w:type="character" w:customStyle="1" w:styleId="rynqvb">
    <w:name w:val="rynqvb"/>
    <w:basedOn w:val="VarsaylanParagrafYazTipi"/>
    <w:rsid w:val="006A7CB1"/>
  </w:style>
  <w:style w:type="paragraph" w:styleId="NormalWeb">
    <w:name w:val="Normal (Web)"/>
    <w:basedOn w:val="Normal"/>
    <w:uiPriority w:val="99"/>
    <w:unhideWhenUsed/>
    <w:rsid w:val="000F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AB630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6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89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rgipark.org.tr/tr/pub/dinveins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TEKİN</dc:creator>
  <cp:keywords/>
  <dc:description/>
  <cp:lastModifiedBy>e</cp:lastModifiedBy>
  <cp:revision>5</cp:revision>
  <cp:lastPrinted>2023-03-21T03:17:00Z</cp:lastPrinted>
  <dcterms:created xsi:type="dcterms:W3CDTF">2023-03-21T03:17:00Z</dcterms:created>
  <dcterms:modified xsi:type="dcterms:W3CDTF">2023-05-28T09:35:00Z</dcterms:modified>
</cp:coreProperties>
</file>