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0E16D" w14:textId="77777777" w:rsidR="007F0927" w:rsidRPr="00846F4B" w:rsidRDefault="007F0927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296"/>
        <w:gridCol w:w="8248"/>
      </w:tblGrid>
      <w:tr w:rsidR="00846F4B" w:rsidRPr="007F0927" w14:paraId="4D8918E7" w14:textId="7777777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14:paraId="3924D476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No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14:paraId="54F77FBE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14:paraId="35EC83CD" w14:textId="77777777" w:rsidR="00846F4B" w:rsidRPr="007F0927" w:rsidRDefault="00846F4B" w:rsidP="002D6D3C"/>
        </w:tc>
      </w:tr>
      <w:tr w:rsidR="00846F4B" w:rsidRPr="007F0927" w14:paraId="4355FB33" w14:textId="7777777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14:paraId="1F8D300F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Makale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Başlığı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14:paraId="067976A3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14:paraId="7CC8EDC1" w14:textId="77777777" w:rsidR="00846F4B" w:rsidRPr="007F0927" w:rsidRDefault="00846F4B" w:rsidP="002D6D3C"/>
        </w:tc>
      </w:tr>
      <w:tr w:rsidR="00846F4B" w:rsidRPr="007F0927" w14:paraId="2180AA04" w14:textId="77777777" w:rsidTr="002D6D3C">
        <w:trPr>
          <w:trHeight w:val="567"/>
        </w:trPr>
        <w:tc>
          <w:tcPr>
            <w:tcW w:w="902" w:type="pct"/>
            <w:tcBorders>
              <w:right w:val="nil"/>
            </w:tcBorders>
            <w:shd w:val="clear" w:color="auto" w:fill="auto"/>
            <w:vAlign w:val="center"/>
          </w:tcPr>
          <w:p w14:paraId="5492B78E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Sorumlu</w:t>
            </w:r>
            <w:r>
              <w:rPr>
                <w:b/>
              </w:rPr>
              <w:t xml:space="preserve"> </w:t>
            </w:r>
            <w:r w:rsidRPr="007F0927">
              <w:rPr>
                <w:b/>
              </w:rPr>
              <w:t>Yazar</w:t>
            </w:r>
          </w:p>
        </w:tc>
        <w:tc>
          <w:tcPr>
            <w:tcW w:w="139" w:type="pct"/>
            <w:tcBorders>
              <w:left w:val="nil"/>
            </w:tcBorders>
            <w:shd w:val="clear" w:color="auto" w:fill="auto"/>
            <w:vAlign w:val="center"/>
          </w:tcPr>
          <w:p w14:paraId="1B98AF3C" w14:textId="77777777" w:rsidR="00846F4B" w:rsidRPr="007F0927" w:rsidRDefault="00846F4B" w:rsidP="002D6D3C">
            <w:pPr>
              <w:rPr>
                <w:b/>
              </w:rPr>
            </w:pPr>
            <w:r w:rsidRPr="007F0927">
              <w:rPr>
                <w:b/>
              </w:rPr>
              <w:t>:</w:t>
            </w:r>
          </w:p>
        </w:tc>
        <w:tc>
          <w:tcPr>
            <w:tcW w:w="3959" w:type="pct"/>
            <w:vAlign w:val="center"/>
          </w:tcPr>
          <w:p w14:paraId="4B8752CF" w14:textId="77777777" w:rsidR="00846F4B" w:rsidRPr="007F0927" w:rsidRDefault="00846F4B" w:rsidP="002D6D3C"/>
        </w:tc>
      </w:tr>
    </w:tbl>
    <w:p w14:paraId="6007149F" w14:textId="77777777" w:rsidR="00846F4B" w:rsidRPr="00846F4B" w:rsidRDefault="00846F4B" w:rsidP="00846F4B">
      <w:pPr>
        <w:pStyle w:val="KonuBal"/>
        <w:spacing w:line="240" w:lineRule="auto"/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"/>
        <w:gridCol w:w="8565"/>
        <w:gridCol w:w="776"/>
        <w:gridCol w:w="637"/>
      </w:tblGrid>
      <w:tr w:rsidR="00846F4B" w:rsidRPr="008A0729" w14:paraId="7999310B" w14:textId="77777777" w:rsidTr="00C13D13">
        <w:trPr>
          <w:trHeight w:val="567"/>
          <w:tblHeader/>
        </w:trPr>
        <w:tc>
          <w:tcPr>
            <w:tcW w:w="4317" w:type="pct"/>
            <w:gridSpan w:val="2"/>
            <w:shd w:val="clear" w:color="auto" w:fill="auto"/>
            <w:noWrap/>
            <w:vAlign w:val="center"/>
            <w:hideMark/>
          </w:tcPr>
          <w:p w14:paraId="0AAF084F" w14:textId="77777777"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MAKALE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FORMATI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ÖN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KONTROL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İNCELEME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b/>
                <w:bCs/>
                <w:color w:val="000000"/>
                <w:sz w:val="22"/>
                <w:szCs w:val="22"/>
              </w:rPr>
              <w:t>FORMU</w:t>
            </w:r>
          </w:p>
        </w:tc>
        <w:tc>
          <w:tcPr>
            <w:tcW w:w="375" w:type="pct"/>
            <w:shd w:val="clear" w:color="auto" w:fill="auto"/>
            <w:noWrap/>
            <w:vAlign w:val="center"/>
            <w:hideMark/>
          </w:tcPr>
          <w:p w14:paraId="77DE6B6E" w14:textId="77777777"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Uygun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14:paraId="2ACC45A9" w14:textId="77777777" w:rsidR="00846F4B" w:rsidRPr="008A0729" w:rsidRDefault="00846F4B" w:rsidP="002D6D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0729">
              <w:rPr>
                <w:b/>
                <w:bCs/>
                <w:color w:val="000000"/>
                <w:sz w:val="22"/>
                <w:szCs w:val="22"/>
              </w:rPr>
              <w:t>Değil</w:t>
            </w:r>
          </w:p>
        </w:tc>
      </w:tr>
      <w:tr w:rsidR="00846F4B" w:rsidRPr="008A0729" w14:paraId="4301436C" w14:textId="77777777" w:rsidTr="0023243F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04FB6C3C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14:paraId="3C73E960" w14:textId="77777777"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sözleşmesi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tarafından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imzalanmalı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211389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5CCEED4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63256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1F30485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14:paraId="479D5FF6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2846FA9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4DBC6FAD" w14:textId="77777777"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üst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alan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sz w:val="22"/>
                <w:szCs w:val="22"/>
                <w:u w:val="single"/>
              </w:rPr>
              <w:t>Türkçe ve İngilizce kısımlar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doğru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eksiksiz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6302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51150C0D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8671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F7C1E26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14:paraId="1CBA12BB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B773721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278AFA3B" w14:textId="77777777"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Microsoft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Word,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LibreOffice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New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Roman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tipinde,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punto,</w:t>
            </w:r>
            <w:r>
              <w:rPr>
                <w:sz w:val="22"/>
                <w:szCs w:val="22"/>
              </w:rPr>
              <w:t xml:space="preserve"> 1,5 satır aralığında, </w:t>
            </w:r>
            <w:r w:rsidRPr="008A0729">
              <w:rPr>
                <w:sz w:val="22"/>
                <w:szCs w:val="22"/>
              </w:rPr>
              <w:t>A4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boyutunda,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cm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docx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kaydedilmeli</w:t>
            </w:r>
          </w:p>
        </w:tc>
        <w:sdt>
          <w:sdtPr>
            <w:rPr>
              <w:sz w:val="22"/>
              <w:szCs w:val="22"/>
            </w:rPr>
            <w:id w:val="62535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9AE6C0C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7467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373CE31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14:paraId="43C825FC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96D5D1D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399D875" w14:textId="77777777"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Sayfalar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köşeden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-44600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2011DFD1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429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8C40A33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14:paraId="29408E03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0661E1E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189E627B" w14:textId="77777777" w:rsidR="00846F4B" w:rsidRPr="008A0729" w:rsidRDefault="00846F4B" w:rsidP="002D6D3C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baştan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başlayacak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satır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eklenmeli</w:t>
            </w:r>
          </w:p>
        </w:tc>
        <w:sdt>
          <w:sdtPr>
            <w:rPr>
              <w:sz w:val="22"/>
              <w:szCs w:val="22"/>
            </w:rPr>
            <w:id w:val="60747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0F34CCA6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4161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79BA61D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46F4B" w:rsidRPr="008A0729" w14:paraId="0CEDB639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C94DD16" w14:textId="77777777" w:rsidR="00846F4B" w:rsidRPr="008A0729" w:rsidRDefault="00846F4B" w:rsidP="002D6D3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5F26038" w14:textId="77777777" w:rsidR="00D67B01" w:rsidRPr="008A0729" w:rsidRDefault="00846F4B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makalelerin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sayfasında;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soyadı,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ORCID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bilgileri,</w:t>
            </w:r>
            <w:r>
              <w:rPr>
                <w:sz w:val="22"/>
                <w:szCs w:val="22"/>
              </w:rPr>
              <w:t xml:space="preserve"> a</w:t>
            </w:r>
            <w:r w:rsidRPr="008A0729">
              <w:rPr>
                <w:sz w:val="22"/>
                <w:szCs w:val="22"/>
              </w:rPr>
              <w:t>dresleri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yazışmadan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sorumlu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bilgileri</w:t>
            </w:r>
            <w:r>
              <w:rPr>
                <w:sz w:val="22"/>
                <w:szCs w:val="22"/>
              </w:rPr>
              <w:t xml:space="preserve"> İngilizce olarak verilmelidir (Kapak sayfası makaleden ayrı bir dosya olarak yüklenmelidir.)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soyadları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unvan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-178527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E622C46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1803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37492A6F" w14:textId="77777777" w:rsidR="00846F4B" w:rsidRPr="008A0729" w:rsidRDefault="00846F4B" w:rsidP="002D6D3C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5D5025CE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167470A4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C120572" w14:textId="77777777" w:rsidR="00D67B01" w:rsidRPr="008A0729" w:rsidRDefault="00D67B01" w:rsidP="00C13D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Ayrıca kapak sayfasında </w:t>
            </w:r>
            <w:r w:rsidR="00B92563">
              <w:rPr>
                <w:sz w:val="22"/>
                <w:szCs w:val="22"/>
              </w:rPr>
              <w:t>t</w:t>
            </w:r>
            <w:r w:rsidR="00B22E68">
              <w:rPr>
                <w:sz w:val="22"/>
                <w:szCs w:val="22"/>
              </w:rPr>
              <w:t>eşekkür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(eğer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gerekli</w:t>
            </w:r>
            <w:r w:rsidR="00B92563">
              <w:rPr>
                <w:sz w:val="22"/>
                <w:szCs w:val="22"/>
              </w:rPr>
              <w:t xml:space="preserve"> </w:t>
            </w:r>
            <w:r w:rsidR="00B92563" w:rsidRPr="008A0729">
              <w:rPr>
                <w:sz w:val="22"/>
                <w:szCs w:val="22"/>
              </w:rPr>
              <w:t>ise)</w:t>
            </w:r>
            <w:r w:rsidR="00B22E68">
              <w:rPr>
                <w:sz w:val="22"/>
                <w:szCs w:val="22"/>
              </w:rPr>
              <w:t xml:space="preserve">, </w:t>
            </w:r>
            <w:r w:rsidR="00B92563">
              <w:rPr>
                <w:sz w:val="22"/>
                <w:szCs w:val="22"/>
              </w:rPr>
              <w:t>e</w:t>
            </w:r>
            <w:r w:rsidRPr="00644703">
              <w:rPr>
                <w:sz w:val="22"/>
                <w:szCs w:val="22"/>
              </w:rPr>
              <w:t>tik kurul onayı</w:t>
            </w:r>
            <w:r>
              <w:rPr>
                <w:sz w:val="22"/>
                <w:szCs w:val="22"/>
              </w:rPr>
              <w:t xml:space="preserve"> ve </w:t>
            </w:r>
            <w:r w:rsidR="00B92563">
              <w:rPr>
                <w:sz w:val="22"/>
                <w:szCs w:val="22"/>
              </w:rPr>
              <w:t>ç</w:t>
            </w:r>
            <w:r w:rsidRPr="00644703">
              <w:rPr>
                <w:sz w:val="22"/>
                <w:szCs w:val="22"/>
              </w:rPr>
              <w:t>ıkar çatışması</w:t>
            </w:r>
            <w:r>
              <w:rPr>
                <w:sz w:val="22"/>
                <w:szCs w:val="22"/>
              </w:rPr>
              <w:t xml:space="preserve"> ile ilgili metinler yer almalıdır.</w:t>
            </w:r>
            <w:r w:rsidR="00C13D13">
              <w:rPr>
                <w:sz w:val="22"/>
                <w:szCs w:val="22"/>
              </w:rPr>
              <w:t xml:space="preserve"> </w:t>
            </w:r>
            <w:r w:rsidR="00C13D13" w:rsidRPr="00C13D13">
              <w:rPr>
                <w:b/>
                <w:sz w:val="22"/>
                <w:szCs w:val="22"/>
                <w:u w:val="single"/>
              </w:rPr>
              <w:t>Yazar bilgileri ve teşekkür bölümler, makale ana dosyasından silinmeli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2A678CEE" w14:textId="77777777"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19647DF" w14:textId="77777777" w:rsidR="00D67B01" w:rsidRDefault="00D67B01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14:paraId="095558E1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66C729F9" w14:textId="77777777" w:rsidR="00D67B01" w:rsidRPr="008A0729" w:rsidRDefault="00D67B01" w:rsidP="00D67B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1A22302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Ortadan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Hizalı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İlk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Harfleri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</w:t>
            </w:r>
            <w:proofErr w:type="gramStart"/>
            <w:r w:rsidRPr="008A0729">
              <w:rPr>
                <w:sz w:val="22"/>
                <w:szCs w:val="22"/>
              </w:rPr>
              <w:t>ve,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vs.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hariç).</w:t>
            </w:r>
          </w:p>
        </w:tc>
        <w:sdt>
          <w:sdtPr>
            <w:rPr>
              <w:sz w:val="22"/>
              <w:szCs w:val="22"/>
            </w:rPr>
            <w:id w:val="-19486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425A645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467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36874CA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03D894BD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A3F6E01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5E6BF407" w14:textId="77777777" w:rsidR="00D67B01" w:rsidRPr="008A0729" w:rsidRDefault="00D67B01" w:rsidP="00D67B0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Kapak sayfasında </w:t>
            </w:r>
            <w:r w:rsidRPr="008A0729">
              <w:rPr>
                <w:color w:val="000000"/>
                <w:sz w:val="22"/>
                <w:szCs w:val="22"/>
              </w:rPr>
              <w:t>ORCID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numarası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color w:val="000000"/>
                <w:sz w:val="22"/>
                <w:szCs w:val="22"/>
              </w:rPr>
              <w:t>gösterimi</w:t>
            </w:r>
            <w:r>
              <w:rPr>
                <w:color w:val="000000"/>
                <w:sz w:val="22"/>
                <w:szCs w:val="22"/>
              </w:rPr>
              <w:t xml:space="preserve"> Yazar Adı SOYADI</w:t>
            </w:r>
            <w:r w:rsidRPr="008A0729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8A0729">
                <w:rPr>
                  <w:rStyle w:val="Kpr"/>
                  <w:sz w:val="22"/>
                  <w:szCs w:val="22"/>
                </w:rPr>
                <w:t>http://orcid.org/0000-0000-0000-0000</w:t>
              </w:r>
            </w:hyperlink>
            <w:r>
              <w:rPr>
                <w:color w:val="000000"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color w:val="000000"/>
              <w:sz w:val="22"/>
              <w:szCs w:val="22"/>
            </w:rPr>
            <w:id w:val="-128704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6E7D9E4F" w14:textId="77777777"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2"/>
              <w:szCs w:val="22"/>
            </w:rPr>
            <w:id w:val="32787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42F40DF" w14:textId="77777777" w:rsidR="00D67B01" w:rsidRPr="008A0729" w:rsidRDefault="00D67B01" w:rsidP="00D67B01">
                <w:pPr>
                  <w:jc w:val="center"/>
                  <w:rPr>
                    <w:color w:val="000000"/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093A72FE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6CED574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7DF7EDB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olacak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türlerinde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250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esas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içermeli</w:t>
            </w:r>
          </w:p>
        </w:tc>
        <w:sdt>
          <w:sdtPr>
            <w:rPr>
              <w:sz w:val="22"/>
              <w:szCs w:val="22"/>
            </w:rPr>
            <w:id w:val="-1783331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04128ED9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234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6FED4E6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24854B6D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25A4248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7BAD8CFC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Özetten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başlığında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geçmeyen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fazla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-35581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C068EAA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00335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329BF7FC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62E645FE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8AB5603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500F7A85" w14:textId="77777777" w:rsidR="00D67B01" w:rsidRPr="008A0729" w:rsidRDefault="00D67B01" w:rsidP="000A21C9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</w:t>
            </w:r>
            <w:r w:rsidR="00C13D13">
              <w:rPr>
                <w:sz w:val="22"/>
                <w:szCs w:val="22"/>
              </w:rPr>
              <w:t>den sadece birinci anahtar kelimenin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ilk</w:t>
            </w:r>
            <w:r>
              <w:rPr>
                <w:sz w:val="22"/>
                <w:szCs w:val="22"/>
              </w:rPr>
              <w:t xml:space="preserve"> </w:t>
            </w:r>
            <w:r w:rsidR="000A21C9">
              <w:rPr>
                <w:sz w:val="22"/>
                <w:szCs w:val="22"/>
              </w:rPr>
              <w:t>harf</w:t>
            </w:r>
            <w:r w:rsidRPr="008A072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büyük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 w:rsidR="000A21C9">
              <w:rPr>
                <w:sz w:val="22"/>
                <w:szCs w:val="22"/>
              </w:rPr>
              <w:t xml:space="preserve"> Anahtar kelimeler</w:t>
            </w:r>
            <w:r w:rsidR="000A21C9" w:rsidRPr="000A21C9"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r w:rsidR="000A21C9">
              <w:rPr>
                <w:sz w:val="22"/>
                <w:szCs w:val="22"/>
              </w:rPr>
              <w:t>,</w:t>
            </w:r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</w:t>
            </w:r>
            <w:proofErr w:type="spellStart"/>
            <w:r w:rsidRPr="008A0729">
              <w:rPr>
                <w:sz w:val="22"/>
                <w:szCs w:val="22"/>
              </w:rPr>
              <w:t>Keywords</w:t>
            </w:r>
            <w:proofErr w:type="spellEnd"/>
            <w:r w:rsidRPr="008A0729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>koyu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yazılmalı</w:t>
            </w:r>
          </w:p>
        </w:tc>
        <w:sdt>
          <w:sdtPr>
            <w:rPr>
              <w:sz w:val="22"/>
              <w:szCs w:val="22"/>
            </w:rPr>
            <w:id w:val="202829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7CDC1A74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4236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2EFC1B0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3D1BE431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3717FEEF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2E9BF29D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fark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etmeksizin)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ardından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3293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2FB7381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38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2EEC58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0BB5E63C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20E0F14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206565F5" w14:textId="77777777" w:rsidR="00D67B01" w:rsidRPr="008A0729" w:rsidRDefault="00D67B01" w:rsidP="00B92563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Düzeni:</w:t>
            </w:r>
            <w:r>
              <w:rPr>
                <w:sz w:val="22"/>
                <w:szCs w:val="22"/>
              </w:rPr>
              <w:t xml:space="preserve"> Kapak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isimleri,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adresleri,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iletişime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geçilen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>, ORCID numaraları</w:t>
            </w:r>
            <w:r w:rsidRPr="008A072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ayrı olarak yüklenmeli,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anahtar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kelimeler),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(Giriş,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Tartışma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="00B92563">
              <w:rPr>
                <w:sz w:val="22"/>
                <w:szCs w:val="22"/>
              </w:rPr>
              <w:t xml:space="preserve">Sonuçlar)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Bunun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akabinde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yazılarını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takiben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</w:t>
            </w:r>
          </w:p>
        </w:tc>
        <w:sdt>
          <w:sdtPr>
            <w:rPr>
              <w:sz w:val="22"/>
              <w:szCs w:val="22"/>
            </w:rPr>
            <w:id w:val="-9224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6D052CDC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63752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A96F159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6CF876D6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5C4E4BDC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42C11C60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fotoğraf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çizimler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adlandırılmalıdır.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edilmelidir.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devam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98698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056A6678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853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DE9CA08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073D9A22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12F3D918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2FDC302E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İllüstrasyon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diğer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materyaller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orijinal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alıntılandığı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telif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hakkı/kullanım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uygunluğu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</w:p>
        </w:tc>
        <w:sdt>
          <w:sdtPr>
            <w:rPr>
              <w:sz w:val="22"/>
              <w:szCs w:val="22"/>
            </w:rPr>
            <w:id w:val="33873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2D3132F9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2224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37D4143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64735C6F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614EC851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2667AD95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Tablolar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(*.</w:t>
            </w:r>
            <w:proofErr w:type="spellStart"/>
            <w:r w:rsidRPr="008A0729">
              <w:rPr>
                <w:sz w:val="22"/>
                <w:szCs w:val="22"/>
              </w:rPr>
              <w:t>xls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*.</w:t>
            </w:r>
            <w:proofErr w:type="spellStart"/>
            <w:r w:rsidRPr="008A0729">
              <w:rPr>
                <w:sz w:val="22"/>
                <w:szCs w:val="22"/>
              </w:rPr>
              <w:t>xlsx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</w:t>
            </w:r>
            <w:proofErr w:type="spellStart"/>
            <w:r w:rsidRPr="008A0729">
              <w:rPr>
                <w:sz w:val="22"/>
                <w:szCs w:val="22"/>
              </w:rPr>
              <w:t>jpeg</w:t>
            </w:r>
            <w:proofErr w:type="spellEnd"/>
            <w:r w:rsidRPr="008A072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tiff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A0729">
              <w:rPr>
                <w:sz w:val="22"/>
                <w:szCs w:val="22"/>
              </w:rPr>
              <w:t>png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formatında)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dosya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20642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727B0504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515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47C6D20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14:paraId="50378F1E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38ADF93F" w14:textId="77777777" w:rsidR="0023243F" w:rsidRPr="008A0729" w:rsidRDefault="0023243F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53FC773" w14:textId="77777777" w:rsidR="0023243F" w:rsidRPr="008A0729" w:rsidRDefault="0023243F" w:rsidP="00D67B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Şekiller birden fazla bölüm içeriyorsa (Şekil 1a, Şekil 1b, Şekil 1c), Tüm bölümler bir tek dosya olarak sisteme yüklenmeli, ayrı ayı dosyalar olarak yüklenmemeli</w:t>
            </w: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7AD326EB" w14:textId="77777777"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18902A8" w14:textId="77777777" w:rsidR="0023243F" w:rsidRDefault="0023243F" w:rsidP="00D67B01">
            <w:pPr>
              <w:jc w:val="center"/>
              <w:rPr>
                <w:sz w:val="22"/>
                <w:szCs w:val="22"/>
              </w:rPr>
            </w:pPr>
          </w:p>
        </w:tc>
      </w:tr>
      <w:tr w:rsidR="00D67B01" w:rsidRPr="008A0729" w14:paraId="6E382777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E7A528D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35BDF790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Düzeni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</w:t>
            </w:r>
          </w:p>
        </w:tc>
        <w:sdt>
          <w:sdtPr>
            <w:rPr>
              <w:sz w:val="22"/>
              <w:szCs w:val="22"/>
            </w:rPr>
            <w:id w:val="1143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53CF3165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2211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4EA6C09D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2FBCEE72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B4EF7AA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1F802348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1. Giriş: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geçmişte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araştırmalar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özetlenmeli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paragrafta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amacı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belirtilmelidir.</w:t>
            </w:r>
          </w:p>
        </w:tc>
        <w:sdt>
          <w:sdtPr>
            <w:rPr>
              <w:sz w:val="22"/>
              <w:szCs w:val="22"/>
            </w:rPr>
            <w:id w:val="-122028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1D631A3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0481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13B01B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6196C188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E144AA6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B80CE32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2. Materyal ve Metot: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deney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arazi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alınan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izinler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yeterli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(Özellikle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Etik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Kurul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b/>
                <w:sz w:val="22"/>
                <w:szCs w:val="22"/>
              </w:rPr>
              <w:t>İzni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yüklenmelidir).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sadece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yeni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metodun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detaylı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tanımlanması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aksi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gereksiz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tekrardan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1932260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77332CC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1036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970A5D6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2A153DB9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6F8B607C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51016C55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3. Bulgular: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bulguları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Aynı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verileri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vermekten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kaçınılmalı</w:t>
            </w:r>
          </w:p>
        </w:tc>
        <w:sdt>
          <w:sdtPr>
            <w:rPr>
              <w:sz w:val="22"/>
              <w:szCs w:val="22"/>
            </w:rPr>
            <w:id w:val="117067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3EA5D950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7789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B8EA32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5195871A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0BEDAB1E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37CA4742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4. Tartışma: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önemi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makalenin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amaçlarıyla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ilişkilerini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çalışmanın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sonuçları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konu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hakkında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bildiklerimizin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nasıl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etkilendiği,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ilgili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literatüre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açıklanmalı</w:t>
            </w:r>
          </w:p>
        </w:tc>
        <w:sdt>
          <w:sdtPr>
            <w:rPr>
              <w:sz w:val="22"/>
              <w:szCs w:val="22"/>
            </w:rPr>
            <w:id w:val="16744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661C9301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5820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1407A0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50F49A76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06CCB55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18C16262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C13D13">
              <w:rPr>
                <w:b/>
                <w:sz w:val="22"/>
                <w:szCs w:val="22"/>
              </w:rPr>
              <w:t>Kısa makale: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genellikle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sayfadan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olarak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makalelerdir.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Öncelikle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Öz,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sunulmalı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daha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bölüm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</w:t>
            </w:r>
            <w:r w:rsidR="00C13D13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30798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DE80FA9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339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AAD99DD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4A40A0FA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52D67F47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9DD9B8A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Her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bulunduğu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başlık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altında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kendi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numaralandırılmalıdır.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Örneğin;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2.1.,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2.2.,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vb.</w:t>
            </w:r>
          </w:p>
        </w:tc>
        <w:sdt>
          <w:sdtPr>
            <w:rPr>
              <w:sz w:val="22"/>
              <w:szCs w:val="22"/>
            </w:rPr>
            <w:id w:val="12535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5A4C15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604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C992580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1F9A700F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2C6C6BDE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5672DD58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atıflar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arasında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</w:t>
            </w:r>
          </w:p>
        </w:tc>
        <w:sdt>
          <w:sdtPr>
            <w:rPr>
              <w:sz w:val="22"/>
              <w:szCs w:val="22"/>
            </w:rPr>
            <w:id w:val="-25220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0FA24D91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687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08669EC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D67B01" w:rsidRPr="008A0729" w14:paraId="4577AD17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02C9A374" w14:textId="77777777" w:rsidR="00D67B01" w:rsidRPr="008A0729" w:rsidRDefault="00D67B01" w:rsidP="00D67B0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C904EDE" w14:textId="77777777" w:rsidR="00D67B01" w:rsidRPr="008A0729" w:rsidRDefault="00D67B01" w:rsidP="00D67B01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dili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Türkçe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gerekse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İngilizce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olsun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çoklu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yazarlarda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“et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al.”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Hiçbir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makale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türünde</w:t>
            </w:r>
            <w:r>
              <w:rPr>
                <w:sz w:val="22"/>
                <w:szCs w:val="22"/>
              </w:rPr>
              <w:t xml:space="preserve"> </w:t>
            </w:r>
            <w:r w:rsidRPr="00C13D13">
              <w:rPr>
                <w:b/>
                <w:sz w:val="22"/>
                <w:szCs w:val="22"/>
              </w:rPr>
              <w:t>ve ark.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veya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13D13">
              <w:rPr>
                <w:b/>
                <w:sz w:val="22"/>
                <w:szCs w:val="22"/>
              </w:rPr>
              <w:t>vd</w:t>
            </w:r>
            <w:proofErr w:type="spellEnd"/>
            <w:r w:rsidRPr="00C13D13">
              <w:rPr>
                <w:b/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gibi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kısaltmalar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kullanılmamalı</w:t>
            </w:r>
          </w:p>
        </w:tc>
        <w:sdt>
          <w:sdtPr>
            <w:rPr>
              <w:sz w:val="22"/>
              <w:szCs w:val="22"/>
            </w:rPr>
            <w:id w:val="129934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72E5732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3182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7D3DAA4" w14:textId="77777777" w:rsidR="00D67B01" w:rsidRPr="008A0729" w:rsidRDefault="00D67B01" w:rsidP="00D67B01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257D65E2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1B3835E8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5678C3FF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“%”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işaretinden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sonra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boşluk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olmamal</w:t>
            </w:r>
            <w:r w:rsidR="00C13D13">
              <w:rPr>
                <w:sz w:val="22"/>
                <w:szCs w:val="22"/>
              </w:rPr>
              <w:t>ı</w:t>
            </w:r>
          </w:p>
        </w:tc>
        <w:sdt>
          <w:sdtPr>
            <w:rPr>
              <w:sz w:val="22"/>
              <w:szCs w:val="22"/>
            </w:rPr>
            <w:id w:val="-86544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7203E8BF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485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1B04E2CC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74218F03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56BA444D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42DB1677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tablolarda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kullanılan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Ondalık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sayılar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“virgül”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değil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“nokta”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="00C13D13">
              <w:rPr>
                <w:sz w:val="22"/>
                <w:szCs w:val="22"/>
              </w:rPr>
              <w:t xml:space="preserve">ayrılmalı </w:t>
            </w:r>
            <w:r w:rsidRPr="008A0729">
              <w:rPr>
                <w:sz w:val="22"/>
                <w:szCs w:val="22"/>
              </w:rPr>
              <w:t>(ör: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10.25)</w:t>
            </w:r>
          </w:p>
        </w:tc>
        <w:sdt>
          <w:sdtPr>
            <w:rPr>
              <w:sz w:val="22"/>
              <w:szCs w:val="22"/>
            </w:rPr>
            <w:id w:val="-83576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69F99A8F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2480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7AB5D28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1A006615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46784ADE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FDD0C54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Yazım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denetimi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yapılmış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olmalıdır.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Metin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içerisinde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siyah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renkte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-207480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2E2EB8A6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318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516E92BE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383C5F18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1C58EC0D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  <w:hideMark/>
          </w:tcPr>
          <w:p w14:paraId="1A647FF3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yazılırken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iki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yana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yaslı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alfabetik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sırada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olmalı</w:t>
            </w:r>
          </w:p>
        </w:tc>
        <w:sdt>
          <w:sdtPr>
            <w:rPr>
              <w:sz w:val="22"/>
              <w:szCs w:val="22"/>
            </w:rPr>
            <w:id w:val="68116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C8D3CDC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0549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1648482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5976A37A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F18FCE6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7CAAF3F2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Kaynakların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sonunda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mutlaka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numaraları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verilmeli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ayrıca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I </w:t>
            </w:r>
            <w:r w:rsidRPr="008A0729">
              <w:rPr>
                <w:sz w:val="22"/>
                <w:szCs w:val="22"/>
              </w:rPr>
              <w:t>yazımları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https://doi.org/10.1007/s00606-002-0144-0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şeklinde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yapılmalı</w:t>
            </w:r>
          </w:p>
        </w:tc>
        <w:sdt>
          <w:sdtPr>
            <w:rPr>
              <w:sz w:val="22"/>
              <w:szCs w:val="22"/>
            </w:rPr>
            <w:id w:val="21237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455D7670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008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2D957357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53B92A65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376A551D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550128E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 w:rsidRPr="008A0729">
              <w:rPr>
                <w:sz w:val="22"/>
                <w:szCs w:val="22"/>
              </w:rPr>
              <w:t>Makalenizin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herhangi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bir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intihal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programı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aracılığı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ile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aldığınız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benzerlik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raporu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sisteme</w:t>
            </w:r>
            <w:r>
              <w:rPr>
                <w:sz w:val="22"/>
                <w:szCs w:val="22"/>
              </w:rPr>
              <w:t xml:space="preserve"> </w:t>
            </w:r>
            <w:r w:rsidRPr="008A0729">
              <w:rPr>
                <w:sz w:val="22"/>
                <w:szCs w:val="22"/>
              </w:rPr>
              <w:t>yüklenmeli</w:t>
            </w:r>
          </w:p>
        </w:tc>
        <w:sdt>
          <w:sdtPr>
            <w:rPr>
              <w:sz w:val="22"/>
              <w:szCs w:val="22"/>
            </w:rPr>
            <w:id w:val="-12030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6BE47CF8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8635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379B1674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38A6660D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019C3EC2" w14:textId="77777777" w:rsidR="007F2A9D" w:rsidRPr="008A0729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22058B0" w14:textId="77777777" w:rsidR="007F2A9D" w:rsidRPr="008A0729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Kaynaklarda verilen tüm literatürler metinde atıf edilmeli</w:t>
            </w:r>
          </w:p>
        </w:tc>
        <w:sdt>
          <w:sdtPr>
            <w:rPr>
              <w:sz w:val="22"/>
              <w:szCs w:val="22"/>
            </w:rPr>
            <w:id w:val="-82211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0DF74B55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368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6311B054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F2A9D" w:rsidRPr="008A0729" w14:paraId="155BDA25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62A5CAE6" w14:textId="77777777" w:rsidR="007F2A9D" w:rsidRDefault="007F2A9D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0D65D304" w14:textId="77777777" w:rsidR="007F2A9D" w:rsidRDefault="007F2A9D" w:rsidP="007F2A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Metin içinde kullanılan tüm literatürler, kaynaklar listesinde verilmeli</w:t>
            </w:r>
          </w:p>
        </w:tc>
        <w:sdt>
          <w:sdtPr>
            <w:rPr>
              <w:sz w:val="22"/>
              <w:szCs w:val="22"/>
            </w:rPr>
            <w:id w:val="9827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165D04CA" w14:textId="77777777" w:rsidR="007F2A9D" w:rsidRPr="008A0729" w:rsidRDefault="0023243F" w:rsidP="007F2A9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22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098D860A" w14:textId="77777777" w:rsidR="007F2A9D" w:rsidRPr="008A0729" w:rsidRDefault="007F2A9D" w:rsidP="007F2A9D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14:paraId="6C9D9DA0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FCC6CDE" w14:textId="77777777" w:rsidR="0023243F" w:rsidRDefault="0023243F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60798006" w14:textId="77777777" w:rsidR="0023243F" w:rsidRDefault="0023243F" w:rsidP="002324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Türkçe Yazılan makalelerde, tüm, Tablo ve Şekil yazıları İngilizce olarak ta verilmeli</w:t>
            </w:r>
          </w:p>
        </w:tc>
        <w:sdt>
          <w:sdtPr>
            <w:rPr>
              <w:sz w:val="22"/>
              <w:szCs w:val="22"/>
            </w:rPr>
            <w:id w:val="-191091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pct"/>
                <w:shd w:val="clear" w:color="auto" w:fill="auto"/>
                <w:noWrap/>
                <w:vAlign w:val="center"/>
              </w:tcPr>
              <w:p w14:paraId="30315E4B" w14:textId="77777777"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23011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8" w:type="pct"/>
                <w:shd w:val="clear" w:color="auto" w:fill="auto"/>
                <w:noWrap/>
                <w:vAlign w:val="center"/>
              </w:tcPr>
              <w:p w14:paraId="70FB1D3D" w14:textId="77777777" w:rsidR="0023243F" w:rsidRPr="008A0729" w:rsidRDefault="0023243F" w:rsidP="00F6111F">
                <w:pPr>
                  <w:jc w:val="center"/>
                  <w:rPr>
                    <w:sz w:val="22"/>
                    <w:szCs w:val="22"/>
                  </w:rPr>
                </w:pPr>
                <w:r w:rsidRPr="008A072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3243F" w:rsidRPr="008A0729" w14:paraId="3D2C6F36" w14:textId="77777777" w:rsidTr="00C13D13">
        <w:trPr>
          <w:trHeight w:val="567"/>
        </w:trPr>
        <w:tc>
          <w:tcPr>
            <w:tcW w:w="177" w:type="pct"/>
            <w:shd w:val="clear" w:color="auto" w:fill="auto"/>
            <w:noWrap/>
            <w:vAlign w:val="center"/>
          </w:tcPr>
          <w:p w14:paraId="75B4F5B0" w14:textId="77777777" w:rsidR="0023243F" w:rsidRDefault="0023243F" w:rsidP="007F2A9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0" w:type="pct"/>
            <w:shd w:val="clear" w:color="auto" w:fill="auto"/>
            <w:vAlign w:val="center"/>
          </w:tcPr>
          <w:p w14:paraId="3A4256CD" w14:textId="77777777" w:rsidR="0023243F" w:rsidRDefault="0023243F" w:rsidP="007F2A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auto"/>
            <w:noWrap/>
            <w:vAlign w:val="center"/>
          </w:tcPr>
          <w:p w14:paraId="1E08C5AD" w14:textId="77777777" w:rsidR="0023243F" w:rsidRDefault="0023243F" w:rsidP="00F61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1943119" w14:textId="77777777" w:rsidR="0023243F" w:rsidRDefault="0023243F" w:rsidP="00F611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B3505E" w14:textId="77777777" w:rsidR="00846F4B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</w:pPr>
    </w:p>
    <w:p w14:paraId="361F199D" w14:textId="77777777" w:rsidR="00846F4B" w:rsidRPr="008A0729" w:rsidRDefault="00846F4B" w:rsidP="00D310C3">
      <w:pPr>
        <w:pStyle w:val="KonuBal"/>
        <w:spacing w:before="240" w:after="240" w:line="240" w:lineRule="auto"/>
        <w:jc w:val="left"/>
        <w:rPr>
          <w:sz w:val="22"/>
          <w:szCs w:val="22"/>
        </w:rPr>
        <w:sectPr w:rsidR="00846F4B" w:rsidRPr="008A0729" w:rsidSect="00C07666">
          <w:headerReference w:type="default" r:id="rId9"/>
          <w:pgSz w:w="11906" w:h="16838" w:code="9"/>
          <w:pgMar w:top="851" w:right="851" w:bottom="851" w:left="851" w:header="284" w:footer="454" w:gutter="0"/>
          <w:cols w:space="708"/>
          <w:docGrid w:linePitch="360"/>
        </w:sectPr>
      </w:pPr>
    </w:p>
    <w:p w14:paraId="6226726D" w14:textId="77777777"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lastRenderedPageBreak/>
        <w:t>REFERANS STİL KILAVUZU (APA)</w:t>
      </w:r>
    </w:p>
    <w:p w14:paraId="7800A9FE" w14:textId="77777777"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14:paraId="4C8672C7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14:paraId="5CEE1FB9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3643D778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(2000)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6F1A4B">
        <w:rPr>
          <w:color w:val="333333"/>
          <w:sz w:val="20"/>
          <w:szCs w:val="20"/>
          <w:shd w:val="clear" w:color="auto" w:fill="FFFFFF"/>
        </w:rPr>
        <w:t>is the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2000).</w:t>
      </w:r>
    </w:p>
    <w:p w14:paraId="63ADF992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244C5438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(2001)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>is the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2001).</w:t>
      </w:r>
    </w:p>
    <w:p w14:paraId="1F47BDB0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1E44DE82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author's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name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“et al.”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must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every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citation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names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can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appear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outside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brackets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when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incorporated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sentence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:</w:t>
      </w:r>
    </w:p>
    <w:p w14:paraId="5318E556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7D22F259" w14:textId="77777777"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Tel et al. (2018) the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>is the habitat (Tel et al., 2018).</w:t>
      </w:r>
    </w:p>
    <w:p w14:paraId="40B845EE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785F9034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14:paraId="052C0571" w14:textId="77777777" w:rsidR="006F1A4B" w:rsidRPr="00F3468A" w:rsidRDefault="006F1A4B" w:rsidP="006F1A4B">
      <w:pPr>
        <w:jc w:val="center"/>
        <w:rPr>
          <w:color w:val="C45911" w:themeColor="accent2" w:themeShade="BF"/>
          <w:sz w:val="20"/>
          <w:szCs w:val="20"/>
        </w:rPr>
      </w:pPr>
    </w:p>
    <w:p w14:paraId="04D97EEB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Dergi Makalesi</w:t>
      </w:r>
    </w:p>
    <w:p w14:paraId="26E6C00F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7D62CC3F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K.F.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Utilization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microbes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process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preserve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Science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56(2), 105-115.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14:paraId="5242940E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5F36D100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T.I.,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L.P. (2001).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Trace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metal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accumulation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fish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pathologies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areas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affected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mining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metallurgical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enterprises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the Kola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Russian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Environmental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Pollution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114(2), 285–297.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14:paraId="54FCC6C3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006217E9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3, 4, 5, 6 ve 7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Campbell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Rabelo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G.R., &amp; da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Cunha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M. (2016).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Ecological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significance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Alseis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pickelii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Pilg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Schmale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Rubiaceae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in 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Tropical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Forest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Acta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Botanica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Brasilica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124-130.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14:paraId="4E3BFCCB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6E5DC598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8 Yazar ve fazlası: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İlk 6 yazar ile son yazar yazılmalı ve son yazardan önce “…” kullanılmalıdır:</w:t>
      </w:r>
    </w:p>
    <w:p w14:paraId="1E725C3F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24499276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Yuan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H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.,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Guo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Y., Tao, L,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…………..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 (2019).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Exogenous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Application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Promotes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Expression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Formation-Related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Genes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Populus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simonii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× P.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nigra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International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Journal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Molecular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Sciences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20(3), 792. </w:t>
      </w:r>
      <w:hyperlink r:id="rId13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14:paraId="35848DD6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394223D5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</w:t>
      </w:r>
    </w:p>
    <w:p w14:paraId="39657B18" w14:textId="77777777"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14:paraId="053023F6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Dickison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W.C.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Integrative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San Diego,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Harcourt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., 533 pp.</w:t>
      </w:r>
    </w:p>
    <w:p w14:paraId="22E0387C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0EE3B5A8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2</w:t>
      </w:r>
      <w:r w:rsidR="00E46164">
        <w:rPr>
          <w:color w:val="C45911" w:themeColor="accent2" w:themeShade="BF"/>
          <w:sz w:val="20"/>
          <w:szCs w:val="20"/>
          <w:shd w:val="clear" w:color="auto" w:fill="FFFFFF"/>
        </w:rPr>
        <w:t xml:space="preserve">, </w:t>
      </w:r>
      <w:r w:rsidR="00E46164" w:rsidRPr="00F3468A">
        <w:rPr>
          <w:color w:val="C45911" w:themeColor="accent2" w:themeShade="BF"/>
          <w:sz w:val="20"/>
          <w:szCs w:val="20"/>
          <w:shd w:val="clear" w:color="auto" w:fill="FFFFFF"/>
        </w:rPr>
        <w:t>3, 4, 5, 6 ve 7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Metcalfe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C.R.,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Chalk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 (1950).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Dicotyledons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Leaves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Taxonomy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Economic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Oxford,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Clarendon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., 806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14:paraId="50BCA1E2" w14:textId="77777777"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14:paraId="6F9B2940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8 Yazar ve fazlası: </w:t>
      </w:r>
      <w:r w:rsidRPr="006F1A4B">
        <w:rPr>
          <w:color w:val="333333"/>
          <w:sz w:val="20"/>
          <w:szCs w:val="20"/>
          <w:shd w:val="clear" w:color="auto" w:fill="FFFFFF"/>
        </w:rPr>
        <w:t>İlk 6 yazar ile son yazar yazılmalı ve son yazardan önce “…” kullanılmalıdır:</w:t>
      </w:r>
    </w:p>
    <w:p w14:paraId="2E8A6766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0EAD844E" w14:textId="77777777"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Halbritter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Ulrich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S.,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Grímsson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F.,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Weber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Zetter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Hesse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M., ……&amp;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Frosch-Radivo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 (2018).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Illustrated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Pollen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Terminology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(2nd ed.).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Switzerland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Springer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Open, 483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14:paraId="31B96C6B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318114AC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Kitapta Bölüm</w:t>
      </w:r>
    </w:p>
    <w:p w14:paraId="4002CF1E" w14:textId="77777777" w:rsidR="006F1A4B" w:rsidRPr="006F1A4B" w:rsidRDefault="006F1A4B" w:rsidP="006F1A4B">
      <w:pPr>
        <w:shd w:val="clear" w:color="auto" w:fill="FFFFFF"/>
        <w:jc w:val="both"/>
        <w:rPr>
          <w:color w:val="333333"/>
          <w:sz w:val="20"/>
          <w:szCs w:val="20"/>
        </w:rPr>
      </w:pPr>
    </w:p>
    <w:p w14:paraId="46D09A6C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Little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C.H.A.,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Pharis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R.P. (1995).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Hormonal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control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radial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longitudinal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the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tree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Gartner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BL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physiology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functional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morphology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San Diego, 281–319.</w:t>
      </w:r>
    </w:p>
    <w:p w14:paraId="4BC109FC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47A8DFD7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Web Sayfası</w:t>
      </w:r>
    </w:p>
    <w:p w14:paraId="34A00609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7A145352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Walls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R.H.L.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Soldo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A. (2016).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Alopias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superciliosus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IUCN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Threatened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Species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4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14:paraId="78CD58A3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78CE5C1F" w14:textId="77777777" w:rsidR="006F1A4B" w:rsidRDefault="006F1A4B" w:rsidP="006F1A4B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(2004).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and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Division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Clifton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Road, NE, Atlanta, GA.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5" w:history="1">
        <w:r w:rsidR="00F3468A" w:rsidRPr="00345876">
          <w:rPr>
            <w:rStyle w:val="Kpr"/>
            <w:sz w:val="20"/>
            <w:szCs w:val="20"/>
            <w:shd w:val="clear" w:color="auto" w:fill="FFFFFF"/>
          </w:rPr>
          <w:t>http://www.atsdr.cdc.gov/toxprofiles/</w:t>
        </w:r>
      </w:hyperlink>
    </w:p>
    <w:p w14:paraId="1FB11BA8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0490713E" w14:textId="77777777" w:rsidR="00BA4A70" w:rsidRDefault="00BA4A70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  <w:u w:val="single"/>
        </w:rPr>
      </w:pPr>
    </w:p>
    <w:p w14:paraId="3CCA99BA" w14:textId="77777777" w:rsidR="00BA4A70" w:rsidRDefault="00BA4A70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  <w:u w:val="single"/>
        </w:rPr>
      </w:pPr>
    </w:p>
    <w:p w14:paraId="76908467" w14:textId="77777777" w:rsidR="00BA4A70" w:rsidRDefault="00BA4A70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  <w:u w:val="single"/>
        </w:rPr>
      </w:pPr>
    </w:p>
    <w:p w14:paraId="7234D8A0" w14:textId="77777777" w:rsidR="00BA4A70" w:rsidRDefault="00BA4A70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  <w:u w:val="single"/>
        </w:rPr>
      </w:pPr>
    </w:p>
    <w:p w14:paraId="687EC263" w14:textId="213465DF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bookmarkStart w:id="8" w:name="_GoBack"/>
      <w:bookmarkEnd w:id="8"/>
      <w:r w:rsidRPr="00F3468A">
        <w:rPr>
          <w:color w:val="C45911" w:themeColor="accent2" w:themeShade="BF"/>
          <w:sz w:val="20"/>
          <w:szCs w:val="20"/>
          <w:u w:val="single"/>
        </w:rPr>
        <w:lastRenderedPageBreak/>
        <w:t>Sempozyum veya Konferans</w:t>
      </w:r>
    </w:p>
    <w:p w14:paraId="61F43F4E" w14:textId="77777777" w:rsidR="006F1A4B" w:rsidRPr="006F1A4B" w:rsidRDefault="006F1A4B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722D9063" w14:textId="77777777"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742276">
        <w:rPr>
          <w:color w:val="333333"/>
          <w:sz w:val="20"/>
          <w:szCs w:val="20"/>
          <w:shd w:val="clear" w:color="auto" w:fill="FFFFFF"/>
        </w:rPr>
        <w:t xml:space="preserve">Bozkurt, M. A., Yıldız, M. Z., </w:t>
      </w:r>
      <w:r>
        <w:rPr>
          <w:color w:val="333333"/>
          <w:sz w:val="20"/>
          <w:szCs w:val="20"/>
          <w:shd w:val="clear" w:color="auto" w:fill="FFFFFF"/>
        </w:rPr>
        <w:t xml:space="preserve">&amp; </w:t>
      </w:r>
      <w:r w:rsidRPr="00742276">
        <w:rPr>
          <w:color w:val="333333"/>
          <w:sz w:val="20"/>
          <w:szCs w:val="20"/>
          <w:shd w:val="clear" w:color="auto" w:fill="FFFFFF"/>
        </w:rPr>
        <w:t>Sezen, G., (2017)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</w:t>
      </w:r>
      <w:r w:rsidRPr="0084268A">
        <w:rPr>
          <w:i/>
          <w:color w:val="333333"/>
          <w:sz w:val="20"/>
          <w:szCs w:val="20"/>
          <w:shd w:val="clear" w:color="auto" w:fill="FFFFFF"/>
        </w:rPr>
        <w:t xml:space="preserve">Şanlıurfa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Kızılkuyu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Yaban Hayatı Koruma ve Geliştirme Sahasının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Herpetofaunası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Hakkında Ön Çalışma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3. Uluslararası Zooloji ve Teknoloji Kongresi</w:t>
      </w:r>
      <w:r>
        <w:rPr>
          <w:color w:val="333333"/>
          <w:sz w:val="20"/>
          <w:szCs w:val="20"/>
          <w:shd w:val="clear" w:color="auto" w:fill="FFFFFF"/>
        </w:rPr>
        <w:t xml:space="preserve">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Temmuz 12-15, </w:t>
      </w:r>
      <w:r w:rsidR="0084268A">
        <w:rPr>
          <w:color w:val="333333"/>
          <w:sz w:val="20"/>
          <w:szCs w:val="20"/>
          <w:shd w:val="clear" w:color="auto" w:fill="FFFFFF"/>
        </w:rPr>
        <w:t xml:space="preserve">2017, </w:t>
      </w:r>
      <w:proofErr w:type="spellStart"/>
      <w:r w:rsidRPr="00742276">
        <w:rPr>
          <w:color w:val="333333"/>
          <w:sz w:val="20"/>
          <w:szCs w:val="20"/>
          <w:shd w:val="clear" w:color="auto" w:fill="FFFFFF"/>
        </w:rPr>
        <w:t>Afyonkocatepe</w:t>
      </w:r>
      <w:proofErr w:type="spellEnd"/>
      <w:r w:rsidRPr="00742276">
        <w:rPr>
          <w:color w:val="333333"/>
          <w:sz w:val="20"/>
          <w:szCs w:val="20"/>
          <w:shd w:val="clear" w:color="auto" w:fill="FFFFFF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Türkiye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. </w:t>
      </w:r>
    </w:p>
    <w:p w14:paraId="59092C3C" w14:textId="77777777"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4FF2E6D1" w14:textId="77777777" w:rsidR="0084268A" w:rsidRPr="006F1A4B" w:rsidRDefault="0084268A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68A">
        <w:rPr>
          <w:color w:val="333333"/>
          <w:sz w:val="20"/>
          <w:szCs w:val="20"/>
        </w:rPr>
        <w:t xml:space="preserve">Yıldız, M.Z. </w:t>
      </w:r>
      <w:proofErr w:type="spellStart"/>
      <w:r w:rsidRPr="0084268A">
        <w:rPr>
          <w:color w:val="333333"/>
          <w:sz w:val="20"/>
          <w:szCs w:val="20"/>
        </w:rPr>
        <w:t>İğc</w:t>
      </w:r>
      <w:r>
        <w:rPr>
          <w:color w:val="333333"/>
          <w:sz w:val="20"/>
          <w:szCs w:val="20"/>
        </w:rPr>
        <w:t>i</w:t>
      </w:r>
      <w:proofErr w:type="spellEnd"/>
      <w:r>
        <w:rPr>
          <w:color w:val="333333"/>
          <w:sz w:val="20"/>
          <w:szCs w:val="20"/>
        </w:rPr>
        <w:t>, N., Akman, B. &amp; Göçmen, B.</w:t>
      </w:r>
      <w:r w:rsidRPr="0084268A">
        <w:rPr>
          <w:color w:val="333333"/>
          <w:sz w:val="20"/>
          <w:szCs w:val="20"/>
        </w:rPr>
        <w:t xml:space="preserve"> (2018). </w:t>
      </w:r>
      <w:r w:rsidRPr="0084268A">
        <w:rPr>
          <w:i/>
          <w:color w:val="333333"/>
          <w:sz w:val="20"/>
          <w:szCs w:val="20"/>
        </w:rPr>
        <w:t xml:space="preserve">Ağrı Dağı ve Yakın Çevresinin Kurbağa ve Sürüngen </w:t>
      </w:r>
      <w:proofErr w:type="spellStart"/>
      <w:r w:rsidRPr="0084268A">
        <w:rPr>
          <w:i/>
          <w:color w:val="333333"/>
          <w:sz w:val="20"/>
          <w:szCs w:val="20"/>
        </w:rPr>
        <w:t>Biyoçeşitliliği</w:t>
      </w:r>
      <w:proofErr w:type="spellEnd"/>
      <w:r w:rsidRPr="0084268A">
        <w:rPr>
          <w:color w:val="333333"/>
          <w:sz w:val="20"/>
          <w:szCs w:val="20"/>
        </w:rPr>
        <w:t xml:space="preserve">. IV. Uluslararası Ağrı Dağı ve Nuh’un Gemisi Sempozyumu, Ekim 18-20, 2017, (Sözlü Sunum), Ağrı İbrahim Çeçen Üniversitesi Yayını, No: 21, </w:t>
      </w:r>
      <w:r>
        <w:rPr>
          <w:color w:val="333333"/>
          <w:sz w:val="20"/>
          <w:szCs w:val="20"/>
        </w:rPr>
        <w:t xml:space="preserve">pp.154-164, </w:t>
      </w:r>
      <w:r w:rsidRPr="0084268A">
        <w:rPr>
          <w:color w:val="333333"/>
          <w:sz w:val="20"/>
          <w:szCs w:val="20"/>
        </w:rPr>
        <w:t>Sempozyum Kitabı</w:t>
      </w:r>
      <w:r>
        <w:rPr>
          <w:color w:val="333333"/>
          <w:sz w:val="20"/>
          <w:szCs w:val="20"/>
        </w:rPr>
        <w:t xml:space="preserve">, </w:t>
      </w:r>
      <w:r w:rsidRPr="0084268A">
        <w:rPr>
          <w:color w:val="333333"/>
          <w:sz w:val="20"/>
          <w:szCs w:val="20"/>
        </w:rPr>
        <w:t>Zafer Medya, Erzurum,</w:t>
      </w:r>
      <w:r>
        <w:rPr>
          <w:color w:val="333333"/>
          <w:sz w:val="20"/>
          <w:szCs w:val="20"/>
        </w:rPr>
        <w:t xml:space="preserve"> Türkiye.</w:t>
      </w:r>
    </w:p>
    <w:sectPr w:rsidR="0084268A" w:rsidRPr="006F1A4B" w:rsidSect="00966D5C">
      <w:headerReference w:type="default" r:id="rId16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C4DCC" w14:textId="77777777" w:rsidR="00974EB1" w:rsidRDefault="00974EB1" w:rsidP="000A6649">
      <w:r>
        <w:separator/>
      </w:r>
    </w:p>
  </w:endnote>
  <w:endnote w:type="continuationSeparator" w:id="0">
    <w:p w14:paraId="0E095D08" w14:textId="77777777" w:rsidR="00974EB1" w:rsidRDefault="00974EB1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05A6" w14:textId="77777777" w:rsidR="00974EB1" w:rsidRDefault="00974EB1" w:rsidP="000A6649">
      <w:r>
        <w:separator/>
      </w:r>
    </w:p>
  </w:footnote>
  <w:footnote w:type="continuationSeparator" w:id="0">
    <w:p w14:paraId="3C0D0EDE" w14:textId="77777777" w:rsidR="00974EB1" w:rsidRDefault="00974EB1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A6449" w14:textId="77777777" w:rsidR="006F1A4B" w:rsidRPr="007F0927" w:rsidRDefault="006F1A4B" w:rsidP="00D310C3">
    <w:pPr>
      <w:pStyle w:val="stBilgi"/>
      <w:tabs>
        <w:tab w:val="clear" w:pos="9072"/>
      </w:tabs>
      <w:jc w:val="center"/>
    </w:pPr>
    <w:r w:rsidRPr="007F0927">
      <w:rPr>
        <w:noProof/>
      </w:rPr>
      <mc:AlternateContent>
        <mc:Choice Requires="wps">
          <w:drawing>
            <wp:inline distT="0" distB="0" distL="0" distR="0" wp14:anchorId="61168129" wp14:editId="1403F0EB">
              <wp:extent cx="6480000" cy="882000"/>
              <wp:effectExtent l="0" t="0" r="16510" b="13970"/>
              <wp:docPr id="10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C144ED" w14:textId="77777777" w:rsidR="00DE4F93" w:rsidRPr="00426652" w:rsidRDefault="00DE4F93" w:rsidP="00DE4F9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</w:pPr>
                          <w:bookmarkStart w:id="0" w:name="_Hlk188540944"/>
                          <w:bookmarkStart w:id="1" w:name="_Hlk188540945"/>
                          <w:bookmarkStart w:id="2" w:name="_Hlk188540963"/>
                          <w:bookmarkStart w:id="3" w:name="_Hlk188540964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Türkiye Teknik Bilimler ve </w:t>
                          </w:r>
                          <w:proofErr w:type="spellStart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İnovasyon</w:t>
                          </w:r>
                          <w:proofErr w:type="spellEnd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 Dergisi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168129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">
              <v:textbox style="mso-fit-shape-to-text:t">
                <w:txbxContent>
                  <w:p w14:paraId="7BC144ED" w14:textId="77777777" w:rsidR="00DE4F93" w:rsidRPr="00426652" w:rsidRDefault="00DE4F93" w:rsidP="00DE4F93">
                    <w:pPr>
                      <w:jc w:val="center"/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</w:pPr>
                    <w:bookmarkStart w:id="4" w:name="_Hlk188540944"/>
                    <w:bookmarkStart w:id="5" w:name="_Hlk188540945"/>
                    <w:bookmarkStart w:id="6" w:name="_Hlk188540963"/>
                    <w:bookmarkStart w:id="7" w:name="_Hlk188540964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Türkiye Teknik Bilimler ve </w:t>
                    </w:r>
                    <w:proofErr w:type="spellStart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İnovasyon</w:t>
                    </w:r>
                    <w:proofErr w:type="spellEnd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 Dergisi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BA37" w14:textId="59D35032" w:rsidR="006F1A4B" w:rsidRDefault="00FA36FF" w:rsidP="007F0927">
    <w:pPr>
      <w:pStyle w:val="stBilgi"/>
      <w:tabs>
        <w:tab w:val="clear" w:pos="9072"/>
      </w:tabs>
      <w:jc w:val="center"/>
    </w:pPr>
    <w:r w:rsidRPr="007F0927">
      <w:rPr>
        <w:noProof/>
      </w:rPr>
      <mc:AlternateContent>
        <mc:Choice Requires="wps">
          <w:drawing>
            <wp:inline distT="0" distB="0" distL="0" distR="0" wp14:anchorId="1AB8611D" wp14:editId="7362EE8A">
              <wp:extent cx="6479540" cy="334010"/>
              <wp:effectExtent l="0" t="0" r="16510" b="27940"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334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DFD3F6" w14:textId="77777777" w:rsidR="00FA36FF" w:rsidRPr="00426652" w:rsidRDefault="00FA36FF" w:rsidP="00FA36FF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</w:pPr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Türkiye Teknik Bilimler ve </w:t>
                          </w:r>
                          <w:proofErr w:type="spellStart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İnovasyon</w:t>
                          </w:r>
                          <w:proofErr w:type="spellEnd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 Dergisi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AB8611D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width:510.2pt;height:2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">
              <v:textbox style="mso-fit-shape-to-text:t">
                <w:txbxContent>
                  <w:p w14:paraId="44DFD3F6" w14:textId="77777777" w:rsidR="00FA36FF" w:rsidRPr="00426652" w:rsidRDefault="00FA36FF" w:rsidP="00FA36FF">
                    <w:pPr>
                      <w:jc w:val="center"/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</w:pPr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Türkiye Teknik Bilimler ve </w:t>
                    </w:r>
                    <w:proofErr w:type="spellStart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İnovasyon</w:t>
                    </w:r>
                    <w:proofErr w:type="spellEnd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 Dergisi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5451AB78" w14:textId="77777777"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51218"/>
    <w:rsid w:val="000526FF"/>
    <w:rsid w:val="00054B23"/>
    <w:rsid w:val="00057FD6"/>
    <w:rsid w:val="0007326D"/>
    <w:rsid w:val="00073E4E"/>
    <w:rsid w:val="00075052"/>
    <w:rsid w:val="00090E3F"/>
    <w:rsid w:val="00090F63"/>
    <w:rsid w:val="000A1038"/>
    <w:rsid w:val="000A126A"/>
    <w:rsid w:val="000A21C9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610B"/>
    <w:rsid w:val="00226D39"/>
    <w:rsid w:val="00226DB6"/>
    <w:rsid w:val="00230900"/>
    <w:rsid w:val="0023243F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B6FA5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2903"/>
    <w:rsid w:val="0037417A"/>
    <w:rsid w:val="0037750C"/>
    <w:rsid w:val="003838BD"/>
    <w:rsid w:val="00390248"/>
    <w:rsid w:val="003A3A8A"/>
    <w:rsid w:val="003A6107"/>
    <w:rsid w:val="003A7518"/>
    <w:rsid w:val="003A7659"/>
    <w:rsid w:val="003B2B81"/>
    <w:rsid w:val="003C07D7"/>
    <w:rsid w:val="003C55AA"/>
    <w:rsid w:val="003C6552"/>
    <w:rsid w:val="003D6DA3"/>
    <w:rsid w:val="003E54BE"/>
    <w:rsid w:val="003E55BE"/>
    <w:rsid w:val="003E59D1"/>
    <w:rsid w:val="003F6835"/>
    <w:rsid w:val="00400BE9"/>
    <w:rsid w:val="004115CF"/>
    <w:rsid w:val="00411697"/>
    <w:rsid w:val="004227C1"/>
    <w:rsid w:val="00425D3D"/>
    <w:rsid w:val="004264E3"/>
    <w:rsid w:val="004368AB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26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2153"/>
    <w:rsid w:val="00644703"/>
    <w:rsid w:val="006450E5"/>
    <w:rsid w:val="00647D42"/>
    <w:rsid w:val="00654FD2"/>
    <w:rsid w:val="00666F31"/>
    <w:rsid w:val="00670939"/>
    <w:rsid w:val="006763AD"/>
    <w:rsid w:val="006828D7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2A9D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872D9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699"/>
    <w:rsid w:val="009717F8"/>
    <w:rsid w:val="00974EB1"/>
    <w:rsid w:val="00982EA1"/>
    <w:rsid w:val="0098411F"/>
    <w:rsid w:val="00985F23"/>
    <w:rsid w:val="00990920"/>
    <w:rsid w:val="00995D1D"/>
    <w:rsid w:val="009B177F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22E68"/>
    <w:rsid w:val="00B35810"/>
    <w:rsid w:val="00B449DA"/>
    <w:rsid w:val="00B44AEB"/>
    <w:rsid w:val="00B64D9C"/>
    <w:rsid w:val="00B659E0"/>
    <w:rsid w:val="00B726D5"/>
    <w:rsid w:val="00B74DEE"/>
    <w:rsid w:val="00B7551A"/>
    <w:rsid w:val="00B84222"/>
    <w:rsid w:val="00B85CEC"/>
    <w:rsid w:val="00B9144F"/>
    <w:rsid w:val="00B92563"/>
    <w:rsid w:val="00BA2C10"/>
    <w:rsid w:val="00BA4A70"/>
    <w:rsid w:val="00BA7608"/>
    <w:rsid w:val="00BA7B4D"/>
    <w:rsid w:val="00BB4379"/>
    <w:rsid w:val="00BB4BBD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13D1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17947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67B01"/>
    <w:rsid w:val="00D7320E"/>
    <w:rsid w:val="00D743D5"/>
    <w:rsid w:val="00D82C47"/>
    <w:rsid w:val="00D87362"/>
    <w:rsid w:val="00D90402"/>
    <w:rsid w:val="00DA2FD1"/>
    <w:rsid w:val="00DA3962"/>
    <w:rsid w:val="00DB290C"/>
    <w:rsid w:val="00DB300C"/>
    <w:rsid w:val="00DB5872"/>
    <w:rsid w:val="00DB6591"/>
    <w:rsid w:val="00DB723A"/>
    <w:rsid w:val="00DB738A"/>
    <w:rsid w:val="00DD3A37"/>
    <w:rsid w:val="00DD61D1"/>
    <w:rsid w:val="00DE4F93"/>
    <w:rsid w:val="00DE5A57"/>
    <w:rsid w:val="00DF6774"/>
    <w:rsid w:val="00DF7705"/>
    <w:rsid w:val="00E00CBC"/>
    <w:rsid w:val="00E014EF"/>
    <w:rsid w:val="00E01C82"/>
    <w:rsid w:val="00E25536"/>
    <w:rsid w:val="00E25D40"/>
    <w:rsid w:val="00E27256"/>
    <w:rsid w:val="00E30533"/>
    <w:rsid w:val="00E3384D"/>
    <w:rsid w:val="00E354D6"/>
    <w:rsid w:val="00E37FB9"/>
    <w:rsid w:val="00E42582"/>
    <w:rsid w:val="00E45766"/>
    <w:rsid w:val="00E46164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6218"/>
    <w:rsid w:val="00F9729E"/>
    <w:rsid w:val="00F97E55"/>
    <w:rsid w:val="00FA36FF"/>
    <w:rsid w:val="00FA7245"/>
    <w:rsid w:val="00FC57BF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6999A2"/>
  <w15:docId w15:val="{EEE9481D-5448-4A4B-A620-1251155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0-0000-0000" TargetMode="External"/><Relationship Id="rId13" Type="http://schemas.openxmlformats.org/officeDocument/2006/relationships/hyperlink" Target="https://doi.org/doi:10.3390/ijms200307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90/0102-33062015abb02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S0269-7491(00)00197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sdr.cdc.gov/toxprofiles/" TargetMode="External"/><Relationship Id="rId10" Type="http://schemas.openxmlformats.org/officeDocument/2006/relationships/hyperlink" Target="https://doi.org/10.1016/S0309-1740(00)00029-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iucnredlist.org/species/161696/1652772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63DE1-FA89-4AA5-952C-A54C9596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MZY; BA</dc:creator>
  <cp:lastModifiedBy>Work Station</cp:lastModifiedBy>
  <cp:revision>32</cp:revision>
  <cp:lastPrinted>2018-11-30T08:50:00Z</cp:lastPrinted>
  <dcterms:created xsi:type="dcterms:W3CDTF">2020-09-04T18:05:00Z</dcterms:created>
  <dcterms:modified xsi:type="dcterms:W3CDTF">2025-01-23T14:42:00Z</dcterms:modified>
</cp:coreProperties>
</file>