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264B9" w14:textId="02B15BA5" w:rsidR="00163310" w:rsidRPr="00BB3CB9" w:rsidRDefault="00163310" w:rsidP="00BB3CB9">
      <w:pPr>
        <w:spacing w:line="360" w:lineRule="auto"/>
        <w:jc w:val="center"/>
        <w:rPr>
          <w:rFonts w:ascii="Times New Roman" w:hAnsi="Times New Roman" w:cs="Times New Roman"/>
          <w:b/>
          <w:bCs/>
          <w:color w:val="111111"/>
          <w:sz w:val="24"/>
          <w:szCs w:val="24"/>
          <w:shd w:val="clear" w:color="auto" w:fill="FFFFFF"/>
        </w:rPr>
      </w:pPr>
      <w:r w:rsidRPr="00BB3CB9">
        <w:rPr>
          <w:rFonts w:ascii="Times New Roman" w:hAnsi="Times New Roman" w:cs="Times New Roman"/>
          <w:b/>
          <w:bCs/>
          <w:color w:val="111111"/>
          <w:sz w:val="24"/>
          <w:szCs w:val="24"/>
          <w:shd w:val="clear" w:color="auto" w:fill="FFFFFF"/>
        </w:rPr>
        <w:t>Türkçe Başlık</w:t>
      </w:r>
    </w:p>
    <w:p w14:paraId="4255FBFC" w14:textId="7E8A78D8" w:rsidR="00163310" w:rsidRDefault="00DB55D5" w:rsidP="00BB3CB9">
      <w:pPr>
        <w:spacing w:line="360" w:lineRule="auto"/>
        <w:jc w:val="both"/>
        <w:rPr>
          <w:rFonts w:ascii="Times New Roman" w:hAnsi="Times New Roman" w:cs="Times New Roman"/>
          <w:b/>
          <w:bCs/>
          <w:color w:val="111111"/>
          <w:sz w:val="24"/>
          <w:szCs w:val="24"/>
          <w:shd w:val="clear" w:color="auto" w:fill="FFFFFF"/>
        </w:rPr>
      </w:pPr>
      <w:r w:rsidRPr="00BB3CB9">
        <w:rPr>
          <w:rFonts w:ascii="Times New Roman" w:hAnsi="Times New Roman" w:cs="Times New Roman"/>
          <w:b/>
          <w:bCs/>
          <w:color w:val="111111"/>
          <w:sz w:val="24"/>
          <w:szCs w:val="24"/>
          <w:shd w:val="clear" w:color="auto" w:fill="FFFFFF"/>
        </w:rPr>
        <w:t>ÖZET</w:t>
      </w:r>
    </w:p>
    <w:p w14:paraId="214AE67D" w14:textId="310F0260" w:rsidR="00E149CE" w:rsidRPr="005C4620" w:rsidRDefault="005C4620" w:rsidP="00BB3CB9">
      <w:pPr>
        <w:spacing w:line="360" w:lineRule="auto"/>
        <w:jc w:val="both"/>
        <w:rPr>
          <w:rFonts w:ascii="Times New Roman" w:hAnsi="Times New Roman" w:cs="Times New Roman"/>
          <w:color w:val="111111"/>
          <w:sz w:val="20"/>
          <w:szCs w:val="20"/>
          <w:shd w:val="clear" w:color="auto" w:fill="FFFFFF"/>
        </w:rPr>
      </w:pPr>
      <w:r w:rsidRPr="005C4620">
        <w:rPr>
          <w:rFonts w:ascii="Times New Roman" w:hAnsi="Times New Roman" w:cs="Times New Roman"/>
          <w:color w:val="111111"/>
          <w:sz w:val="20"/>
          <w:szCs w:val="20"/>
          <w:shd w:val="clear" w:color="auto" w:fill="FFFFFF"/>
        </w:rPr>
        <w:t xml:space="preserve">Türkçe “Özet” 300 kelimeyi geçmemeli ve her iki özette kısaltmalardan mümkün olduğunca kaçınılmalıdır. Türkçe yazım kurallarına uygun olarak “Times New Roman” yazı karakterinde 10 punto olarak ve bir buçuk satır aralıkla yazılmalıdır. </w:t>
      </w:r>
    </w:p>
    <w:p w14:paraId="5669AEF2" w14:textId="139A41E9" w:rsidR="00163310" w:rsidRPr="00F76FF1" w:rsidRDefault="00163310" w:rsidP="00BB3CB9">
      <w:pPr>
        <w:spacing w:line="360" w:lineRule="auto"/>
        <w:jc w:val="both"/>
        <w:rPr>
          <w:rFonts w:ascii="Times New Roman" w:hAnsi="Times New Roman" w:cs="Times New Roman"/>
          <w:color w:val="111111"/>
          <w:sz w:val="24"/>
          <w:szCs w:val="24"/>
          <w:shd w:val="clear" w:color="auto" w:fill="FFFFFF"/>
        </w:rPr>
      </w:pPr>
      <w:r w:rsidRPr="00BB3CB9">
        <w:rPr>
          <w:rFonts w:ascii="Times New Roman" w:hAnsi="Times New Roman" w:cs="Times New Roman"/>
          <w:b/>
          <w:bCs/>
          <w:color w:val="111111"/>
          <w:sz w:val="24"/>
          <w:szCs w:val="24"/>
          <w:shd w:val="clear" w:color="auto" w:fill="FFFFFF"/>
        </w:rPr>
        <w:t>Anahtar</w:t>
      </w:r>
      <w:r w:rsidR="007C2A1A">
        <w:rPr>
          <w:rFonts w:ascii="Times New Roman" w:hAnsi="Times New Roman" w:cs="Times New Roman"/>
          <w:b/>
          <w:bCs/>
          <w:color w:val="111111"/>
          <w:sz w:val="24"/>
          <w:szCs w:val="24"/>
          <w:shd w:val="clear" w:color="auto" w:fill="FFFFFF"/>
        </w:rPr>
        <w:t xml:space="preserve"> Kelimeler</w:t>
      </w:r>
      <w:r w:rsidR="00E149CE">
        <w:rPr>
          <w:rFonts w:ascii="Times New Roman" w:hAnsi="Times New Roman" w:cs="Times New Roman"/>
          <w:b/>
          <w:bCs/>
          <w:color w:val="111111"/>
          <w:sz w:val="24"/>
          <w:szCs w:val="24"/>
          <w:shd w:val="clear" w:color="auto" w:fill="FFFFFF"/>
        </w:rPr>
        <w:t>:</w:t>
      </w:r>
      <w:r w:rsidR="00F0104A">
        <w:rPr>
          <w:rFonts w:ascii="Times New Roman" w:hAnsi="Times New Roman" w:cs="Times New Roman"/>
          <w:b/>
          <w:bCs/>
          <w:color w:val="111111"/>
          <w:sz w:val="24"/>
          <w:szCs w:val="24"/>
          <w:shd w:val="clear" w:color="auto" w:fill="FFFFFF"/>
        </w:rPr>
        <w:t xml:space="preserve"> </w:t>
      </w:r>
      <w:r w:rsidR="00F0104A" w:rsidRPr="00F76FF1">
        <w:rPr>
          <w:rFonts w:ascii="Times New Roman" w:hAnsi="Times New Roman" w:cs="Times New Roman"/>
          <w:color w:val="111111"/>
          <w:sz w:val="24"/>
          <w:szCs w:val="24"/>
          <w:shd w:val="clear" w:color="auto" w:fill="FFFFFF"/>
        </w:rPr>
        <w:t>Anahtar kelime1, anahtar kelime2, anahtar kelime3</w:t>
      </w:r>
      <w:r w:rsidR="00F76FF1">
        <w:rPr>
          <w:rFonts w:ascii="Times New Roman" w:hAnsi="Times New Roman" w:cs="Times New Roman"/>
          <w:color w:val="111111"/>
          <w:sz w:val="24"/>
          <w:szCs w:val="24"/>
          <w:shd w:val="clear" w:color="auto" w:fill="FFFFFF"/>
        </w:rPr>
        <w:t xml:space="preserve">, </w:t>
      </w:r>
      <w:r w:rsidR="00F76FF1" w:rsidRPr="00F76FF1">
        <w:rPr>
          <w:rFonts w:ascii="Times New Roman" w:hAnsi="Times New Roman" w:cs="Times New Roman"/>
          <w:color w:val="111111"/>
          <w:sz w:val="24"/>
          <w:szCs w:val="24"/>
          <w:shd w:val="clear" w:color="auto" w:fill="FFFFFF"/>
        </w:rPr>
        <w:t>anahtar kelime</w:t>
      </w:r>
      <w:r w:rsidR="00F76FF1">
        <w:rPr>
          <w:rFonts w:ascii="Times New Roman" w:hAnsi="Times New Roman" w:cs="Times New Roman"/>
          <w:color w:val="111111"/>
          <w:sz w:val="24"/>
          <w:szCs w:val="24"/>
          <w:shd w:val="clear" w:color="auto" w:fill="FFFFFF"/>
        </w:rPr>
        <w:t>4</w:t>
      </w:r>
    </w:p>
    <w:p w14:paraId="759F71B7" w14:textId="40111733" w:rsidR="00163310" w:rsidRPr="00BB3CB9" w:rsidRDefault="00163310" w:rsidP="00BB3CB9">
      <w:pPr>
        <w:spacing w:line="360" w:lineRule="auto"/>
        <w:jc w:val="center"/>
        <w:rPr>
          <w:rFonts w:ascii="Times New Roman" w:hAnsi="Times New Roman" w:cs="Times New Roman"/>
          <w:b/>
          <w:bCs/>
          <w:color w:val="111111"/>
          <w:sz w:val="24"/>
          <w:szCs w:val="24"/>
          <w:shd w:val="clear" w:color="auto" w:fill="FFFFFF"/>
        </w:rPr>
      </w:pPr>
      <w:r w:rsidRPr="00BB3CB9">
        <w:rPr>
          <w:rFonts w:ascii="Times New Roman" w:hAnsi="Times New Roman" w:cs="Times New Roman"/>
          <w:b/>
          <w:bCs/>
          <w:color w:val="111111"/>
          <w:sz w:val="24"/>
          <w:szCs w:val="24"/>
          <w:shd w:val="clear" w:color="auto" w:fill="FFFFFF"/>
        </w:rPr>
        <w:t>İngilizce Başlık</w:t>
      </w:r>
    </w:p>
    <w:p w14:paraId="56EE522B" w14:textId="022905D2" w:rsidR="00163310" w:rsidRDefault="00DB55D5" w:rsidP="00BB3CB9">
      <w:pPr>
        <w:spacing w:line="360" w:lineRule="auto"/>
        <w:jc w:val="both"/>
        <w:rPr>
          <w:rFonts w:ascii="Times New Roman" w:hAnsi="Times New Roman" w:cs="Times New Roman"/>
          <w:b/>
          <w:bCs/>
          <w:color w:val="111111"/>
          <w:sz w:val="24"/>
          <w:szCs w:val="24"/>
          <w:shd w:val="clear" w:color="auto" w:fill="FFFFFF"/>
        </w:rPr>
      </w:pPr>
      <w:r>
        <w:rPr>
          <w:rFonts w:ascii="Times New Roman" w:hAnsi="Times New Roman" w:cs="Times New Roman"/>
          <w:b/>
          <w:bCs/>
          <w:color w:val="111111"/>
          <w:sz w:val="24"/>
          <w:szCs w:val="24"/>
          <w:shd w:val="clear" w:color="auto" w:fill="FFFFFF"/>
        </w:rPr>
        <w:t>ABSTRACT</w:t>
      </w:r>
      <w:r w:rsidRPr="00BB3CB9">
        <w:rPr>
          <w:rFonts w:ascii="Times New Roman" w:hAnsi="Times New Roman" w:cs="Times New Roman"/>
          <w:b/>
          <w:bCs/>
          <w:color w:val="111111"/>
          <w:sz w:val="24"/>
          <w:szCs w:val="24"/>
          <w:shd w:val="clear" w:color="auto" w:fill="FFFFFF"/>
        </w:rPr>
        <w:t xml:space="preserve"> </w:t>
      </w:r>
    </w:p>
    <w:p w14:paraId="7AD10095" w14:textId="5E567E69" w:rsidR="00E149CE" w:rsidRPr="005C4620" w:rsidRDefault="005C4620" w:rsidP="00BB3CB9">
      <w:pPr>
        <w:spacing w:line="360" w:lineRule="auto"/>
        <w:jc w:val="both"/>
        <w:rPr>
          <w:rFonts w:ascii="Times New Roman" w:hAnsi="Times New Roman" w:cs="Times New Roman"/>
          <w:color w:val="111111"/>
          <w:sz w:val="20"/>
          <w:szCs w:val="20"/>
          <w:shd w:val="clear" w:color="auto" w:fill="FFFFFF"/>
        </w:rPr>
      </w:pPr>
      <w:r w:rsidRPr="005C4620">
        <w:rPr>
          <w:rFonts w:ascii="Times New Roman" w:hAnsi="Times New Roman" w:cs="Times New Roman"/>
          <w:color w:val="111111"/>
          <w:sz w:val="20"/>
          <w:szCs w:val="20"/>
          <w:shd w:val="clear" w:color="auto" w:fill="FFFFFF"/>
        </w:rPr>
        <w:t xml:space="preserve">İngilizce “Abstract” 300 kelimeyi geçmemeli ve her iki özette kısaltmalardan mümkün olduğunca kaçınılmalıdır. Türkçe yazım kurallarına uygun olarak “Times New Roman” yazı karakterinde 10 punto olarak ve bir buçuk satır aralıkla yazılmalıdır. </w:t>
      </w:r>
    </w:p>
    <w:p w14:paraId="2FE28D64" w14:textId="1371723A" w:rsidR="00163310" w:rsidRDefault="00163310" w:rsidP="00BB3CB9">
      <w:pPr>
        <w:spacing w:line="360" w:lineRule="auto"/>
        <w:jc w:val="both"/>
        <w:rPr>
          <w:rFonts w:ascii="Times New Roman" w:hAnsi="Times New Roman" w:cs="Times New Roman"/>
          <w:b/>
          <w:bCs/>
          <w:color w:val="111111"/>
          <w:sz w:val="24"/>
          <w:szCs w:val="24"/>
          <w:shd w:val="clear" w:color="auto" w:fill="FFFFFF"/>
        </w:rPr>
      </w:pPr>
      <w:r w:rsidRPr="00BB3CB9">
        <w:rPr>
          <w:rFonts w:ascii="Times New Roman" w:hAnsi="Times New Roman" w:cs="Times New Roman"/>
          <w:b/>
          <w:bCs/>
          <w:color w:val="111111"/>
          <w:sz w:val="24"/>
          <w:szCs w:val="24"/>
          <w:shd w:val="clear" w:color="auto" w:fill="FFFFFF"/>
        </w:rPr>
        <w:t>Keywords</w:t>
      </w:r>
      <w:r w:rsidR="00E149CE">
        <w:rPr>
          <w:rFonts w:ascii="Times New Roman" w:hAnsi="Times New Roman" w:cs="Times New Roman"/>
          <w:b/>
          <w:bCs/>
          <w:color w:val="111111"/>
          <w:sz w:val="24"/>
          <w:szCs w:val="24"/>
          <w:shd w:val="clear" w:color="auto" w:fill="FFFFFF"/>
        </w:rPr>
        <w:t>:</w:t>
      </w:r>
      <w:r w:rsidR="00F76FF1">
        <w:rPr>
          <w:rFonts w:ascii="Times New Roman" w:hAnsi="Times New Roman" w:cs="Times New Roman"/>
          <w:b/>
          <w:bCs/>
          <w:color w:val="111111"/>
          <w:sz w:val="24"/>
          <w:szCs w:val="24"/>
          <w:shd w:val="clear" w:color="auto" w:fill="FFFFFF"/>
        </w:rPr>
        <w:t xml:space="preserve"> </w:t>
      </w:r>
      <w:r w:rsidR="00F76FF1" w:rsidRPr="00F76FF1">
        <w:rPr>
          <w:rFonts w:ascii="Times New Roman" w:hAnsi="Times New Roman" w:cs="Times New Roman"/>
          <w:color w:val="111111"/>
          <w:sz w:val="24"/>
          <w:szCs w:val="24"/>
          <w:shd w:val="clear" w:color="auto" w:fill="FFFFFF"/>
        </w:rPr>
        <w:t>Keywords1, keywords2, keywords3</w:t>
      </w:r>
      <w:r w:rsidR="00F76FF1">
        <w:rPr>
          <w:rFonts w:ascii="Times New Roman" w:hAnsi="Times New Roman" w:cs="Times New Roman"/>
          <w:color w:val="111111"/>
          <w:sz w:val="24"/>
          <w:szCs w:val="24"/>
          <w:shd w:val="clear" w:color="auto" w:fill="FFFFFF"/>
        </w:rPr>
        <w:t xml:space="preserve">, </w:t>
      </w:r>
      <w:r w:rsidR="00F76FF1" w:rsidRPr="00F76FF1">
        <w:rPr>
          <w:rFonts w:ascii="Times New Roman" w:hAnsi="Times New Roman" w:cs="Times New Roman"/>
          <w:color w:val="111111"/>
          <w:sz w:val="24"/>
          <w:szCs w:val="24"/>
          <w:shd w:val="clear" w:color="auto" w:fill="FFFFFF"/>
        </w:rPr>
        <w:t>keywords</w:t>
      </w:r>
      <w:r w:rsidR="00F76FF1">
        <w:rPr>
          <w:rFonts w:ascii="Times New Roman" w:hAnsi="Times New Roman" w:cs="Times New Roman"/>
          <w:color w:val="111111"/>
          <w:sz w:val="24"/>
          <w:szCs w:val="24"/>
          <w:shd w:val="clear" w:color="auto" w:fill="FFFFFF"/>
        </w:rPr>
        <w:t>4</w:t>
      </w:r>
    </w:p>
    <w:p w14:paraId="75D4E248" w14:textId="0910D54C" w:rsidR="00FF150F" w:rsidRDefault="00FF150F" w:rsidP="00BB3CB9">
      <w:pPr>
        <w:spacing w:line="360" w:lineRule="auto"/>
        <w:jc w:val="both"/>
        <w:rPr>
          <w:rFonts w:ascii="Times New Roman" w:hAnsi="Times New Roman" w:cs="Times New Roman"/>
          <w:b/>
          <w:bCs/>
          <w:color w:val="111111"/>
          <w:sz w:val="24"/>
          <w:szCs w:val="24"/>
          <w:shd w:val="clear" w:color="auto" w:fill="FFFFFF"/>
        </w:rPr>
      </w:pPr>
    </w:p>
    <w:p w14:paraId="65D37BC1" w14:textId="039787A0" w:rsidR="00FA0223" w:rsidRDefault="00FA0223" w:rsidP="00BB3CB9">
      <w:pPr>
        <w:spacing w:line="360" w:lineRule="auto"/>
        <w:jc w:val="both"/>
        <w:rPr>
          <w:rFonts w:ascii="Times New Roman" w:hAnsi="Times New Roman" w:cs="Times New Roman"/>
          <w:b/>
          <w:bCs/>
          <w:color w:val="111111"/>
          <w:sz w:val="24"/>
          <w:szCs w:val="24"/>
          <w:shd w:val="clear" w:color="auto" w:fill="FFFFFF"/>
        </w:rPr>
      </w:pPr>
    </w:p>
    <w:p w14:paraId="673AB467" w14:textId="78F70D13" w:rsidR="00FA0223" w:rsidRDefault="00FA0223" w:rsidP="00BB3CB9">
      <w:pPr>
        <w:spacing w:line="360" w:lineRule="auto"/>
        <w:jc w:val="both"/>
        <w:rPr>
          <w:rFonts w:ascii="Times New Roman" w:hAnsi="Times New Roman" w:cs="Times New Roman"/>
          <w:b/>
          <w:bCs/>
          <w:color w:val="111111"/>
          <w:sz w:val="24"/>
          <w:szCs w:val="24"/>
          <w:shd w:val="clear" w:color="auto" w:fill="FFFFFF"/>
        </w:rPr>
      </w:pPr>
    </w:p>
    <w:p w14:paraId="38BD8285" w14:textId="06B22EFB" w:rsidR="00FA0223" w:rsidRDefault="00FA0223" w:rsidP="00BB3CB9">
      <w:pPr>
        <w:spacing w:line="360" w:lineRule="auto"/>
        <w:jc w:val="both"/>
        <w:rPr>
          <w:rFonts w:ascii="Times New Roman" w:hAnsi="Times New Roman" w:cs="Times New Roman"/>
          <w:b/>
          <w:bCs/>
          <w:color w:val="111111"/>
          <w:sz w:val="24"/>
          <w:szCs w:val="24"/>
          <w:shd w:val="clear" w:color="auto" w:fill="FFFFFF"/>
        </w:rPr>
      </w:pPr>
    </w:p>
    <w:p w14:paraId="7CC1151E" w14:textId="27E0CC4B" w:rsidR="00FA0223" w:rsidRDefault="00FA0223" w:rsidP="00BB3CB9">
      <w:pPr>
        <w:spacing w:line="360" w:lineRule="auto"/>
        <w:jc w:val="both"/>
        <w:rPr>
          <w:rFonts w:ascii="Times New Roman" w:hAnsi="Times New Roman" w:cs="Times New Roman"/>
          <w:b/>
          <w:bCs/>
          <w:color w:val="111111"/>
          <w:sz w:val="24"/>
          <w:szCs w:val="24"/>
          <w:shd w:val="clear" w:color="auto" w:fill="FFFFFF"/>
        </w:rPr>
      </w:pPr>
    </w:p>
    <w:p w14:paraId="760A249F" w14:textId="26541B31" w:rsidR="00FA0223" w:rsidRDefault="00FA0223" w:rsidP="00BB3CB9">
      <w:pPr>
        <w:spacing w:line="360" w:lineRule="auto"/>
        <w:jc w:val="both"/>
        <w:rPr>
          <w:rFonts w:ascii="Times New Roman" w:hAnsi="Times New Roman" w:cs="Times New Roman"/>
          <w:b/>
          <w:bCs/>
          <w:color w:val="111111"/>
          <w:sz w:val="24"/>
          <w:szCs w:val="24"/>
          <w:shd w:val="clear" w:color="auto" w:fill="FFFFFF"/>
        </w:rPr>
      </w:pPr>
    </w:p>
    <w:p w14:paraId="03A3F002" w14:textId="1951904B" w:rsidR="00FA0223" w:rsidRDefault="00FA0223" w:rsidP="00BB3CB9">
      <w:pPr>
        <w:spacing w:line="360" w:lineRule="auto"/>
        <w:jc w:val="both"/>
        <w:rPr>
          <w:rFonts w:ascii="Times New Roman" w:hAnsi="Times New Roman" w:cs="Times New Roman"/>
          <w:b/>
          <w:bCs/>
          <w:color w:val="111111"/>
          <w:sz w:val="24"/>
          <w:szCs w:val="24"/>
          <w:shd w:val="clear" w:color="auto" w:fill="FFFFFF"/>
        </w:rPr>
      </w:pPr>
    </w:p>
    <w:p w14:paraId="69194DD5" w14:textId="55FC7202" w:rsidR="00FA0223" w:rsidRDefault="00FA0223" w:rsidP="00BB3CB9">
      <w:pPr>
        <w:spacing w:line="360" w:lineRule="auto"/>
        <w:jc w:val="both"/>
        <w:rPr>
          <w:rFonts w:ascii="Times New Roman" w:hAnsi="Times New Roman" w:cs="Times New Roman"/>
          <w:b/>
          <w:bCs/>
          <w:color w:val="111111"/>
          <w:sz w:val="24"/>
          <w:szCs w:val="24"/>
          <w:shd w:val="clear" w:color="auto" w:fill="FFFFFF"/>
        </w:rPr>
      </w:pPr>
    </w:p>
    <w:p w14:paraId="50AE9789" w14:textId="7E9851DD" w:rsidR="00FA0223" w:rsidRDefault="00FA0223" w:rsidP="00BB3CB9">
      <w:pPr>
        <w:spacing w:line="360" w:lineRule="auto"/>
        <w:jc w:val="both"/>
        <w:rPr>
          <w:rFonts w:ascii="Times New Roman" w:hAnsi="Times New Roman" w:cs="Times New Roman"/>
          <w:b/>
          <w:bCs/>
          <w:color w:val="111111"/>
          <w:sz w:val="24"/>
          <w:szCs w:val="24"/>
          <w:shd w:val="clear" w:color="auto" w:fill="FFFFFF"/>
        </w:rPr>
      </w:pPr>
    </w:p>
    <w:p w14:paraId="34897B4E" w14:textId="3CCE7BA9" w:rsidR="00FA0223" w:rsidRDefault="00FA0223" w:rsidP="00BB3CB9">
      <w:pPr>
        <w:spacing w:line="360" w:lineRule="auto"/>
        <w:jc w:val="both"/>
        <w:rPr>
          <w:rFonts w:ascii="Times New Roman" w:hAnsi="Times New Roman" w:cs="Times New Roman"/>
          <w:b/>
          <w:bCs/>
          <w:color w:val="111111"/>
          <w:sz w:val="24"/>
          <w:szCs w:val="24"/>
          <w:shd w:val="clear" w:color="auto" w:fill="FFFFFF"/>
        </w:rPr>
      </w:pPr>
    </w:p>
    <w:p w14:paraId="586ADEA1" w14:textId="779AFB63" w:rsidR="00FA0223" w:rsidRDefault="00FA0223" w:rsidP="00BB3CB9">
      <w:pPr>
        <w:spacing w:line="360" w:lineRule="auto"/>
        <w:jc w:val="both"/>
        <w:rPr>
          <w:rFonts w:ascii="Times New Roman" w:hAnsi="Times New Roman" w:cs="Times New Roman"/>
          <w:b/>
          <w:bCs/>
          <w:color w:val="111111"/>
          <w:sz w:val="24"/>
          <w:szCs w:val="24"/>
          <w:shd w:val="clear" w:color="auto" w:fill="FFFFFF"/>
        </w:rPr>
      </w:pPr>
    </w:p>
    <w:p w14:paraId="0FAB0818" w14:textId="77777777" w:rsidR="00FA0223" w:rsidRPr="00A21E25" w:rsidRDefault="00FA0223" w:rsidP="00BB3CB9">
      <w:pPr>
        <w:spacing w:line="360" w:lineRule="auto"/>
        <w:jc w:val="both"/>
        <w:rPr>
          <w:rFonts w:ascii="Times New Roman" w:hAnsi="Times New Roman" w:cs="Times New Roman"/>
          <w:color w:val="111111"/>
          <w:sz w:val="24"/>
          <w:szCs w:val="24"/>
          <w:shd w:val="clear" w:color="auto" w:fill="FFFFFF"/>
        </w:rPr>
      </w:pPr>
    </w:p>
    <w:p w14:paraId="0C303B85" w14:textId="77777777" w:rsidR="0093085F" w:rsidRDefault="0093085F" w:rsidP="00BB3CB9">
      <w:pPr>
        <w:spacing w:line="360" w:lineRule="auto"/>
        <w:jc w:val="both"/>
        <w:rPr>
          <w:rFonts w:ascii="Times New Roman" w:hAnsi="Times New Roman" w:cs="Times New Roman"/>
          <w:b/>
          <w:bCs/>
          <w:color w:val="111111"/>
          <w:sz w:val="24"/>
          <w:szCs w:val="24"/>
          <w:shd w:val="clear" w:color="auto" w:fill="FFFFFF"/>
        </w:rPr>
      </w:pPr>
    </w:p>
    <w:p w14:paraId="24832F92" w14:textId="62810F2E" w:rsidR="00163310" w:rsidRDefault="00DB55D5" w:rsidP="00BB3CB9">
      <w:pPr>
        <w:spacing w:line="360" w:lineRule="auto"/>
        <w:jc w:val="both"/>
        <w:rPr>
          <w:rFonts w:ascii="Times New Roman" w:hAnsi="Times New Roman" w:cs="Times New Roman"/>
          <w:b/>
          <w:bCs/>
          <w:color w:val="111111"/>
          <w:sz w:val="24"/>
          <w:szCs w:val="24"/>
          <w:shd w:val="clear" w:color="auto" w:fill="FFFFFF"/>
        </w:rPr>
      </w:pPr>
      <w:r>
        <w:rPr>
          <w:rFonts w:ascii="Times New Roman" w:hAnsi="Times New Roman" w:cs="Times New Roman"/>
          <w:b/>
          <w:bCs/>
          <w:color w:val="111111"/>
          <w:sz w:val="24"/>
          <w:szCs w:val="24"/>
          <w:shd w:val="clear" w:color="auto" w:fill="FFFFFF"/>
        </w:rPr>
        <w:lastRenderedPageBreak/>
        <w:t xml:space="preserve">1. </w:t>
      </w:r>
      <w:r w:rsidRPr="00BB3CB9">
        <w:rPr>
          <w:rFonts w:ascii="Times New Roman" w:hAnsi="Times New Roman" w:cs="Times New Roman"/>
          <w:b/>
          <w:bCs/>
          <w:color w:val="111111"/>
          <w:sz w:val="24"/>
          <w:szCs w:val="24"/>
          <w:shd w:val="clear" w:color="auto" w:fill="FFFFFF"/>
        </w:rPr>
        <w:t xml:space="preserve">GİRİŞ </w:t>
      </w:r>
    </w:p>
    <w:p w14:paraId="27B02D8F" w14:textId="5F803940" w:rsidR="00D046DA" w:rsidRDefault="001365ED" w:rsidP="00BB3CB9">
      <w:pPr>
        <w:spacing w:line="360" w:lineRule="auto"/>
        <w:jc w:val="both"/>
        <w:rPr>
          <w:rFonts w:ascii="Times New Roman" w:hAnsi="Times New Roman" w:cs="Times New Roman"/>
          <w:color w:val="111111"/>
          <w:sz w:val="24"/>
          <w:szCs w:val="24"/>
          <w:shd w:val="clear" w:color="auto" w:fill="FFFFFF"/>
        </w:rPr>
      </w:pPr>
      <w:r w:rsidRPr="001365ED">
        <w:rPr>
          <w:rFonts w:ascii="Times New Roman" w:hAnsi="Times New Roman" w:cs="Times New Roman"/>
          <w:color w:val="111111"/>
          <w:sz w:val="24"/>
          <w:szCs w:val="24"/>
          <w:shd w:val="clear" w:color="auto" w:fill="FFFFFF"/>
        </w:rPr>
        <w:t>Metin içinde kaynaklara atıf yapılırken “(soyadı, tarih)” sistemine göre kaynaklar belirtilmelidir. Soyadı tarih sistemine göre metin içinde kaynaklara atıf yapılırken, parantez içerisinde kaynağın yazar soyadı ilk harfi büyük diğerleri küçük olacak şekilde yazılmalı, sonra virgül konarak eserin yayın tarihi yazılmalıdır (Tanriverdi, 2020). Birden fazla yazar adı verilecekse, tarihlerden sonra noktalı virgül konulmalıdır (Tanriverdi, 2021; Yildiko, 2022). Atıf iki yazarlı bir esere yapılacaksa yazarların soyadları arasında</w:t>
      </w:r>
      <w:r w:rsidR="004516C0">
        <w:rPr>
          <w:rFonts w:ascii="Times New Roman" w:hAnsi="Times New Roman" w:cs="Times New Roman"/>
          <w:color w:val="111111"/>
          <w:sz w:val="24"/>
          <w:szCs w:val="24"/>
          <w:shd w:val="clear" w:color="auto" w:fill="FFFFFF"/>
        </w:rPr>
        <w:t xml:space="preserve"> </w:t>
      </w:r>
      <w:r w:rsidRPr="001365ED">
        <w:rPr>
          <w:rFonts w:ascii="Times New Roman" w:hAnsi="Times New Roman" w:cs="Times New Roman"/>
          <w:color w:val="111111"/>
          <w:sz w:val="24"/>
          <w:szCs w:val="24"/>
          <w:shd w:val="clear" w:color="auto" w:fill="FFFFFF"/>
        </w:rPr>
        <w:t xml:space="preserve">Türkçe yayınlanmış ise “ve” (Halliwell </w:t>
      </w:r>
      <w:r w:rsidR="00190F39">
        <w:rPr>
          <w:rFonts w:ascii="Times New Roman" w:hAnsi="Times New Roman" w:cs="Times New Roman"/>
          <w:color w:val="111111"/>
          <w:sz w:val="24"/>
          <w:szCs w:val="24"/>
          <w:shd w:val="clear" w:color="auto" w:fill="FFFFFF"/>
        </w:rPr>
        <w:t xml:space="preserve">ve </w:t>
      </w:r>
      <w:r w:rsidRPr="001365ED">
        <w:rPr>
          <w:rFonts w:ascii="Times New Roman" w:hAnsi="Times New Roman" w:cs="Times New Roman"/>
          <w:color w:val="111111"/>
          <w:sz w:val="24"/>
          <w:szCs w:val="24"/>
          <w:shd w:val="clear" w:color="auto" w:fill="FFFFFF"/>
        </w:rPr>
        <w:t xml:space="preserve">Gutteridge, 1990; Akdeniz </w:t>
      </w:r>
      <w:r w:rsidR="00190F39">
        <w:rPr>
          <w:rFonts w:ascii="Times New Roman" w:hAnsi="Times New Roman" w:cs="Times New Roman"/>
          <w:color w:val="111111"/>
          <w:sz w:val="24"/>
          <w:szCs w:val="24"/>
          <w:shd w:val="clear" w:color="auto" w:fill="FFFFFF"/>
        </w:rPr>
        <w:t>ve</w:t>
      </w:r>
      <w:r w:rsidRPr="001365ED">
        <w:rPr>
          <w:rFonts w:ascii="Times New Roman" w:hAnsi="Times New Roman" w:cs="Times New Roman"/>
          <w:color w:val="111111"/>
          <w:sz w:val="24"/>
          <w:szCs w:val="24"/>
          <w:shd w:val="clear" w:color="auto" w:fill="FFFFFF"/>
        </w:rPr>
        <w:t xml:space="preserve"> Cakmak, 2007) bağlacları ilave edilmelidir. Metin içerisinde yazar soyadına göre kaynak gösterilirken yazar sayısı üç veya daha fazla ise ilk yazarın soyadından sonra makale</w:t>
      </w:r>
      <w:r w:rsidR="004516C0">
        <w:rPr>
          <w:rFonts w:ascii="Times New Roman" w:hAnsi="Times New Roman" w:cs="Times New Roman"/>
          <w:color w:val="111111"/>
          <w:sz w:val="24"/>
          <w:szCs w:val="24"/>
          <w:shd w:val="clear" w:color="auto" w:fill="FFFFFF"/>
        </w:rPr>
        <w:t xml:space="preserve"> </w:t>
      </w:r>
      <w:r w:rsidRPr="001365ED">
        <w:rPr>
          <w:rFonts w:ascii="Times New Roman" w:hAnsi="Times New Roman" w:cs="Times New Roman"/>
          <w:color w:val="111111"/>
          <w:sz w:val="24"/>
          <w:szCs w:val="24"/>
          <w:shd w:val="clear" w:color="auto" w:fill="FFFFFF"/>
        </w:rPr>
        <w:t xml:space="preserve">Türkçe yayınlanmış ise “ve ark.,” (Adiguzel </w:t>
      </w:r>
      <w:r w:rsidR="00190F39">
        <w:rPr>
          <w:rFonts w:ascii="Times New Roman" w:hAnsi="Times New Roman" w:cs="Times New Roman"/>
          <w:color w:val="111111"/>
          <w:sz w:val="24"/>
          <w:szCs w:val="24"/>
          <w:shd w:val="clear" w:color="auto" w:fill="FFFFFF"/>
        </w:rPr>
        <w:t>ve ark</w:t>
      </w:r>
      <w:r w:rsidRPr="001365ED">
        <w:rPr>
          <w:rFonts w:ascii="Times New Roman" w:hAnsi="Times New Roman" w:cs="Times New Roman"/>
          <w:color w:val="111111"/>
          <w:sz w:val="24"/>
          <w:szCs w:val="24"/>
          <w:shd w:val="clear" w:color="auto" w:fill="FFFFFF"/>
        </w:rPr>
        <w:t xml:space="preserve">., 2022; Yildiko </w:t>
      </w:r>
      <w:r w:rsidR="00190F39">
        <w:rPr>
          <w:rFonts w:ascii="Times New Roman" w:hAnsi="Times New Roman" w:cs="Times New Roman"/>
          <w:color w:val="111111"/>
          <w:sz w:val="24"/>
          <w:szCs w:val="24"/>
          <w:shd w:val="clear" w:color="auto" w:fill="FFFFFF"/>
        </w:rPr>
        <w:t>ve ark</w:t>
      </w:r>
      <w:r w:rsidR="00190F39" w:rsidRPr="001365ED">
        <w:rPr>
          <w:rFonts w:ascii="Times New Roman" w:hAnsi="Times New Roman" w:cs="Times New Roman"/>
          <w:color w:val="111111"/>
          <w:sz w:val="24"/>
          <w:szCs w:val="24"/>
          <w:shd w:val="clear" w:color="auto" w:fill="FFFFFF"/>
        </w:rPr>
        <w:t>.</w:t>
      </w:r>
      <w:r w:rsidRPr="001365ED">
        <w:rPr>
          <w:rFonts w:ascii="Times New Roman" w:hAnsi="Times New Roman" w:cs="Times New Roman"/>
          <w:color w:val="111111"/>
          <w:sz w:val="24"/>
          <w:szCs w:val="24"/>
          <w:shd w:val="clear" w:color="auto" w:fill="FFFFFF"/>
        </w:rPr>
        <w:t>, 2021) ifadeleri kullanılmalıdır. Metin içerisinde yazar soyadına göre kaynak gösterilirken aynı yazar ve yazarların aynı yıl yaptığı yayınlar varsa yayın yılının ardından a, b, c şeklinde harfler kullanılmalıdır. (Tanriverdi, 2021a; 2021b).</w:t>
      </w:r>
    </w:p>
    <w:p w14:paraId="6CEB9211" w14:textId="4A65C9A7" w:rsidR="00A21E25" w:rsidRDefault="00A21E25" w:rsidP="00A21E25">
      <w:pPr>
        <w:spacing w:line="360" w:lineRule="auto"/>
        <w:jc w:val="both"/>
        <w:rPr>
          <w:rFonts w:ascii="Times New Roman" w:hAnsi="Times New Roman" w:cs="Times New Roman"/>
          <w:b/>
          <w:bCs/>
          <w:color w:val="111111"/>
          <w:sz w:val="24"/>
          <w:szCs w:val="24"/>
          <w:shd w:val="clear" w:color="auto" w:fill="FFFFFF"/>
        </w:rPr>
      </w:pPr>
      <w:r>
        <w:rPr>
          <w:rFonts w:ascii="Times New Roman" w:hAnsi="Times New Roman" w:cs="Times New Roman"/>
          <w:b/>
          <w:bCs/>
          <w:color w:val="111111"/>
          <w:sz w:val="24"/>
          <w:szCs w:val="24"/>
          <w:shd w:val="clear" w:color="auto" w:fill="FFFFFF"/>
        </w:rPr>
        <w:t>1.1. İkinci Seviye Başlık</w:t>
      </w:r>
    </w:p>
    <w:p w14:paraId="79B39D84" w14:textId="172EC28E" w:rsidR="00E149CE" w:rsidRDefault="00A21E25" w:rsidP="00BB3CB9">
      <w:pPr>
        <w:spacing w:line="360" w:lineRule="auto"/>
        <w:jc w:val="both"/>
        <w:rPr>
          <w:rFonts w:ascii="Times New Roman" w:hAnsi="Times New Roman" w:cs="Times New Roman"/>
          <w:b/>
          <w:bCs/>
          <w:color w:val="111111"/>
          <w:sz w:val="24"/>
          <w:szCs w:val="24"/>
          <w:shd w:val="clear" w:color="auto" w:fill="FFFFFF"/>
        </w:rPr>
      </w:pPr>
      <w:r>
        <w:rPr>
          <w:rFonts w:ascii="Times New Roman" w:hAnsi="Times New Roman" w:cs="Times New Roman"/>
          <w:b/>
          <w:bCs/>
          <w:color w:val="111111"/>
          <w:sz w:val="24"/>
          <w:szCs w:val="24"/>
          <w:shd w:val="clear" w:color="auto" w:fill="FFFFFF"/>
        </w:rPr>
        <w:t>1.1.1. üçüncü seviye başlık</w:t>
      </w:r>
    </w:p>
    <w:p w14:paraId="77EA8CA9" w14:textId="73971036" w:rsidR="00A21E25" w:rsidRDefault="00762A98" w:rsidP="00BB3CB9">
      <w:pPr>
        <w:spacing w:line="360" w:lineRule="auto"/>
        <w:jc w:val="both"/>
        <w:rPr>
          <w:rFonts w:ascii="Times New Roman" w:hAnsi="Times New Roman" w:cs="Times New Roman"/>
          <w:color w:val="111111"/>
          <w:sz w:val="24"/>
          <w:szCs w:val="24"/>
          <w:shd w:val="clear" w:color="auto" w:fill="FFFFFF"/>
        </w:rPr>
      </w:pPr>
      <w:r w:rsidRPr="00762A98">
        <w:rPr>
          <w:rFonts w:ascii="Times New Roman" w:hAnsi="Times New Roman" w:cs="Times New Roman"/>
          <w:color w:val="111111"/>
          <w:sz w:val="24"/>
          <w:szCs w:val="24"/>
          <w:shd w:val="clear" w:color="auto" w:fill="FFFFFF"/>
        </w:rPr>
        <w:t>Tüm makalelerde SI (Systeme International d’Units) ölçüm birimleri kullanılmalıdır. Rakam ve birimlerde ondalık ayıracı olarak sadece nokta (.) kullanılmalı (20.23), birim yazarken “/” işareti kullanılmamalı, yerine boşluk bırakılarak üslü hale getirilmeli (g L-1) çok büyük sayıların yazımında sayılar üçerli olacak şekilde boşlukla ayrılmalı (100 000 gibi).</w:t>
      </w:r>
    </w:p>
    <w:p w14:paraId="52451970" w14:textId="15C37EEC" w:rsidR="00B57AFC" w:rsidRDefault="00762A98" w:rsidP="00BB3CB9">
      <w:pPr>
        <w:spacing w:line="360" w:lineRule="auto"/>
        <w:jc w:val="both"/>
        <w:rPr>
          <w:rFonts w:ascii="Times New Roman" w:hAnsi="Times New Roman" w:cs="Times New Roman"/>
          <w:color w:val="111111"/>
          <w:sz w:val="24"/>
          <w:szCs w:val="24"/>
          <w:shd w:val="clear" w:color="auto" w:fill="FFFFFF"/>
        </w:rPr>
      </w:pPr>
      <w:r w:rsidRPr="003F54BE">
        <w:rPr>
          <w:rFonts w:ascii="Times New Roman" w:hAnsi="Times New Roman" w:cs="Times New Roman"/>
          <w:color w:val="111111"/>
          <w:sz w:val="24"/>
          <w:szCs w:val="24"/>
          <w:shd w:val="clear" w:color="auto" w:fill="FFFFFF"/>
        </w:rPr>
        <w:t>Şekil ve Çizelgeler için Türkçe makalede; “Şekil”, “Tablo”</w:t>
      </w:r>
      <w:r w:rsidR="004516C0">
        <w:rPr>
          <w:rFonts w:ascii="Times New Roman" w:hAnsi="Times New Roman" w:cs="Times New Roman"/>
          <w:color w:val="111111"/>
          <w:sz w:val="24"/>
          <w:szCs w:val="24"/>
          <w:shd w:val="clear" w:color="auto" w:fill="FFFFFF"/>
        </w:rPr>
        <w:t xml:space="preserve"> </w:t>
      </w:r>
      <w:r w:rsidRPr="003F54BE">
        <w:rPr>
          <w:rFonts w:ascii="Times New Roman" w:hAnsi="Times New Roman" w:cs="Times New Roman"/>
          <w:color w:val="111111"/>
          <w:sz w:val="24"/>
          <w:szCs w:val="24"/>
          <w:shd w:val="clear" w:color="auto" w:fill="FFFFFF"/>
        </w:rPr>
        <w:t>ifadeleri kullanılmalıdır (Tablo 1</w:t>
      </w:r>
      <w:r w:rsidR="004516C0">
        <w:rPr>
          <w:rFonts w:ascii="Times New Roman" w:hAnsi="Times New Roman" w:cs="Times New Roman"/>
          <w:color w:val="111111"/>
          <w:sz w:val="24"/>
          <w:szCs w:val="24"/>
          <w:shd w:val="clear" w:color="auto" w:fill="FFFFFF"/>
        </w:rPr>
        <w:t>.</w:t>
      </w:r>
      <w:r w:rsidRPr="003F54BE">
        <w:rPr>
          <w:rFonts w:ascii="Times New Roman" w:hAnsi="Times New Roman" w:cs="Times New Roman"/>
          <w:color w:val="111111"/>
          <w:sz w:val="24"/>
          <w:szCs w:val="24"/>
          <w:shd w:val="clear" w:color="auto" w:fill="FFFFFF"/>
        </w:rPr>
        <w:t>, Şekil 1</w:t>
      </w:r>
      <w:r w:rsidR="004516C0">
        <w:rPr>
          <w:rFonts w:ascii="Times New Roman" w:hAnsi="Times New Roman" w:cs="Times New Roman"/>
          <w:color w:val="111111"/>
          <w:sz w:val="24"/>
          <w:szCs w:val="24"/>
          <w:shd w:val="clear" w:color="auto" w:fill="FFFFFF"/>
        </w:rPr>
        <w:t>.</w:t>
      </w:r>
      <w:r w:rsidRPr="003F54BE">
        <w:rPr>
          <w:rFonts w:ascii="Times New Roman" w:hAnsi="Times New Roman" w:cs="Times New Roman"/>
          <w:color w:val="111111"/>
          <w:sz w:val="24"/>
          <w:szCs w:val="24"/>
          <w:shd w:val="clear" w:color="auto" w:fill="FFFFFF"/>
        </w:rPr>
        <w:t>). Tablo ve şekillere ait açıklama ve dipnotlar çizelge veya tablonun alt kısmında 10 punto büyüklüğünde yazılmalı ve sonda nokta (.) bulunmamalıdır. Tablo başlığı 12 punto ve çizelgenin üzerinde olmalı, içeriği ise 10 punto şeklinde verilmeli. Şekil, grafik, fotoğraf ve benzerleri "Şekil" başlığıyla altta ve 12 punto ile yazılmalıdır. Şekil ve Tablolar metin içerisinde verilmeli, ayrıca metnin sonuna eklenmemelidir.</w:t>
      </w:r>
      <w:r w:rsidR="00893310" w:rsidRPr="003F54BE">
        <w:rPr>
          <w:rFonts w:ascii="Times New Roman" w:hAnsi="Times New Roman" w:cs="Times New Roman"/>
          <w:color w:val="111111"/>
          <w:sz w:val="24"/>
          <w:szCs w:val="24"/>
          <w:shd w:val="clear" w:color="auto" w:fill="FFFFFF"/>
        </w:rPr>
        <w:t xml:space="preserve">  </w:t>
      </w:r>
    </w:p>
    <w:p w14:paraId="085911B8" w14:textId="77777777" w:rsidR="00E113DC" w:rsidRDefault="00E113DC" w:rsidP="00E113DC">
      <w:pPr>
        <w:jc w:val="center"/>
      </w:pPr>
      <w:r>
        <w:rPr>
          <w:noProof/>
          <w:lang w:eastAsia="tr-TR"/>
        </w:rPr>
        <w:lastRenderedPageBreak/>
        <w:drawing>
          <wp:inline distT="0" distB="0" distL="0" distR="0" wp14:anchorId="716BE487" wp14:editId="3F06A0E7">
            <wp:extent cx="4899660" cy="3616018"/>
            <wp:effectExtent l="0" t="0" r="0" b="381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4">
                      <a:extLst>
                        <a:ext uri="{28A0092B-C50C-407E-A947-70E740481C1C}">
                          <a14:useLocalDpi xmlns:a14="http://schemas.microsoft.com/office/drawing/2010/main" val="0"/>
                        </a:ext>
                      </a:extLst>
                    </a:blip>
                    <a:srcRect t="2151" b="17869"/>
                    <a:stretch/>
                  </pic:blipFill>
                  <pic:spPr bwMode="auto">
                    <a:xfrm>
                      <a:off x="0" y="0"/>
                      <a:ext cx="4917253" cy="3629002"/>
                    </a:xfrm>
                    <a:prstGeom prst="rect">
                      <a:avLst/>
                    </a:prstGeom>
                    <a:noFill/>
                    <a:ln>
                      <a:noFill/>
                    </a:ln>
                    <a:extLst>
                      <a:ext uri="{53640926-AAD7-44D8-BBD7-CCE9431645EC}">
                        <a14:shadowObscured xmlns:a14="http://schemas.microsoft.com/office/drawing/2010/main"/>
                      </a:ext>
                    </a:extLst>
                  </pic:spPr>
                </pic:pic>
              </a:graphicData>
            </a:graphic>
          </wp:inline>
        </w:drawing>
      </w:r>
    </w:p>
    <w:p w14:paraId="5C09721F" w14:textId="7C5794FB" w:rsidR="00E113DC" w:rsidRDefault="00E113DC" w:rsidP="00E113DC">
      <w:pPr>
        <w:spacing w:line="360" w:lineRule="auto"/>
        <w:jc w:val="both"/>
        <w:rPr>
          <w:rFonts w:ascii="Times New Roman" w:hAnsi="Times New Roman" w:cs="Times New Roman"/>
          <w:sz w:val="24"/>
          <w:szCs w:val="24"/>
        </w:rPr>
      </w:pPr>
      <w:r w:rsidRPr="00E113DC">
        <w:rPr>
          <w:rFonts w:ascii="Times New Roman" w:hAnsi="Times New Roman" w:cs="Times New Roman"/>
          <w:b/>
          <w:bCs/>
          <w:sz w:val="24"/>
          <w:szCs w:val="24"/>
        </w:rPr>
        <w:t xml:space="preserve">Şekil </w:t>
      </w:r>
      <w:r>
        <w:rPr>
          <w:rFonts w:ascii="Times New Roman" w:hAnsi="Times New Roman" w:cs="Times New Roman"/>
          <w:b/>
          <w:bCs/>
          <w:sz w:val="24"/>
          <w:szCs w:val="24"/>
        </w:rPr>
        <w:t>1.</w:t>
      </w:r>
      <w:r w:rsidRPr="00E113DC">
        <w:rPr>
          <w:rFonts w:ascii="Times New Roman" w:hAnsi="Times New Roman" w:cs="Times New Roman"/>
          <w:sz w:val="24"/>
          <w:szCs w:val="24"/>
        </w:rPr>
        <w:t xml:space="preserve"> Reseptör üzerindeki aromatik yüzeyin 3 boyutlu görünümü ve PN2 - AChE enzim etkileşimlerinin 2 boyutlu görünümü</w:t>
      </w:r>
    </w:p>
    <w:p w14:paraId="09057829" w14:textId="19FF1440" w:rsidR="00D05256" w:rsidRPr="00D05256" w:rsidRDefault="00D05256" w:rsidP="00D05256">
      <w:pPr>
        <w:spacing w:line="360" w:lineRule="auto"/>
        <w:jc w:val="both"/>
        <w:rPr>
          <w:rFonts w:ascii="Times New Roman" w:eastAsia="Calibri" w:hAnsi="Times New Roman" w:cs="Times New Roman"/>
          <w:color w:val="323232"/>
          <w:sz w:val="24"/>
          <w:szCs w:val="24"/>
          <w:lang w:val="en-US"/>
        </w:rPr>
      </w:pPr>
      <w:r w:rsidRPr="00D05256">
        <w:rPr>
          <w:rFonts w:ascii="Times New Roman" w:eastAsia="Calibri" w:hAnsi="Times New Roman" w:cs="Times New Roman"/>
          <w:b/>
          <w:color w:val="323232"/>
          <w:sz w:val="24"/>
          <w:szCs w:val="24"/>
          <w:lang w:val="en-US"/>
        </w:rPr>
        <w:t>Tablo 1</w:t>
      </w:r>
      <w:r w:rsidR="004637A2">
        <w:rPr>
          <w:rFonts w:ascii="Times New Roman" w:eastAsia="Calibri" w:hAnsi="Times New Roman" w:cs="Times New Roman"/>
          <w:b/>
          <w:color w:val="323232"/>
          <w:sz w:val="24"/>
          <w:szCs w:val="24"/>
          <w:lang w:val="en-US"/>
        </w:rPr>
        <w:t>.</w:t>
      </w:r>
      <w:r w:rsidRPr="00D05256">
        <w:rPr>
          <w:rFonts w:ascii="Times New Roman" w:eastAsia="Calibri" w:hAnsi="Times New Roman" w:cs="Times New Roman"/>
          <w:b/>
          <w:color w:val="323232"/>
          <w:sz w:val="24"/>
          <w:szCs w:val="24"/>
          <w:lang w:val="en-US"/>
        </w:rPr>
        <w:t xml:space="preserve"> </w:t>
      </w:r>
      <w:r w:rsidRPr="00D05256">
        <w:rPr>
          <w:rFonts w:ascii="Times New Roman" w:eastAsia="Calibri" w:hAnsi="Times New Roman" w:cs="Times New Roman"/>
          <w:color w:val="323232"/>
          <w:sz w:val="24"/>
          <w:szCs w:val="24"/>
          <w:lang w:val="en-US"/>
        </w:rPr>
        <w:t>En aktif bileşiklerin fizikokimyasal ve lipofilisitesi</w:t>
      </w:r>
    </w:p>
    <w:tbl>
      <w:tblPr>
        <w:tblW w:w="8607" w:type="dxa"/>
        <w:tblInd w:w="-67" w:type="dxa"/>
        <w:tblBorders>
          <w:top w:val="single" w:sz="6" w:space="0" w:color="EBEBEB"/>
          <w:bottom w:val="single" w:sz="6" w:space="0" w:color="EBEBEB"/>
        </w:tblBorders>
        <w:tblLayout w:type="fixed"/>
        <w:tblCellMar>
          <w:left w:w="0" w:type="dxa"/>
          <w:right w:w="0" w:type="dxa"/>
        </w:tblCellMar>
        <w:tblLook w:val="04A0" w:firstRow="1" w:lastRow="0" w:firstColumn="1" w:lastColumn="0" w:noHBand="0" w:noVBand="1"/>
      </w:tblPr>
      <w:tblGrid>
        <w:gridCol w:w="599"/>
        <w:gridCol w:w="1312"/>
        <w:gridCol w:w="1014"/>
        <w:gridCol w:w="704"/>
        <w:gridCol w:w="1002"/>
        <w:gridCol w:w="570"/>
        <w:gridCol w:w="599"/>
        <w:gridCol w:w="603"/>
        <w:gridCol w:w="676"/>
        <w:gridCol w:w="753"/>
        <w:gridCol w:w="775"/>
      </w:tblGrid>
      <w:tr w:rsidR="00D05256" w:rsidRPr="00D05256" w14:paraId="5A679781" w14:textId="77777777" w:rsidTr="00996CA9">
        <w:trPr>
          <w:trHeight w:val="251"/>
          <w:tblHeader/>
        </w:trPr>
        <w:tc>
          <w:tcPr>
            <w:tcW w:w="599" w:type="dxa"/>
            <w:vMerge w:val="restart"/>
            <w:tcBorders>
              <w:top w:val="single" w:sz="4" w:space="0" w:color="auto"/>
              <w:left w:val="nil"/>
              <w:bottom w:val="nil"/>
              <w:right w:val="nil"/>
            </w:tcBorders>
            <w:tcMar>
              <w:top w:w="75" w:type="dxa"/>
              <w:left w:w="75" w:type="dxa"/>
              <w:bottom w:w="75" w:type="dxa"/>
              <w:right w:w="75" w:type="dxa"/>
            </w:tcMar>
            <w:hideMark/>
          </w:tcPr>
          <w:p w14:paraId="31DF831B" w14:textId="77777777" w:rsidR="00D05256" w:rsidRPr="004637A2" w:rsidRDefault="00D05256" w:rsidP="00996CA9">
            <w:pPr>
              <w:rPr>
                <w:rFonts w:ascii="Times New Roman" w:hAnsi="Times New Roman" w:cs="Times New Roman"/>
                <w:b/>
                <w:bCs/>
                <w:color w:val="2E2E2E"/>
                <w:sz w:val="20"/>
                <w:szCs w:val="20"/>
                <w:lang w:val="en-US"/>
              </w:rPr>
            </w:pPr>
            <w:r w:rsidRPr="004637A2">
              <w:rPr>
                <w:rFonts w:ascii="Times New Roman" w:hAnsi="Times New Roman" w:cs="Times New Roman"/>
                <w:b/>
                <w:bCs/>
                <w:color w:val="2E2E2E"/>
                <w:sz w:val="20"/>
                <w:szCs w:val="20"/>
                <w:lang w:val="en-US"/>
              </w:rPr>
              <w:t>Kod</w:t>
            </w:r>
          </w:p>
        </w:tc>
        <w:tc>
          <w:tcPr>
            <w:tcW w:w="1312" w:type="dxa"/>
            <w:vMerge w:val="restart"/>
            <w:tcBorders>
              <w:top w:val="single" w:sz="4" w:space="0" w:color="auto"/>
              <w:left w:val="nil"/>
              <w:bottom w:val="nil"/>
              <w:right w:val="nil"/>
            </w:tcBorders>
            <w:tcMar>
              <w:top w:w="75" w:type="dxa"/>
              <w:left w:w="75" w:type="dxa"/>
              <w:bottom w:w="75" w:type="dxa"/>
              <w:right w:w="75" w:type="dxa"/>
            </w:tcMar>
            <w:hideMark/>
          </w:tcPr>
          <w:p w14:paraId="66B55DDA" w14:textId="77777777" w:rsidR="00D05256" w:rsidRPr="004637A2" w:rsidRDefault="00D05256" w:rsidP="00996CA9">
            <w:pPr>
              <w:rPr>
                <w:rFonts w:ascii="Times New Roman" w:hAnsi="Times New Roman" w:cs="Times New Roman"/>
                <w:b/>
                <w:bCs/>
                <w:color w:val="2E2E2E"/>
                <w:sz w:val="20"/>
                <w:szCs w:val="20"/>
                <w:lang w:val="en-US"/>
              </w:rPr>
            </w:pPr>
            <w:r w:rsidRPr="004637A2">
              <w:rPr>
                <w:rFonts w:ascii="Times New Roman" w:hAnsi="Times New Roman" w:cs="Times New Roman"/>
                <w:b/>
                <w:bCs/>
                <w:color w:val="2E2E2E"/>
                <w:sz w:val="20"/>
                <w:szCs w:val="20"/>
                <w:lang w:val="en-US"/>
              </w:rPr>
              <w:t>Lipofiliklik konsensüs</w:t>
            </w:r>
          </w:p>
          <w:p w14:paraId="56DE5321" w14:textId="77777777" w:rsidR="00D05256" w:rsidRPr="004637A2" w:rsidRDefault="00D05256" w:rsidP="00996CA9">
            <w:pPr>
              <w:rPr>
                <w:rFonts w:ascii="Times New Roman" w:hAnsi="Times New Roman" w:cs="Times New Roman"/>
                <w:b/>
                <w:bCs/>
                <w:color w:val="2E2E2E"/>
                <w:sz w:val="20"/>
                <w:szCs w:val="20"/>
                <w:lang w:val="en-US"/>
              </w:rPr>
            </w:pPr>
            <w:r w:rsidRPr="004637A2">
              <w:rPr>
                <w:rFonts w:ascii="Times New Roman" w:hAnsi="Times New Roman" w:cs="Times New Roman"/>
                <w:b/>
                <w:bCs/>
                <w:color w:val="2E2E2E"/>
                <w:sz w:val="20"/>
                <w:szCs w:val="20"/>
                <w:lang w:val="en-US"/>
              </w:rPr>
              <w:t xml:space="preserve"> log P</w:t>
            </w:r>
          </w:p>
        </w:tc>
        <w:tc>
          <w:tcPr>
            <w:tcW w:w="6696" w:type="dxa"/>
            <w:gridSpan w:val="9"/>
            <w:tcBorders>
              <w:top w:val="single" w:sz="4" w:space="0" w:color="auto"/>
              <w:left w:val="nil"/>
              <w:bottom w:val="single" w:sz="4" w:space="0" w:color="auto"/>
              <w:right w:val="nil"/>
            </w:tcBorders>
            <w:tcMar>
              <w:top w:w="75" w:type="dxa"/>
              <w:left w:w="75" w:type="dxa"/>
              <w:bottom w:w="75" w:type="dxa"/>
              <w:right w:w="75" w:type="dxa"/>
            </w:tcMar>
            <w:hideMark/>
          </w:tcPr>
          <w:p w14:paraId="2A27F826" w14:textId="77777777" w:rsidR="00D05256" w:rsidRPr="004637A2" w:rsidRDefault="00D05256" w:rsidP="00996CA9">
            <w:pPr>
              <w:jc w:val="center"/>
              <w:rPr>
                <w:rFonts w:ascii="Times New Roman" w:hAnsi="Times New Roman" w:cs="Times New Roman"/>
                <w:b/>
                <w:bCs/>
                <w:color w:val="2E2E2E"/>
                <w:sz w:val="20"/>
                <w:szCs w:val="20"/>
                <w:lang w:val="en-US"/>
              </w:rPr>
            </w:pPr>
            <w:r w:rsidRPr="004637A2">
              <w:rPr>
                <w:rFonts w:ascii="Times New Roman" w:hAnsi="Times New Roman" w:cs="Times New Roman"/>
                <w:b/>
                <w:bCs/>
                <w:color w:val="2E2E2E"/>
                <w:sz w:val="20"/>
                <w:szCs w:val="20"/>
                <w:lang w:val="en-US"/>
              </w:rPr>
              <w:t>Fiziko kimyasal özellikleri</w:t>
            </w:r>
          </w:p>
        </w:tc>
      </w:tr>
      <w:tr w:rsidR="00D05256" w:rsidRPr="00D05256" w14:paraId="34515156" w14:textId="77777777" w:rsidTr="00996CA9">
        <w:trPr>
          <w:trHeight w:val="623"/>
          <w:tblHeader/>
        </w:trPr>
        <w:tc>
          <w:tcPr>
            <w:tcW w:w="599" w:type="dxa"/>
            <w:vMerge/>
            <w:tcBorders>
              <w:top w:val="nil"/>
              <w:left w:val="nil"/>
              <w:bottom w:val="single" w:sz="4" w:space="0" w:color="auto"/>
              <w:right w:val="nil"/>
            </w:tcBorders>
            <w:hideMark/>
          </w:tcPr>
          <w:p w14:paraId="532C1790" w14:textId="77777777" w:rsidR="00D05256" w:rsidRPr="004637A2" w:rsidRDefault="00D05256" w:rsidP="00996CA9">
            <w:pPr>
              <w:rPr>
                <w:rFonts w:ascii="Times New Roman" w:hAnsi="Times New Roman" w:cs="Times New Roman"/>
                <w:b/>
                <w:bCs/>
                <w:color w:val="2E2E2E"/>
                <w:sz w:val="20"/>
                <w:szCs w:val="20"/>
                <w:lang w:val="en-US"/>
              </w:rPr>
            </w:pPr>
          </w:p>
        </w:tc>
        <w:tc>
          <w:tcPr>
            <w:tcW w:w="1312" w:type="dxa"/>
            <w:vMerge/>
            <w:tcBorders>
              <w:top w:val="nil"/>
              <w:left w:val="nil"/>
              <w:bottom w:val="single" w:sz="4" w:space="0" w:color="auto"/>
              <w:right w:val="nil"/>
            </w:tcBorders>
            <w:hideMark/>
          </w:tcPr>
          <w:p w14:paraId="5D90D823" w14:textId="77777777" w:rsidR="00D05256" w:rsidRPr="004637A2" w:rsidRDefault="00D05256" w:rsidP="00996CA9">
            <w:pPr>
              <w:rPr>
                <w:rFonts w:ascii="Times New Roman" w:hAnsi="Times New Roman" w:cs="Times New Roman"/>
                <w:b/>
                <w:bCs/>
                <w:color w:val="2E2E2E"/>
                <w:sz w:val="20"/>
                <w:szCs w:val="20"/>
                <w:lang w:val="en-US"/>
              </w:rPr>
            </w:pPr>
          </w:p>
        </w:tc>
        <w:tc>
          <w:tcPr>
            <w:tcW w:w="1014" w:type="dxa"/>
            <w:tcBorders>
              <w:top w:val="single" w:sz="4" w:space="0" w:color="auto"/>
              <w:left w:val="nil"/>
              <w:bottom w:val="single" w:sz="4" w:space="0" w:color="auto"/>
              <w:right w:val="nil"/>
            </w:tcBorders>
            <w:tcMar>
              <w:top w:w="75" w:type="dxa"/>
              <w:left w:w="75" w:type="dxa"/>
              <w:bottom w:w="75" w:type="dxa"/>
              <w:right w:w="75" w:type="dxa"/>
            </w:tcMar>
            <w:hideMark/>
          </w:tcPr>
          <w:p w14:paraId="18C094FA" w14:textId="77777777" w:rsidR="00D05256" w:rsidRPr="004637A2" w:rsidRDefault="00D05256" w:rsidP="00996CA9">
            <w:pPr>
              <w:rPr>
                <w:rFonts w:ascii="Times New Roman" w:hAnsi="Times New Roman" w:cs="Times New Roman"/>
                <w:b/>
                <w:bCs/>
                <w:color w:val="2E2E2E"/>
                <w:sz w:val="20"/>
                <w:szCs w:val="20"/>
                <w:lang w:val="en-US"/>
              </w:rPr>
            </w:pPr>
            <w:r w:rsidRPr="004637A2">
              <w:rPr>
                <w:rFonts w:ascii="Times New Roman" w:hAnsi="Times New Roman" w:cs="Times New Roman"/>
                <w:b/>
                <w:bCs/>
                <w:color w:val="2E2E2E"/>
                <w:sz w:val="20"/>
                <w:szCs w:val="20"/>
                <w:lang w:val="en-US"/>
              </w:rPr>
              <w:t>MA</w:t>
            </w:r>
            <w:r w:rsidRPr="004637A2">
              <w:rPr>
                <w:rFonts w:ascii="Times New Roman" w:hAnsi="Times New Roman" w:cs="Times New Roman"/>
                <w:b/>
                <w:bCs/>
                <w:color w:val="2E2E2E"/>
                <w:sz w:val="20"/>
                <w:szCs w:val="20"/>
                <w:vertAlign w:val="superscript"/>
                <w:lang w:val="en-US"/>
              </w:rPr>
              <w:t>a</w:t>
            </w:r>
            <w:r w:rsidRPr="004637A2">
              <w:rPr>
                <w:rFonts w:ascii="Times New Roman" w:hAnsi="Times New Roman" w:cs="Times New Roman"/>
                <w:b/>
                <w:bCs/>
                <w:color w:val="2E2E2E"/>
                <w:sz w:val="20"/>
                <w:szCs w:val="20"/>
                <w:lang w:val="en-US"/>
              </w:rPr>
              <w:t> </w:t>
            </w:r>
          </w:p>
          <w:p w14:paraId="2F2001A1" w14:textId="77777777" w:rsidR="00D05256" w:rsidRPr="004637A2" w:rsidRDefault="00D05256" w:rsidP="00996CA9">
            <w:pPr>
              <w:rPr>
                <w:rFonts w:ascii="Times New Roman" w:hAnsi="Times New Roman" w:cs="Times New Roman"/>
                <w:b/>
                <w:bCs/>
                <w:color w:val="2E2E2E"/>
                <w:sz w:val="20"/>
                <w:szCs w:val="20"/>
                <w:lang w:val="en-US"/>
              </w:rPr>
            </w:pPr>
            <w:r w:rsidRPr="004637A2">
              <w:rPr>
                <w:rFonts w:ascii="Times New Roman" w:hAnsi="Times New Roman" w:cs="Times New Roman"/>
                <w:b/>
                <w:bCs/>
                <w:color w:val="2E2E2E"/>
                <w:sz w:val="20"/>
                <w:szCs w:val="20"/>
                <w:lang w:val="en-US"/>
              </w:rPr>
              <w:t>g/mol</w:t>
            </w:r>
          </w:p>
        </w:tc>
        <w:tc>
          <w:tcPr>
            <w:tcW w:w="704" w:type="dxa"/>
            <w:tcBorders>
              <w:top w:val="single" w:sz="4" w:space="0" w:color="auto"/>
              <w:left w:val="nil"/>
              <w:bottom w:val="single" w:sz="4" w:space="0" w:color="auto"/>
              <w:right w:val="nil"/>
            </w:tcBorders>
            <w:tcMar>
              <w:top w:w="75" w:type="dxa"/>
              <w:left w:w="75" w:type="dxa"/>
              <w:bottom w:w="75" w:type="dxa"/>
              <w:right w:w="75" w:type="dxa"/>
            </w:tcMar>
            <w:hideMark/>
          </w:tcPr>
          <w:p w14:paraId="79EB49E9" w14:textId="5F52537D" w:rsidR="00D05256" w:rsidRPr="004637A2" w:rsidRDefault="002037A7" w:rsidP="00996CA9">
            <w:pPr>
              <w:rPr>
                <w:rFonts w:ascii="Times New Roman" w:hAnsi="Times New Roman" w:cs="Times New Roman"/>
                <w:b/>
                <w:bCs/>
                <w:color w:val="2E2E2E"/>
                <w:sz w:val="20"/>
                <w:szCs w:val="20"/>
                <w:lang w:val="en-US"/>
              </w:rPr>
            </w:pPr>
            <w:r>
              <w:rPr>
                <w:rFonts w:ascii="Times New Roman" w:hAnsi="Times New Roman" w:cs="Times New Roman"/>
                <w:b/>
                <w:bCs/>
                <w:color w:val="2E2E2E"/>
                <w:sz w:val="20"/>
                <w:szCs w:val="20"/>
                <w:lang w:val="en-US"/>
              </w:rPr>
              <w:t>Ağır atomlar</w:t>
            </w:r>
          </w:p>
        </w:tc>
        <w:tc>
          <w:tcPr>
            <w:tcW w:w="1002" w:type="dxa"/>
            <w:tcBorders>
              <w:top w:val="single" w:sz="4" w:space="0" w:color="auto"/>
              <w:left w:val="nil"/>
              <w:bottom w:val="single" w:sz="4" w:space="0" w:color="auto"/>
              <w:right w:val="nil"/>
            </w:tcBorders>
            <w:tcMar>
              <w:top w:w="75" w:type="dxa"/>
              <w:left w:w="75" w:type="dxa"/>
              <w:bottom w:w="75" w:type="dxa"/>
              <w:right w:w="75" w:type="dxa"/>
            </w:tcMar>
            <w:hideMark/>
          </w:tcPr>
          <w:p w14:paraId="527F7A56" w14:textId="77777777" w:rsidR="00D05256" w:rsidRPr="004637A2" w:rsidRDefault="00D05256" w:rsidP="00996CA9">
            <w:pPr>
              <w:rPr>
                <w:rFonts w:ascii="Times New Roman" w:hAnsi="Times New Roman" w:cs="Times New Roman"/>
                <w:b/>
                <w:bCs/>
                <w:color w:val="2E2E2E"/>
                <w:sz w:val="20"/>
                <w:szCs w:val="20"/>
                <w:lang w:val="en-US"/>
              </w:rPr>
            </w:pPr>
            <w:r w:rsidRPr="004637A2">
              <w:rPr>
                <w:rFonts w:ascii="Times New Roman" w:hAnsi="Times New Roman" w:cs="Times New Roman"/>
                <w:b/>
                <w:bCs/>
                <w:color w:val="2E2E2E"/>
                <w:sz w:val="20"/>
                <w:szCs w:val="20"/>
                <w:lang w:val="en-US"/>
              </w:rPr>
              <w:t>Aromatik ağır atomlar</w:t>
            </w:r>
          </w:p>
        </w:tc>
        <w:tc>
          <w:tcPr>
            <w:tcW w:w="570" w:type="dxa"/>
            <w:tcBorders>
              <w:top w:val="single" w:sz="4" w:space="0" w:color="auto"/>
              <w:left w:val="nil"/>
              <w:bottom w:val="single" w:sz="4" w:space="0" w:color="auto"/>
              <w:right w:val="nil"/>
            </w:tcBorders>
            <w:tcMar>
              <w:top w:w="75" w:type="dxa"/>
              <w:left w:w="75" w:type="dxa"/>
              <w:bottom w:w="75" w:type="dxa"/>
              <w:right w:w="75" w:type="dxa"/>
            </w:tcMar>
            <w:hideMark/>
          </w:tcPr>
          <w:p w14:paraId="7F851778" w14:textId="77777777" w:rsidR="00D05256" w:rsidRPr="004637A2" w:rsidRDefault="00D05256" w:rsidP="00996CA9">
            <w:pPr>
              <w:rPr>
                <w:rFonts w:ascii="Times New Roman" w:hAnsi="Times New Roman" w:cs="Times New Roman"/>
                <w:b/>
                <w:bCs/>
                <w:color w:val="2E2E2E"/>
                <w:sz w:val="20"/>
                <w:szCs w:val="20"/>
                <w:lang w:val="en-US"/>
              </w:rPr>
            </w:pPr>
            <w:r w:rsidRPr="004637A2">
              <w:rPr>
                <w:rFonts w:ascii="Times New Roman" w:hAnsi="Times New Roman" w:cs="Times New Roman"/>
                <w:b/>
                <w:bCs/>
                <w:color w:val="2E2E2E"/>
                <w:sz w:val="20"/>
                <w:szCs w:val="20"/>
                <w:lang w:val="en-US"/>
              </w:rPr>
              <w:t>Rot. bond</w:t>
            </w:r>
          </w:p>
        </w:tc>
        <w:tc>
          <w:tcPr>
            <w:tcW w:w="599" w:type="dxa"/>
            <w:tcBorders>
              <w:top w:val="single" w:sz="4" w:space="0" w:color="auto"/>
              <w:left w:val="nil"/>
              <w:bottom w:val="single" w:sz="4" w:space="0" w:color="auto"/>
              <w:right w:val="nil"/>
            </w:tcBorders>
            <w:tcMar>
              <w:top w:w="75" w:type="dxa"/>
              <w:left w:w="75" w:type="dxa"/>
              <w:bottom w:w="75" w:type="dxa"/>
              <w:right w:w="75" w:type="dxa"/>
            </w:tcMar>
            <w:hideMark/>
          </w:tcPr>
          <w:p w14:paraId="2FE25BD1" w14:textId="77777777" w:rsidR="00D05256" w:rsidRPr="004637A2" w:rsidRDefault="00D05256" w:rsidP="00996CA9">
            <w:pPr>
              <w:rPr>
                <w:rFonts w:ascii="Times New Roman" w:hAnsi="Times New Roman" w:cs="Times New Roman"/>
                <w:b/>
                <w:bCs/>
                <w:color w:val="2E2E2E"/>
                <w:sz w:val="20"/>
                <w:szCs w:val="20"/>
                <w:lang w:val="en-US"/>
              </w:rPr>
            </w:pPr>
            <w:r w:rsidRPr="004637A2">
              <w:rPr>
                <w:rFonts w:ascii="Times New Roman" w:hAnsi="Times New Roman" w:cs="Times New Roman"/>
                <w:b/>
                <w:bCs/>
                <w:color w:val="2E2E2E"/>
                <w:sz w:val="20"/>
                <w:szCs w:val="20"/>
                <w:lang w:val="en-US"/>
              </w:rPr>
              <w:t>H‐bond acc.</w:t>
            </w:r>
          </w:p>
        </w:tc>
        <w:tc>
          <w:tcPr>
            <w:tcW w:w="603" w:type="dxa"/>
            <w:tcBorders>
              <w:top w:val="single" w:sz="4" w:space="0" w:color="auto"/>
              <w:left w:val="nil"/>
              <w:bottom w:val="single" w:sz="4" w:space="0" w:color="auto"/>
              <w:right w:val="nil"/>
            </w:tcBorders>
            <w:tcMar>
              <w:top w:w="75" w:type="dxa"/>
              <w:left w:w="75" w:type="dxa"/>
              <w:bottom w:w="75" w:type="dxa"/>
              <w:right w:w="75" w:type="dxa"/>
            </w:tcMar>
            <w:hideMark/>
          </w:tcPr>
          <w:p w14:paraId="19E93945" w14:textId="77777777" w:rsidR="00D05256" w:rsidRPr="004637A2" w:rsidRDefault="00D05256" w:rsidP="00996CA9">
            <w:pPr>
              <w:rPr>
                <w:rFonts w:ascii="Times New Roman" w:hAnsi="Times New Roman" w:cs="Times New Roman"/>
                <w:b/>
                <w:bCs/>
                <w:color w:val="2E2E2E"/>
                <w:sz w:val="20"/>
                <w:szCs w:val="20"/>
                <w:lang w:val="en-US"/>
              </w:rPr>
            </w:pPr>
            <w:r w:rsidRPr="004637A2">
              <w:rPr>
                <w:rFonts w:ascii="Times New Roman" w:hAnsi="Times New Roman" w:cs="Times New Roman"/>
                <w:b/>
                <w:bCs/>
                <w:color w:val="2E2E2E"/>
                <w:sz w:val="20"/>
                <w:szCs w:val="20"/>
                <w:lang w:val="en-US"/>
              </w:rPr>
              <w:t>H‐bond don.</w:t>
            </w:r>
          </w:p>
        </w:tc>
        <w:tc>
          <w:tcPr>
            <w:tcW w:w="676" w:type="dxa"/>
            <w:tcBorders>
              <w:top w:val="single" w:sz="4" w:space="0" w:color="auto"/>
              <w:left w:val="nil"/>
              <w:bottom w:val="single" w:sz="4" w:space="0" w:color="auto"/>
              <w:right w:val="nil"/>
            </w:tcBorders>
            <w:tcMar>
              <w:top w:w="75" w:type="dxa"/>
              <w:left w:w="75" w:type="dxa"/>
              <w:bottom w:w="75" w:type="dxa"/>
              <w:right w:w="75" w:type="dxa"/>
            </w:tcMar>
            <w:hideMark/>
          </w:tcPr>
          <w:p w14:paraId="2346C577" w14:textId="77777777" w:rsidR="00D05256" w:rsidRPr="004637A2" w:rsidRDefault="00D05256" w:rsidP="00996CA9">
            <w:pPr>
              <w:rPr>
                <w:rFonts w:ascii="Times New Roman" w:hAnsi="Times New Roman" w:cs="Times New Roman"/>
                <w:b/>
                <w:bCs/>
                <w:color w:val="2E2E2E"/>
                <w:sz w:val="20"/>
                <w:szCs w:val="20"/>
                <w:lang w:val="en-US"/>
              </w:rPr>
            </w:pPr>
            <w:r w:rsidRPr="004637A2">
              <w:rPr>
                <w:rFonts w:ascii="Times New Roman" w:hAnsi="Times New Roman" w:cs="Times New Roman"/>
                <w:b/>
                <w:bCs/>
                <w:color w:val="2E2E2E"/>
                <w:sz w:val="20"/>
                <w:szCs w:val="20"/>
                <w:lang w:val="en-US"/>
              </w:rPr>
              <w:t>MR</w:t>
            </w:r>
            <w:r w:rsidRPr="004637A2">
              <w:rPr>
                <w:rFonts w:ascii="Times New Roman" w:hAnsi="Times New Roman" w:cs="Times New Roman"/>
                <w:b/>
                <w:bCs/>
                <w:color w:val="2E2E2E"/>
                <w:sz w:val="20"/>
                <w:szCs w:val="20"/>
                <w:vertAlign w:val="superscript"/>
                <w:lang w:val="en-US"/>
              </w:rPr>
              <w:t>b</w:t>
            </w:r>
          </w:p>
        </w:tc>
        <w:tc>
          <w:tcPr>
            <w:tcW w:w="753" w:type="dxa"/>
            <w:tcBorders>
              <w:top w:val="single" w:sz="4" w:space="0" w:color="auto"/>
              <w:left w:val="nil"/>
              <w:bottom w:val="single" w:sz="4" w:space="0" w:color="auto"/>
              <w:right w:val="nil"/>
            </w:tcBorders>
            <w:tcMar>
              <w:top w:w="75" w:type="dxa"/>
              <w:left w:w="75" w:type="dxa"/>
              <w:bottom w:w="75" w:type="dxa"/>
              <w:right w:w="75" w:type="dxa"/>
            </w:tcMar>
            <w:hideMark/>
          </w:tcPr>
          <w:p w14:paraId="6D121EF3" w14:textId="77777777" w:rsidR="00D05256" w:rsidRPr="004637A2" w:rsidRDefault="00D05256" w:rsidP="00996CA9">
            <w:pPr>
              <w:rPr>
                <w:rFonts w:ascii="Times New Roman" w:hAnsi="Times New Roman" w:cs="Times New Roman"/>
                <w:b/>
                <w:bCs/>
                <w:color w:val="2E2E2E"/>
                <w:sz w:val="20"/>
                <w:szCs w:val="20"/>
                <w:lang w:val="en-US"/>
              </w:rPr>
            </w:pPr>
            <w:r w:rsidRPr="004637A2">
              <w:rPr>
                <w:rFonts w:ascii="Times New Roman" w:hAnsi="Times New Roman" w:cs="Times New Roman"/>
                <w:b/>
                <w:bCs/>
                <w:color w:val="2E2E2E"/>
                <w:sz w:val="20"/>
                <w:szCs w:val="20"/>
                <w:lang w:val="en-US"/>
              </w:rPr>
              <w:t>TPYA</w:t>
            </w:r>
            <w:r w:rsidRPr="004637A2">
              <w:rPr>
                <w:rFonts w:ascii="Times New Roman" w:hAnsi="Times New Roman" w:cs="Times New Roman"/>
                <w:b/>
                <w:bCs/>
                <w:color w:val="2E2E2E"/>
                <w:sz w:val="20"/>
                <w:szCs w:val="20"/>
                <w:vertAlign w:val="superscript"/>
                <w:lang w:val="en-US"/>
              </w:rPr>
              <w:t>c</w:t>
            </w:r>
            <w:r w:rsidRPr="004637A2">
              <w:rPr>
                <w:rFonts w:ascii="Times New Roman" w:hAnsi="Times New Roman" w:cs="Times New Roman"/>
                <w:b/>
                <w:bCs/>
                <w:color w:val="2E2E2E"/>
                <w:sz w:val="20"/>
                <w:szCs w:val="20"/>
                <w:lang w:val="en-US"/>
              </w:rPr>
              <w:t>  (A</w:t>
            </w:r>
            <w:r w:rsidRPr="004637A2">
              <w:rPr>
                <w:rFonts w:ascii="Times New Roman" w:hAnsi="Times New Roman" w:cs="Times New Roman"/>
                <w:b/>
                <w:bCs/>
                <w:color w:val="2E2E2E"/>
                <w:sz w:val="20"/>
                <w:szCs w:val="20"/>
                <w:vertAlign w:val="superscript"/>
                <w:lang w:val="en-US"/>
              </w:rPr>
              <w:t>2</w:t>
            </w:r>
            <w:r w:rsidRPr="004637A2">
              <w:rPr>
                <w:rFonts w:ascii="Times New Roman" w:hAnsi="Times New Roman" w:cs="Times New Roman"/>
                <w:b/>
                <w:bCs/>
                <w:color w:val="2E2E2E"/>
                <w:sz w:val="20"/>
                <w:szCs w:val="20"/>
                <w:lang w:val="en-US"/>
              </w:rPr>
              <w:t>)</w:t>
            </w:r>
          </w:p>
        </w:tc>
        <w:tc>
          <w:tcPr>
            <w:tcW w:w="775" w:type="dxa"/>
            <w:tcBorders>
              <w:top w:val="single" w:sz="4" w:space="0" w:color="auto"/>
              <w:left w:val="nil"/>
              <w:bottom w:val="single" w:sz="4" w:space="0" w:color="auto"/>
              <w:right w:val="nil"/>
            </w:tcBorders>
            <w:tcMar>
              <w:top w:w="75" w:type="dxa"/>
              <w:left w:w="75" w:type="dxa"/>
              <w:bottom w:w="75" w:type="dxa"/>
              <w:right w:w="75" w:type="dxa"/>
            </w:tcMar>
            <w:hideMark/>
          </w:tcPr>
          <w:p w14:paraId="6B3A3D5F" w14:textId="77777777" w:rsidR="00D05256" w:rsidRPr="004637A2" w:rsidRDefault="00D05256" w:rsidP="00996CA9">
            <w:pPr>
              <w:rPr>
                <w:rFonts w:ascii="Times New Roman" w:hAnsi="Times New Roman" w:cs="Times New Roman"/>
                <w:b/>
                <w:bCs/>
                <w:color w:val="2E2E2E"/>
                <w:sz w:val="20"/>
                <w:szCs w:val="20"/>
                <w:lang w:val="en-US"/>
              </w:rPr>
            </w:pPr>
            <w:r w:rsidRPr="004637A2">
              <w:rPr>
                <w:rFonts w:ascii="Times New Roman" w:hAnsi="Times New Roman" w:cs="Times New Roman"/>
                <w:b/>
                <w:bCs/>
                <w:color w:val="2E2E2E"/>
                <w:sz w:val="20"/>
                <w:szCs w:val="20"/>
                <w:lang w:val="en-US"/>
              </w:rPr>
              <w:t>% ABS</w:t>
            </w:r>
            <w:r w:rsidRPr="004637A2">
              <w:rPr>
                <w:rFonts w:ascii="Times New Roman" w:hAnsi="Times New Roman" w:cs="Times New Roman"/>
                <w:b/>
                <w:bCs/>
                <w:color w:val="2E2E2E"/>
                <w:sz w:val="20"/>
                <w:szCs w:val="20"/>
                <w:vertAlign w:val="superscript"/>
                <w:lang w:val="en-US"/>
              </w:rPr>
              <w:t>d</w:t>
            </w:r>
          </w:p>
        </w:tc>
      </w:tr>
      <w:tr w:rsidR="00D05256" w:rsidRPr="00D05256" w14:paraId="29F510E4" w14:textId="77777777" w:rsidTr="00996CA9">
        <w:trPr>
          <w:trHeight w:val="196"/>
        </w:trPr>
        <w:tc>
          <w:tcPr>
            <w:tcW w:w="599" w:type="dxa"/>
            <w:tcBorders>
              <w:top w:val="single" w:sz="4" w:space="0" w:color="auto"/>
              <w:bottom w:val="nil"/>
              <w:right w:val="nil"/>
            </w:tcBorders>
            <w:tcMar>
              <w:top w:w="75" w:type="dxa"/>
              <w:left w:w="75" w:type="dxa"/>
              <w:bottom w:w="75" w:type="dxa"/>
              <w:right w:w="75" w:type="dxa"/>
            </w:tcMar>
            <w:hideMark/>
          </w:tcPr>
          <w:p w14:paraId="2EAA1268" w14:textId="77777777" w:rsidR="00D05256" w:rsidRPr="004637A2" w:rsidRDefault="00D05256" w:rsidP="00996CA9">
            <w:pPr>
              <w:rPr>
                <w:rFonts w:ascii="Times New Roman" w:hAnsi="Times New Roman" w:cs="Times New Roman"/>
                <w:color w:val="2E2E2E"/>
                <w:sz w:val="20"/>
                <w:szCs w:val="20"/>
                <w:lang w:val="en-US"/>
              </w:rPr>
            </w:pPr>
            <w:r w:rsidRPr="004637A2">
              <w:rPr>
                <w:rFonts w:ascii="Times New Roman" w:hAnsi="Times New Roman" w:cs="Times New Roman"/>
                <w:bCs/>
                <w:color w:val="2E2E2E"/>
                <w:sz w:val="20"/>
                <w:szCs w:val="20"/>
                <w:lang w:val="en-US"/>
              </w:rPr>
              <w:t>1</w:t>
            </w:r>
          </w:p>
        </w:tc>
        <w:tc>
          <w:tcPr>
            <w:tcW w:w="1312" w:type="dxa"/>
            <w:tcBorders>
              <w:top w:val="single" w:sz="4" w:space="0" w:color="auto"/>
              <w:bottom w:val="nil"/>
              <w:right w:val="nil"/>
            </w:tcBorders>
            <w:tcMar>
              <w:top w:w="75" w:type="dxa"/>
              <w:left w:w="75" w:type="dxa"/>
              <w:bottom w:w="75" w:type="dxa"/>
              <w:right w:w="75" w:type="dxa"/>
            </w:tcMar>
          </w:tcPr>
          <w:p w14:paraId="4D90E22B" w14:textId="77777777" w:rsidR="00D05256" w:rsidRPr="004637A2" w:rsidRDefault="00D05256" w:rsidP="00996CA9">
            <w:pPr>
              <w:rPr>
                <w:rFonts w:ascii="Times New Roman" w:hAnsi="Times New Roman" w:cs="Times New Roman"/>
                <w:color w:val="2E2E2E"/>
                <w:sz w:val="20"/>
                <w:szCs w:val="20"/>
                <w:lang w:val="en-US"/>
              </w:rPr>
            </w:pPr>
            <w:r w:rsidRPr="004637A2">
              <w:rPr>
                <w:rFonts w:ascii="Times New Roman" w:hAnsi="Times New Roman" w:cs="Times New Roman"/>
                <w:color w:val="2E2E2E"/>
                <w:sz w:val="20"/>
                <w:szCs w:val="20"/>
                <w:lang w:val="en-US"/>
              </w:rPr>
              <w:t>4.99</w:t>
            </w:r>
          </w:p>
        </w:tc>
        <w:tc>
          <w:tcPr>
            <w:tcW w:w="1014" w:type="dxa"/>
            <w:tcBorders>
              <w:top w:val="single" w:sz="4" w:space="0" w:color="auto"/>
              <w:bottom w:val="nil"/>
              <w:right w:val="nil"/>
            </w:tcBorders>
            <w:tcMar>
              <w:top w:w="75" w:type="dxa"/>
              <w:left w:w="75" w:type="dxa"/>
              <w:bottom w:w="75" w:type="dxa"/>
              <w:right w:w="75" w:type="dxa"/>
            </w:tcMar>
          </w:tcPr>
          <w:p w14:paraId="4A4162EA" w14:textId="77777777" w:rsidR="00D05256" w:rsidRPr="004637A2" w:rsidRDefault="00D05256" w:rsidP="00996CA9">
            <w:pPr>
              <w:rPr>
                <w:rFonts w:ascii="Times New Roman" w:hAnsi="Times New Roman" w:cs="Times New Roman"/>
                <w:color w:val="2E2E2E"/>
                <w:sz w:val="20"/>
                <w:szCs w:val="20"/>
                <w:lang w:val="en-US"/>
              </w:rPr>
            </w:pPr>
            <w:r w:rsidRPr="004637A2">
              <w:rPr>
                <w:rFonts w:ascii="Times New Roman" w:hAnsi="Times New Roman" w:cs="Times New Roman"/>
                <w:color w:val="2E2E2E"/>
                <w:sz w:val="20"/>
                <w:szCs w:val="20"/>
                <w:lang w:val="en-US"/>
              </w:rPr>
              <w:t>416.47</w:t>
            </w:r>
          </w:p>
        </w:tc>
        <w:tc>
          <w:tcPr>
            <w:tcW w:w="704" w:type="dxa"/>
            <w:tcBorders>
              <w:top w:val="single" w:sz="4" w:space="0" w:color="auto"/>
              <w:bottom w:val="nil"/>
              <w:right w:val="nil"/>
            </w:tcBorders>
            <w:tcMar>
              <w:top w:w="75" w:type="dxa"/>
              <w:left w:w="75" w:type="dxa"/>
              <w:bottom w:w="75" w:type="dxa"/>
              <w:right w:w="75" w:type="dxa"/>
            </w:tcMar>
          </w:tcPr>
          <w:p w14:paraId="497C75F0" w14:textId="77777777" w:rsidR="00D05256" w:rsidRPr="004637A2" w:rsidRDefault="00D05256" w:rsidP="00996CA9">
            <w:pPr>
              <w:rPr>
                <w:rFonts w:ascii="Times New Roman" w:hAnsi="Times New Roman" w:cs="Times New Roman"/>
                <w:color w:val="2E2E2E"/>
                <w:sz w:val="20"/>
                <w:szCs w:val="20"/>
                <w:lang w:val="en-US"/>
              </w:rPr>
            </w:pPr>
            <w:r w:rsidRPr="004637A2">
              <w:rPr>
                <w:rFonts w:ascii="Times New Roman" w:hAnsi="Times New Roman" w:cs="Times New Roman"/>
                <w:color w:val="2E2E2E"/>
                <w:sz w:val="20"/>
                <w:szCs w:val="20"/>
                <w:lang w:val="en-US"/>
              </w:rPr>
              <w:t>32</w:t>
            </w:r>
          </w:p>
        </w:tc>
        <w:tc>
          <w:tcPr>
            <w:tcW w:w="1002" w:type="dxa"/>
            <w:tcBorders>
              <w:top w:val="single" w:sz="4" w:space="0" w:color="auto"/>
              <w:bottom w:val="nil"/>
              <w:right w:val="nil"/>
            </w:tcBorders>
            <w:tcMar>
              <w:top w:w="75" w:type="dxa"/>
              <w:left w:w="75" w:type="dxa"/>
              <w:bottom w:w="75" w:type="dxa"/>
              <w:right w:w="75" w:type="dxa"/>
            </w:tcMar>
          </w:tcPr>
          <w:p w14:paraId="46C5443D" w14:textId="77777777" w:rsidR="00D05256" w:rsidRPr="004637A2" w:rsidRDefault="00D05256" w:rsidP="00996CA9">
            <w:pPr>
              <w:rPr>
                <w:rFonts w:ascii="Times New Roman" w:hAnsi="Times New Roman" w:cs="Times New Roman"/>
                <w:color w:val="2E2E2E"/>
                <w:sz w:val="20"/>
                <w:szCs w:val="20"/>
                <w:lang w:val="en-US"/>
              </w:rPr>
            </w:pPr>
            <w:r w:rsidRPr="004637A2">
              <w:rPr>
                <w:rFonts w:ascii="Times New Roman" w:hAnsi="Times New Roman" w:cs="Times New Roman"/>
                <w:color w:val="2E2E2E"/>
                <w:sz w:val="20"/>
                <w:szCs w:val="20"/>
                <w:lang w:val="en-US"/>
              </w:rPr>
              <w:t>24</w:t>
            </w:r>
          </w:p>
        </w:tc>
        <w:tc>
          <w:tcPr>
            <w:tcW w:w="570" w:type="dxa"/>
            <w:tcBorders>
              <w:top w:val="single" w:sz="4" w:space="0" w:color="auto"/>
              <w:bottom w:val="nil"/>
              <w:right w:val="nil"/>
            </w:tcBorders>
            <w:tcMar>
              <w:top w:w="75" w:type="dxa"/>
              <w:left w:w="75" w:type="dxa"/>
              <w:bottom w:w="75" w:type="dxa"/>
              <w:right w:w="75" w:type="dxa"/>
            </w:tcMar>
          </w:tcPr>
          <w:p w14:paraId="18D7C003" w14:textId="77777777" w:rsidR="00D05256" w:rsidRPr="004637A2" w:rsidRDefault="00D05256" w:rsidP="00996CA9">
            <w:pPr>
              <w:rPr>
                <w:rFonts w:ascii="Times New Roman" w:hAnsi="Times New Roman" w:cs="Times New Roman"/>
                <w:color w:val="2E2E2E"/>
                <w:sz w:val="20"/>
                <w:szCs w:val="20"/>
                <w:lang w:val="en-US"/>
              </w:rPr>
            </w:pPr>
            <w:r w:rsidRPr="004637A2">
              <w:rPr>
                <w:rFonts w:ascii="Times New Roman" w:hAnsi="Times New Roman" w:cs="Times New Roman"/>
                <w:color w:val="2E2E2E"/>
                <w:sz w:val="20"/>
                <w:szCs w:val="20"/>
                <w:lang w:val="en-US"/>
              </w:rPr>
              <w:t>5</w:t>
            </w:r>
          </w:p>
        </w:tc>
        <w:tc>
          <w:tcPr>
            <w:tcW w:w="599" w:type="dxa"/>
            <w:tcBorders>
              <w:top w:val="single" w:sz="4" w:space="0" w:color="auto"/>
              <w:bottom w:val="nil"/>
              <w:right w:val="nil"/>
            </w:tcBorders>
            <w:tcMar>
              <w:top w:w="75" w:type="dxa"/>
              <w:left w:w="75" w:type="dxa"/>
              <w:bottom w:w="75" w:type="dxa"/>
              <w:right w:w="75" w:type="dxa"/>
            </w:tcMar>
          </w:tcPr>
          <w:p w14:paraId="27EE037D" w14:textId="77777777" w:rsidR="00D05256" w:rsidRPr="004637A2" w:rsidRDefault="00D05256" w:rsidP="00996CA9">
            <w:pPr>
              <w:rPr>
                <w:rFonts w:ascii="Times New Roman" w:hAnsi="Times New Roman" w:cs="Times New Roman"/>
                <w:color w:val="2E2E2E"/>
                <w:sz w:val="20"/>
                <w:szCs w:val="20"/>
                <w:lang w:val="en-US"/>
              </w:rPr>
            </w:pPr>
            <w:r w:rsidRPr="004637A2">
              <w:rPr>
                <w:rFonts w:ascii="Times New Roman" w:hAnsi="Times New Roman" w:cs="Times New Roman"/>
                <w:color w:val="2E2E2E"/>
                <w:sz w:val="20"/>
                <w:szCs w:val="20"/>
                <w:lang w:val="en-US"/>
              </w:rPr>
              <w:t>4</w:t>
            </w:r>
          </w:p>
        </w:tc>
        <w:tc>
          <w:tcPr>
            <w:tcW w:w="603" w:type="dxa"/>
            <w:tcBorders>
              <w:top w:val="single" w:sz="4" w:space="0" w:color="auto"/>
              <w:bottom w:val="nil"/>
              <w:right w:val="nil"/>
            </w:tcBorders>
            <w:tcMar>
              <w:top w:w="75" w:type="dxa"/>
              <w:left w:w="75" w:type="dxa"/>
              <w:bottom w:w="75" w:type="dxa"/>
              <w:right w:w="75" w:type="dxa"/>
            </w:tcMar>
          </w:tcPr>
          <w:p w14:paraId="7108A86D" w14:textId="77777777" w:rsidR="00D05256" w:rsidRPr="004637A2" w:rsidRDefault="00D05256" w:rsidP="00996CA9">
            <w:pPr>
              <w:rPr>
                <w:rFonts w:ascii="Times New Roman" w:hAnsi="Times New Roman" w:cs="Times New Roman"/>
                <w:color w:val="2E2E2E"/>
                <w:sz w:val="20"/>
                <w:szCs w:val="20"/>
                <w:lang w:val="en-US"/>
              </w:rPr>
            </w:pPr>
            <w:r w:rsidRPr="004637A2">
              <w:rPr>
                <w:rFonts w:ascii="Times New Roman" w:hAnsi="Times New Roman" w:cs="Times New Roman"/>
                <w:color w:val="2E2E2E"/>
                <w:sz w:val="20"/>
                <w:szCs w:val="20"/>
                <w:lang w:val="en-US"/>
              </w:rPr>
              <w:t>1</w:t>
            </w:r>
          </w:p>
        </w:tc>
        <w:tc>
          <w:tcPr>
            <w:tcW w:w="676" w:type="dxa"/>
            <w:tcBorders>
              <w:top w:val="single" w:sz="4" w:space="0" w:color="auto"/>
              <w:bottom w:val="nil"/>
              <w:right w:val="nil"/>
            </w:tcBorders>
            <w:tcMar>
              <w:top w:w="75" w:type="dxa"/>
              <w:left w:w="75" w:type="dxa"/>
              <w:bottom w:w="75" w:type="dxa"/>
              <w:right w:w="75" w:type="dxa"/>
            </w:tcMar>
          </w:tcPr>
          <w:p w14:paraId="74324B84" w14:textId="77777777" w:rsidR="00D05256" w:rsidRPr="004637A2" w:rsidRDefault="00D05256" w:rsidP="00996CA9">
            <w:pPr>
              <w:rPr>
                <w:rFonts w:ascii="Times New Roman" w:hAnsi="Times New Roman" w:cs="Times New Roman"/>
                <w:color w:val="2E2E2E"/>
                <w:sz w:val="20"/>
                <w:szCs w:val="20"/>
                <w:lang w:val="en-US"/>
              </w:rPr>
            </w:pPr>
            <w:r w:rsidRPr="004637A2">
              <w:rPr>
                <w:rFonts w:ascii="Times New Roman" w:hAnsi="Times New Roman" w:cs="Times New Roman"/>
                <w:color w:val="2E2E2E"/>
                <w:sz w:val="20"/>
                <w:szCs w:val="20"/>
                <w:lang w:val="en-US"/>
              </w:rPr>
              <w:t>123.04</w:t>
            </w:r>
          </w:p>
        </w:tc>
        <w:tc>
          <w:tcPr>
            <w:tcW w:w="753" w:type="dxa"/>
            <w:tcBorders>
              <w:top w:val="single" w:sz="4" w:space="0" w:color="auto"/>
              <w:bottom w:val="nil"/>
              <w:right w:val="nil"/>
            </w:tcBorders>
            <w:tcMar>
              <w:top w:w="75" w:type="dxa"/>
              <w:left w:w="75" w:type="dxa"/>
              <w:bottom w:w="75" w:type="dxa"/>
              <w:right w:w="75" w:type="dxa"/>
            </w:tcMar>
          </w:tcPr>
          <w:p w14:paraId="4887F2C6" w14:textId="77777777" w:rsidR="00D05256" w:rsidRPr="004637A2" w:rsidRDefault="00D05256" w:rsidP="00996CA9">
            <w:pPr>
              <w:rPr>
                <w:rFonts w:ascii="Times New Roman" w:hAnsi="Times New Roman" w:cs="Times New Roman"/>
                <w:color w:val="2E2E2E"/>
                <w:sz w:val="20"/>
                <w:szCs w:val="20"/>
                <w:lang w:val="en-US"/>
              </w:rPr>
            </w:pPr>
            <w:r w:rsidRPr="004637A2">
              <w:rPr>
                <w:rFonts w:ascii="Times New Roman" w:hAnsi="Times New Roman" w:cs="Times New Roman"/>
                <w:color w:val="2E2E2E"/>
                <w:sz w:val="20"/>
                <w:szCs w:val="20"/>
                <w:lang w:val="en-US"/>
              </w:rPr>
              <w:t>77.04</w:t>
            </w:r>
          </w:p>
        </w:tc>
        <w:tc>
          <w:tcPr>
            <w:tcW w:w="775" w:type="dxa"/>
            <w:tcBorders>
              <w:top w:val="single" w:sz="4" w:space="0" w:color="auto"/>
              <w:bottom w:val="nil"/>
              <w:right w:val="nil"/>
            </w:tcBorders>
            <w:tcMar>
              <w:top w:w="75" w:type="dxa"/>
              <w:left w:w="75" w:type="dxa"/>
              <w:bottom w:w="75" w:type="dxa"/>
              <w:right w:w="75" w:type="dxa"/>
            </w:tcMar>
          </w:tcPr>
          <w:p w14:paraId="22797E75" w14:textId="77777777" w:rsidR="00D05256" w:rsidRPr="004637A2" w:rsidRDefault="00D05256" w:rsidP="00996CA9">
            <w:pPr>
              <w:rPr>
                <w:rFonts w:ascii="Times New Roman" w:hAnsi="Times New Roman" w:cs="Times New Roman"/>
                <w:color w:val="2E2E2E"/>
                <w:sz w:val="20"/>
                <w:szCs w:val="20"/>
                <w:lang w:val="en-US"/>
              </w:rPr>
            </w:pPr>
            <w:r w:rsidRPr="004637A2">
              <w:rPr>
                <w:rFonts w:ascii="Times New Roman" w:hAnsi="Times New Roman" w:cs="Times New Roman"/>
                <w:color w:val="2E2E2E"/>
                <w:sz w:val="20"/>
                <w:szCs w:val="20"/>
                <w:lang w:val="en-US"/>
              </w:rPr>
              <w:t>82.42</w:t>
            </w:r>
          </w:p>
        </w:tc>
      </w:tr>
      <w:tr w:rsidR="00D05256" w:rsidRPr="00D05256" w14:paraId="45B7A46D" w14:textId="77777777" w:rsidTr="00996CA9">
        <w:trPr>
          <w:trHeight w:val="196"/>
        </w:trPr>
        <w:tc>
          <w:tcPr>
            <w:tcW w:w="599" w:type="dxa"/>
            <w:tcBorders>
              <w:top w:val="nil"/>
              <w:bottom w:val="single" w:sz="4" w:space="0" w:color="auto"/>
              <w:right w:val="nil"/>
            </w:tcBorders>
            <w:tcMar>
              <w:top w:w="75" w:type="dxa"/>
              <w:left w:w="75" w:type="dxa"/>
              <w:bottom w:w="75" w:type="dxa"/>
              <w:right w:w="75" w:type="dxa"/>
            </w:tcMar>
          </w:tcPr>
          <w:p w14:paraId="3995D21F" w14:textId="77777777" w:rsidR="00D05256" w:rsidRPr="004637A2" w:rsidRDefault="00D05256" w:rsidP="00996CA9">
            <w:pPr>
              <w:rPr>
                <w:rFonts w:ascii="Times New Roman" w:hAnsi="Times New Roman" w:cs="Times New Roman"/>
                <w:color w:val="2E2E2E"/>
                <w:sz w:val="20"/>
                <w:szCs w:val="20"/>
                <w:lang w:val="en-US"/>
              </w:rPr>
            </w:pPr>
            <w:r w:rsidRPr="004637A2">
              <w:rPr>
                <w:rFonts w:ascii="Times New Roman" w:hAnsi="Times New Roman" w:cs="Times New Roman"/>
                <w:color w:val="2E2E2E"/>
                <w:sz w:val="20"/>
                <w:szCs w:val="20"/>
                <w:lang w:val="en-US"/>
              </w:rPr>
              <w:t>2</w:t>
            </w:r>
          </w:p>
        </w:tc>
        <w:tc>
          <w:tcPr>
            <w:tcW w:w="1312" w:type="dxa"/>
            <w:tcBorders>
              <w:top w:val="nil"/>
              <w:bottom w:val="single" w:sz="4" w:space="0" w:color="auto"/>
              <w:right w:val="nil"/>
            </w:tcBorders>
            <w:tcMar>
              <w:top w:w="75" w:type="dxa"/>
              <w:left w:w="75" w:type="dxa"/>
              <w:bottom w:w="75" w:type="dxa"/>
              <w:right w:w="75" w:type="dxa"/>
            </w:tcMar>
          </w:tcPr>
          <w:p w14:paraId="43AABA31" w14:textId="77777777" w:rsidR="00D05256" w:rsidRPr="004637A2" w:rsidRDefault="00D05256" w:rsidP="00996CA9">
            <w:pPr>
              <w:rPr>
                <w:rFonts w:ascii="Times New Roman" w:hAnsi="Times New Roman" w:cs="Times New Roman"/>
                <w:color w:val="2E2E2E"/>
                <w:sz w:val="20"/>
                <w:szCs w:val="20"/>
                <w:lang w:val="en-US"/>
              </w:rPr>
            </w:pPr>
            <w:r w:rsidRPr="004637A2">
              <w:rPr>
                <w:rFonts w:ascii="Times New Roman" w:hAnsi="Times New Roman" w:cs="Times New Roman"/>
                <w:color w:val="2E2E2E"/>
                <w:sz w:val="20"/>
                <w:szCs w:val="20"/>
                <w:lang w:val="en-US"/>
              </w:rPr>
              <w:t>1.54</w:t>
            </w:r>
          </w:p>
        </w:tc>
        <w:tc>
          <w:tcPr>
            <w:tcW w:w="1014" w:type="dxa"/>
            <w:tcBorders>
              <w:top w:val="nil"/>
              <w:bottom w:val="single" w:sz="4" w:space="0" w:color="auto"/>
              <w:right w:val="nil"/>
            </w:tcBorders>
            <w:tcMar>
              <w:top w:w="75" w:type="dxa"/>
              <w:left w:w="75" w:type="dxa"/>
              <w:bottom w:w="75" w:type="dxa"/>
              <w:right w:w="75" w:type="dxa"/>
            </w:tcMar>
          </w:tcPr>
          <w:p w14:paraId="07B5B5DB" w14:textId="77777777" w:rsidR="00D05256" w:rsidRPr="004637A2" w:rsidRDefault="00D05256" w:rsidP="00996CA9">
            <w:pPr>
              <w:rPr>
                <w:rFonts w:ascii="Times New Roman" w:hAnsi="Times New Roman" w:cs="Times New Roman"/>
                <w:color w:val="2E2E2E"/>
                <w:sz w:val="20"/>
                <w:szCs w:val="20"/>
                <w:lang w:val="en-US"/>
              </w:rPr>
            </w:pPr>
            <w:r w:rsidRPr="004637A2">
              <w:rPr>
                <w:rFonts w:ascii="Times New Roman" w:hAnsi="Times New Roman" w:cs="Times New Roman"/>
                <w:color w:val="2E2E2E"/>
                <w:sz w:val="20"/>
                <w:szCs w:val="20"/>
                <w:lang w:val="en-US"/>
              </w:rPr>
              <w:t>276.25</w:t>
            </w:r>
          </w:p>
        </w:tc>
        <w:tc>
          <w:tcPr>
            <w:tcW w:w="704" w:type="dxa"/>
            <w:tcBorders>
              <w:top w:val="nil"/>
              <w:bottom w:val="single" w:sz="4" w:space="0" w:color="auto"/>
              <w:right w:val="nil"/>
            </w:tcBorders>
            <w:tcMar>
              <w:top w:w="75" w:type="dxa"/>
              <w:left w:w="75" w:type="dxa"/>
              <w:bottom w:w="75" w:type="dxa"/>
              <w:right w:w="75" w:type="dxa"/>
            </w:tcMar>
          </w:tcPr>
          <w:p w14:paraId="610E540B" w14:textId="77777777" w:rsidR="00D05256" w:rsidRPr="004637A2" w:rsidRDefault="00D05256" w:rsidP="00996CA9">
            <w:pPr>
              <w:rPr>
                <w:rFonts w:ascii="Times New Roman" w:hAnsi="Times New Roman" w:cs="Times New Roman"/>
                <w:color w:val="2E2E2E"/>
                <w:sz w:val="20"/>
                <w:szCs w:val="20"/>
                <w:lang w:val="en-US"/>
              </w:rPr>
            </w:pPr>
            <w:r w:rsidRPr="004637A2">
              <w:rPr>
                <w:rFonts w:ascii="Times New Roman" w:hAnsi="Times New Roman" w:cs="Times New Roman"/>
                <w:color w:val="2E2E2E"/>
                <w:sz w:val="20"/>
                <w:szCs w:val="20"/>
                <w:lang w:val="en-US"/>
              </w:rPr>
              <w:t>21</w:t>
            </w:r>
          </w:p>
        </w:tc>
        <w:tc>
          <w:tcPr>
            <w:tcW w:w="1002" w:type="dxa"/>
            <w:tcBorders>
              <w:top w:val="nil"/>
              <w:bottom w:val="single" w:sz="4" w:space="0" w:color="auto"/>
              <w:right w:val="nil"/>
            </w:tcBorders>
            <w:tcMar>
              <w:top w:w="75" w:type="dxa"/>
              <w:left w:w="75" w:type="dxa"/>
              <w:bottom w:w="75" w:type="dxa"/>
              <w:right w:w="75" w:type="dxa"/>
            </w:tcMar>
          </w:tcPr>
          <w:p w14:paraId="7DBB20C1" w14:textId="77777777" w:rsidR="00D05256" w:rsidRPr="004637A2" w:rsidRDefault="00D05256" w:rsidP="00996CA9">
            <w:pPr>
              <w:rPr>
                <w:rFonts w:ascii="Times New Roman" w:hAnsi="Times New Roman" w:cs="Times New Roman"/>
                <w:color w:val="2E2E2E"/>
                <w:sz w:val="20"/>
                <w:szCs w:val="20"/>
                <w:lang w:val="en-US"/>
              </w:rPr>
            </w:pPr>
            <w:r w:rsidRPr="004637A2">
              <w:rPr>
                <w:rFonts w:ascii="Times New Roman" w:hAnsi="Times New Roman" w:cs="Times New Roman"/>
                <w:color w:val="2E2E2E"/>
                <w:sz w:val="20"/>
                <w:szCs w:val="20"/>
                <w:lang w:val="en-US"/>
              </w:rPr>
              <w:t>15</w:t>
            </w:r>
          </w:p>
        </w:tc>
        <w:tc>
          <w:tcPr>
            <w:tcW w:w="570" w:type="dxa"/>
            <w:tcBorders>
              <w:top w:val="nil"/>
              <w:bottom w:val="single" w:sz="4" w:space="0" w:color="auto"/>
              <w:right w:val="nil"/>
            </w:tcBorders>
            <w:tcMar>
              <w:top w:w="75" w:type="dxa"/>
              <w:left w:w="75" w:type="dxa"/>
              <w:bottom w:w="75" w:type="dxa"/>
              <w:right w:w="75" w:type="dxa"/>
            </w:tcMar>
          </w:tcPr>
          <w:p w14:paraId="0EE4887F" w14:textId="77777777" w:rsidR="00D05256" w:rsidRPr="004637A2" w:rsidRDefault="00D05256" w:rsidP="00996CA9">
            <w:pPr>
              <w:rPr>
                <w:rFonts w:ascii="Times New Roman" w:hAnsi="Times New Roman" w:cs="Times New Roman"/>
                <w:color w:val="2E2E2E"/>
                <w:sz w:val="20"/>
                <w:szCs w:val="20"/>
                <w:lang w:val="en-US"/>
              </w:rPr>
            </w:pPr>
            <w:r w:rsidRPr="004637A2">
              <w:rPr>
                <w:rFonts w:ascii="Times New Roman" w:hAnsi="Times New Roman" w:cs="Times New Roman"/>
                <w:color w:val="2E2E2E"/>
                <w:sz w:val="20"/>
                <w:szCs w:val="20"/>
                <w:lang w:val="en-US"/>
              </w:rPr>
              <w:t>2</w:t>
            </w:r>
          </w:p>
        </w:tc>
        <w:tc>
          <w:tcPr>
            <w:tcW w:w="599" w:type="dxa"/>
            <w:tcBorders>
              <w:top w:val="nil"/>
              <w:bottom w:val="single" w:sz="4" w:space="0" w:color="auto"/>
              <w:right w:val="nil"/>
            </w:tcBorders>
            <w:tcMar>
              <w:top w:w="75" w:type="dxa"/>
              <w:left w:w="75" w:type="dxa"/>
              <w:bottom w:w="75" w:type="dxa"/>
              <w:right w:w="75" w:type="dxa"/>
            </w:tcMar>
          </w:tcPr>
          <w:p w14:paraId="705537B1" w14:textId="77777777" w:rsidR="00D05256" w:rsidRPr="004637A2" w:rsidRDefault="00D05256" w:rsidP="00996CA9">
            <w:pPr>
              <w:rPr>
                <w:rFonts w:ascii="Times New Roman" w:hAnsi="Times New Roman" w:cs="Times New Roman"/>
                <w:color w:val="2E2E2E"/>
                <w:sz w:val="20"/>
                <w:szCs w:val="20"/>
                <w:lang w:val="en-US"/>
              </w:rPr>
            </w:pPr>
            <w:r w:rsidRPr="004637A2">
              <w:rPr>
                <w:rFonts w:ascii="Times New Roman" w:hAnsi="Times New Roman" w:cs="Times New Roman"/>
                <w:color w:val="2E2E2E"/>
                <w:sz w:val="20"/>
                <w:szCs w:val="20"/>
                <w:lang w:val="en-US"/>
              </w:rPr>
              <w:t>6</w:t>
            </w:r>
          </w:p>
        </w:tc>
        <w:tc>
          <w:tcPr>
            <w:tcW w:w="603" w:type="dxa"/>
            <w:tcBorders>
              <w:top w:val="nil"/>
              <w:bottom w:val="single" w:sz="4" w:space="0" w:color="auto"/>
              <w:right w:val="nil"/>
            </w:tcBorders>
            <w:tcMar>
              <w:top w:w="75" w:type="dxa"/>
              <w:left w:w="75" w:type="dxa"/>
              <w:bottom w:w="75" w:type="dxa"/>
              <w:right w:w="75" w:type="dxa"/>
            </w:tcMar>
          </w:tcPr>
          <w:p w14:paraId="10466D0D" w14:textId="77777777" w:rsidR="00D05256" w:rsidRPr="004637A2" w:rsidRDefault="00D05256" w:rsidP="00996CA9">
            <w:pPr>
              <w:rPr>
                <w:rFonts w:ascii="Times New Roman" w:hAnsi="Times New Roman" w:cs="Times New Roman"/>
                <w:color w:val="2E2E2E"/>
                <w:sz w:val="20"/>
                <w:szCs w:val="20"/>
                <w:lang w:val="en-US"/>
              </w:rPr>
            </w:pPr>
            <w:r w:rsidRPr="004637A2">
              <w:rPr>
                <w:rFonts w:ascii="Times New Roman" w:hAnsi="Times New Roman" w:cs="Times New Roman"/>
                <w:color w:val="2E2E2E"/>
                <w:sz w:val="20"/>
                <w:szCs w:val="20"/>
                <w:lang w:val="en-US"/>
              </w:rPr>
              <w:t>0</w:t>
            </w:r>
          </w:p>
        </w:tc>
        <w:tc>
          <w:tcPr>
            <w:tcW w:w="676" w:type="dxa"/>
            <w:tcBorders>
              <w:top w:val="nil"/>
              <w:bottom w:val="single" w:sz="4" w:space="0" w:color="auto"/>
              <w:right w:val="nil"/>
            </w:tcBorders>
            <w:tcMar>
              <w:top w:w="75" w:type="dxa"/>
              <w:left w:w="75" w:type="dxa"/>
              <w:bottom w:w="75" w:type="dxa"/>
              <w:right w:w="75" w:type="dxa"/>
            </w:tcMar>
          </w:tcPr>
          <w:p w14:paraId="78D246FD" w14:textId="77777777" w:rsidR="00D05256" w:rsidRPr="004637A2" w:rsidRDefault="00D05256" w:rsidP="00996CA9">
            <w:pPr>
              <w:rPr>
                <w:rFonts w:ascii="Times New Roman" w:hAnsi="Times New Roman" w:cs="Times New Roman"/>
                <w:color w:val="2E2E2E"/>
                <w:sz w:val="20"/>
                <w:szCs w:val="20"/>
                <w:lang w:val="en-US"/>
              </w:rPr>
            </w:pPr>
            <w:r w:rsidRPr="004637A2">
              <w:rPr>
                <w:rFonts w:ascii="Times New Roman" w:hAnsi="Times New Roman" w:cs="Times New Roman"/>
                <w:color w:val="2E2E2E"/>
                <w:sz w:val="20"/>
                <w:szCs w:val="20"/>
                <w:lang w:val="en-US"/>
              </w:rPr>
              <w:t>71.69</w:t>
            </w:r>
          </w:p>
        </w:tc>
        <w:tc>
          <w:tcPr>
            <w:tcW w:w="753" w:type="dxa"/>
            <w:tcBorders>
              <w:top w:val="nil"/>
              <w:bottom w:val="single" w:sz="4" w:space="0" w:color="auto"/>
              <w:right w:val="nil"/>
            </w:tcBorders>
            <w:tcMar>
              <w:top w:w="75" w:type="dxa"/>
              <w:left w:w="75" w:type="dxa"/>
              <w:bottom w:w="75" w:type="dxa"/>
              <w:right w:w="75" w:type="dxa"/>
            </w:tcMar>
          </w:tcPr>
          <w:p w14:paraId="35FA4BC0" w14:textId="77777777" w:rsidR="00D05256" w:rsidRPr="004637A2" w:rsidRDefault="00D05256" w:rsidP="00996CA9">
            <w:pPr>
              <w:rPr>
                <w:rFonts w:ascii="Times New Roman" w:hAnsi="Times New Roman" w:cs="Times New Roman"/>
                <w:color w:val="2E2E2E"/>
                <w:sz w:val="20"/>
                <w:szCs w:val="20"/>
                <w:lang w:val="en-US"/>
              </w:rPr>
            </w:pPr>
            <w:r w:rsidRPr="004637A2">
              <w:rPr>
                <w:rFonts w:ascii="Times New Roman" w:hAnsi="Times New Roman" w:cs="Times New Roman"/>
                <w:color w:val="2E2E2E"/>
                <w:sz w:val="20"/>
                <w:szCs w:val="20"/>
                <w:lang w:val="en-US"/>
              </w:rPr>
              <w:t>99.89</w:t>
            </w:r>
          </w:p>
        </w:tc>
        <w:tc>
          <w:tcPr>
            <w:tcW w:w="775" w:type="dxa"/>
            <w:tcBorders>
              <w:top w:val="nil"/>
              <w:bottom w:val="single" w:sz="4" w:space="0" w:color="auto"/>
              <w:right w:val="nil"/>
            </w:tcBorders>
            <w:tcMar>
              <w:top w:w="75" w:type="dxa"/>
              <w:left w:w="75" w:type="dxa"/>
              <w:bottom w:w="75" w:type="dxa"/>
              <w:right w:w="75" w:type="dxa"/>
            </w:tcMar>
          </w:tcPr>
          <w:p w14:paraId="5E38D7B2" w14:textId="77777777" w:rsidR="00D05256" w:rsidRPr="004637A2" w:rsidRDefault="00D05256" w:rsidP="00996CA9">
            <w:pPr>
              <w:rPr>
                <w:rFonts w:ascii="Times New Roman" w:hAnsi="Times New Roman" w:cs="Times New Roman"/>
                <w:color w:val="2E2E2E"/>
                <w:sz w:val="20"/>
                <w:szCs w:val="20"/>
                <w:lang w:val="en-US"/>
              </w:rPr>
            </w:pPr>
            <w:r w:rsidRPr="004637A2">
              <w:rPr>
                <w:rFonts w:ascii="Times New Roman" w:hAnsi="Times New Roman" w:cs="Times New Roman"/>
                <w:color w:val="2E2E2E"/>
                <w:sz w:val="20"/>
                <w:szCs w:val="20"/>
                <w:lang w:val="en-US"/>
              </w:rPr>
              <w:t>74.54</w:t>
            </w:r>
          </w:p>
        </w:tc>
      </w:tr>
    </w:tbl>
    <w:p w14:paraId="46FB63EF" w14:textId="523E1DCD" w:rsidR="00D05256" w:rsidRPr="004637A2" w:rsidRDefault="00D05256" w:rsidP="004637A2">
      <w:pPr>
        <w:rPr>
          <w:rFonts w:ascii="Times New Roman" w:eastAsia="Calibri" w:hAnsi="Times New Roman" w:cs="Times New Roman"/>
          <w:sz w:val="20"/>
          <w:szCs w:val="20"/>
          <w:lang w:val="en-US"/>
        </w:rPr>
      </w:pPr>
      <w:r w:rsidRPr="004637A2">
        <w:rPr>
          <w:rFonts w:ascii="Times New Roman" w:eastAsia="Calibri" w:hAnsi="Times New Roman" w:cs="Times New Roman"/>
          <w:color w:val="323232"/>
          <w:sz w:val="20"/>
          <w:szCs w:val="20"/>
          <w:vertAlign w:val="superscript"/>
          <w:lang w:val="en-US"/>
        </w:rPr>
        <w:t>a</w:t>
      </w:r>
      <w:r w:rsidRPr="004637A2">
        <w:rPr>
          <w:rFonts w:ascii="Times New Roman" w:eastAsia="Calibri" w:hAnsi="Times New Roman" w:cs="Times New Roman"/>
          <w:b/>
          <w:bCs/>
          <w:color w:val="323232"/>
          <w:sz w:val="20"/>
          <w:szCs w:val="20"/>
          <w:lang w:val="en-US"/>
        </w:rPr>
        <w:t>MA</w:t>
      </w:r>
      <w:r w:rsidRPr="004637A2">
        <w:rPr>
          <w:rFonts w:ascii="Times New Roman" w:eastAsia="Calibri" w:hAnsi="Times New Roman" w:cs="Times New Roman"/>
          <w:color w:val="323232"/>
          <w:sz w:val="20"/>
          <w:szCs w:val="20"/>
          <w:lang w:val="en-US"/>
        </w:rPr>
        <w:t>, moleküler ağırlık; </w:t>
      </w:r>
      <w:r w:rsidRPr="004637A2">
        <w:rPr>
          <w:rFonts w:ascii="Times New Roman" w:eastAsia="Calibri" w:hAnsi="Times New Roman" w:cs="Times New Roman"/>
          <w:color w:val="323232"/>
          <w:sz w:val="20"/>
          <w:szCs w:val="20"/>
          <w:vertAlign w:val="superscript"/>
          <w:lang w:val="en-US"/>
        </w:rPr>
        <w:t>b</w:t>
      </w:r>
      <w:r w:rsidRPr="004637A2">
        <w:rPr>
          <w:rFonts w:ascii="Times New Roman" w:eastAsia="Calibri" w:hAnsi="Times New Roman" w:cs="Times New Roman"/>
          <w:b/>
          <w:bCs/>
          <w:color w:val="323232"/>
          <w:sz w:val="20"/>
          <w:szCs w:val="20"/>
          <w:lang w:val="en-US"/>
        </w:rPr>
        <w:t>MR</w:t>
      </w:r>
      <w:r w:rsidRPr="004637A2">
        <w:rPr>
          <w:rFonts w:ascii="Times New Roman" w:eastAsia="Calibri" w:hAnsi="Times New Roman" w:cs="Times New Roman"/>
          <w:color w:val="323232"/>
          <w:sz w:val="20"/>
          <w:szCs w:val="20"/>
          <w:lang w:val="en-US"/>
        </w:rPr>
        <w:t>, molar refraktivite; </w:t>
      </w:r>
      <w:r w:rsidRPr="004637A2">
        <w:rPr>
          <w:rFonts w:ascii="Times New Roman" w:eastAsia="Calibri" w:hAnsi="Times New Roman" w:cs="Times New Roman"/>
          <w:color w:val="323232"/>
          <w:sz w:val="20"/>
          <w:szCs w:val="20"/>
          <w:vertAlign w:val="superscript"/>
          <w:lang w:val="en-US"/>
        </w:rPr>
        <w:t>c</w:t>
      </w:r>
      <w:r w:rsidRPr="004637A2">
        <w:rPr>
          <w:rFonts w:ascii="Times New Roman" w:eastAsia="Calibri" w:hAnsi="Times New Roman" w:cs="Times New Roman"/>
          <w:b/>
          <w:bCs/>
          <w:color w:val="323232"/>
          <w:sz w:val="20"/>
          <w:szCs w:val="20"/>
          <w:lang w:val="en-US"/>
        </w:rPr>
        <w:t>TPYA</w:t>
      </w:r>
      <w:r w:rsidRPr="004637A2">
        <w:rPr>
          <w:rFonts w:ascii="Times New Roman" w:eastAsia="Calibri" w:hAnsi="Times New Roman" w:cs="Times New Roman"/>
          <w:color w:val="323232"/>
          <w:sz w:val="20"/>
          <w:szCs w:val="20"/>
          <w:lang w:val="en-US"/>
        </w:rPr>
        <w:t>, topolojik polar yüzey alanı; </w:t>
      </w:r>
      <w:r w:rsidRPr="004637A2">
        <w:rPr>
          <w:rFonts w:ascii="Times New Roman" w:eastAsia="Calibri" w:hAnsi="Times New Roman" w:cs="Times New Roman"/>
          <w:color w:val="323232"/>
          <w:sz w:val="20"/>
          <w:szCs w:val="20"/>
          <w:vertAlign w:val="superscript"/>
          <w:lang w:val="en-US"/>
        </w:rPr>
        <w:t>d</w:t>
      </w:r>
      <w:r w:rsidRPr="004637A2">
        <w:rPr>
          <w:rFonts w:ascii="Times New Roman" w:eastAsia="Calibri" w:hAnsi="Times New Roman" w:cs="Times New Roman"/>
          <w:b/>
          <w:bCs/>
          <w:color w:val="323232"/>
          <w:sz w:val="20"/>
          <w:szCs w:val="20"/>
          <w:lang w:val="en-US"/>
        </w:rPr>
        <w:t>%ABS:</w:t>
      </w:r>
      <w:r w:rsidRPr="004637A2">
        <w:rPr>
          <w:rFonts w:ascii="Times New Roman" w:eastAsia="Calibri" w:hAnsi="Times New Roman" w:cs="Times New Roman"/>
          <w:color w:val="323232"/>
          <w:sz w:val="20"/>
          <w:szCs w:val="20"/>
          <w:lang w:val="en-US"/>
        </w:rPr>
        <w:t> </w:t>
      </w:r>
      <w:r w:rsidRPr="004637A2">
        <w:rPr>
          <w:rFonts w:ascii="Times New Roman" w:eastAsia="Calibri" w:hAnsi="Times New Roman" w:cs="Times New Roman"/>
          <w:sz w:val="20"/>
          <w:szCs w:val="20"/>
          <w:lang w:val="en-US"/>
        </w:rPr>
        <w:t xml:space="preserve">absorpsiyon yüzdesi (%ABS = 109 − [0.345 × TPYA];  </w:t>
      </w:r>
      <w:r w:rsidRPr="004637A2">
        <w:rPr>
          <w:rFonts w:ascii="Times New Roman" w:hAnsi="Times New Roman" w:cs="Times New Roman"/>
          <w:b/>
          <w:bCs/>
          <w:color w:val="2E2E2E"/>
          <w:sz w:val="20"/>
          <w:szCs w:val="20"/>
          <w:vertAlign w:val="superscript"/>
          <w:lang w:val="en-US"/>
        </w:rPr>
        <w:t>e</w:t>
      </w:r>
      <w:r w:rsidRPr="004637A2">
        <w:rPr>
          <w:rFonts w:ascii="Times New Roman" w:eastAsia="Calibri" w:hAnsi="Times New Roman" w:cs="Times New Roman"/>
          <w:sz w:val="20"/>
          <w:szCs w:val="20"/>
          <w:lang w:val="en-US"/>
        </w:rPr>
        <w:t xml:space="preserve">Quinic acid; </w:t>
      </w:r>
      <w:r w:rsidRPr="004637A2">
        <w:rPr>
          <w:rFonts w:ascii="Times New Roman" w:hAnsi="Times New Roman" w:cs="Times New Roman"/>
          <w:b/>
          <w:bCs/>
          <w:color w:val="2E2E2E"/>
          <w:sz w:val="20"/>
          <w:szCs w:val="20"/>
          <w:vertAlign w:val="superscript"/>
          <w:lang w:val="en-US"/>
        </w:rPr>
        <w:t>f</w:t>
      </w:r>
      <w:r w:rsidRPr="004637A2">
        <w:rPr>
          <w:rFonts w:ascii="Times New Roman" w:eastAsia="Calibri" w:hAnsi="Times New Roman" w:cs="Times New Roman"/>
          <w:sz w:val="20"/>
          <w:szCs w:val="20"/>
          <w:lang w:val="en-US"/>
        </w:rPr>
        <w:t xml:space="preserve">Quercitrin; </w:t>
      </w:r>
      <w:r w:rsidRPr="004637A2">
        <w:rPr>
          <w:rFonts w:ascii="Times New Roman" w:eastAsia="Calibri" w:hAnsi="Times New Roman" w:cs="Times New Roman"/>
          <w:sz w:val="20"/>
          <w:szCs w:val="20"/>
          <w:vertAlign w:val="superscript"/>
          <w:lang w:val="en-US"/>
        </w:rPr>
        <w:t>g</w:t>
      </w:r>
      <w:r w:rsidRPr="004637A2">
        <w:rPr>
          <w:rFonts w:ascii="Times New Roman" w:eastAsia="Calibri" w:hAnsi="Times New Roman" w:cs="Times New Roman"/>
          <w:sz w:val="20"/>
          <w:szCs w:val="20"/>
          <w:lang w:val="en-US"/>
        </w:rPr>
        <w:t>Miquelianin.</w:t>
      </w:r>
    </w:p>
    <w:p w14:paraId="0572CA6C" w14:textId="2B7F7347" w:rsidR="004637A2" w:rsidRDefault="00893310" w:rsidP="00BB3CB9">
      <w:pPr>
        <w:spacing w:line="360" w:lineRule="auto"/>
        <w:jc w:val="both"/>
        <w:rPr>
          <w:rFonts w:ascii="Times New Roman" w:hAnsi="Times New Roman" w:cs="Times New Roman"/>
          <w:color w:val="111111"/>
          <w:sz w:val="24"/>
          <w:szCs w:val="24"/>
          <w:shd w:val="clear" w:color="auto" w:fill="FFFFFF"/>
        </w:rPr>
      </w:pPr>
      <w:r w:rsidRPr="003F54BE">
        <w:rPr>
          <w:rFonts w:ascii="Times New Roman" w:hAnsi="Times New Roman" w:cs="Times New Roman"/>
          <w:color w:val="111111"/>
          <w:sz w:val="24"/>
          <w:szCs w:val="24"/>
          <w:shd w:val="clear" w:color="auto" w:fill="FFFFFF"/>
        </w:rPr>
        <w:t>Formüller numaralandırılmalı ve formül numarası formülün yanına sağa dayalı olarak parantez içinde gösterilmelidir. Formüller 12 punto olacak şekilde ana karakterler ve değişkenler italik, rakamlar ve matematiksel ifadeler düz olarak verilmelidir.</w:t>
      </w:r>
    </w:p>
    <w:p w14:paraId="53762D67" w14:textId="77777777" w:rsidR="00D046DA" w:rsidRPr="003F54BE" w:rsidRDefault="00D046DA" w:rsidP="00BB3CB9">
      <w:pPr>
        <w:spacing w:line="360" w:lineRule="auto"/>
        <w:jc w:val="both"/>
        <w:rPr>
          <w:rFonts w:ascii="Times New Roman" w:hAnsi="Times New Roman" w:cs="Times New Roman"/>
          <w:color w:val="111111"/>
          <w:sz w:val="24"/>
          <w:szCs w:val="24"/>
          <w:shd w:val="clear" w:color="auto" w:fill="FFFFFF"/>
        </w:rPr>
      </w:pPr>
    </w:p>
    <w:p w14:paraId="2CD500DA" w14:textId="234044FF" w:rsidR="001A6F0B" w:rsidRDefault="00FA0223" w:rsidP="00BB3CB9">
      <w:pPr>
        <w:spacing w:line="360" w:lineRule="auto"/>
        <w:jc w:val="both"/>
        <w:rPr>
          <w:rFonts w:ascii="Times New Roman" w:hAnsi="Times New Roman" w:cs="Times New Roman"/>
          <w:b/>
          <w:bCs/>
          <w:color w:val="111111"/>
          <w:sz w:val="24"/>
          <w:szCs w:val="24"/>
          <w:shd w:val="clear" w:color="auto" w:fill="FFFFFF"/>
        </w:rPr>
      </w:pPr>
      <w:r>
        <w:rPr>
          <w:rFonts w:ascii="Times New Roman" w:hAnsi="Times New Roman" w:cs="Times New Roman"/>
          <w:b/>
          <w:bCs/>
          <w:color w:val="111111"/>
          <w:sz w:val="24"/>
          <w:szCs w:val="24"/>
          <w:shd w:val="clear" w:color="auto" w:fill="FFFFFF"/>
        </w:rPr>
        <w:lastRenderedPageBreak/>
        <w:t>2</w:t>
      </w:r>
      <w:r w:rsidR="00DB55D5">
        <w:rPr>
          <w:rFonts w:ascii="Times New Roman" w:hAnsi="Times New Roman" w:cs="Times New Roman"/>
          <w:b/>
          <w:bCs/>
          <w:color w:val="111111"/>
          <w:sz w:val="24"/>
          <w:szCs w:val="24"/>
          <w:shd w:val="clear" w:color="auto" w:fill="FFFFFF"/>
        </w:rPr>
        <w:t xml:space="preserve">. </w:t>
      </w:r>
      <w:r w:rsidR="00DB55D5" w:rsidRPr="00BB3CB9">
        <w:rPr>
          <w:rFonts w:ascii="Times New Roman" w:hAnsi="Times New Roman" w:cs="Times New Roman"/>
          <w:b/>
          <w:bCs/>
          <w:color w:val="111111"/>
          <w:sz w:val="24"/>
          <w:szCs w:val="24"/>
          <w:shd w:val="clear" w:color="auto" w:fill="FFFFFF"/>
        </w:rPr>
        <w:t>SONUÇ</w:t>
      </w:r>
    </w:p>
    <w:p w14:paraId="67960F42" w14:textId="4BA18AC2" w:rsidR="00B51C58" w:rsidRDefault="001A6F0B" w:rsidP="00BB3CB9">
      <w:pPr>
        <w:spacing w:line="360" w:lineRule="auto"/>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w:t>
      </w:r>
      <w:r w:rsidRPr="001A6F0B">
        <w:rPr>
          <w:rFonts w:ascii="Times New Roman" w:hAnsi="Times New Roman" w:cs="Times New Roman"/>
          <w:color w:val="111111"/>
          <w:sz w:val="24"/>
          <w:szCs w:val="24"/>
          <w:shd w:val="clear" w:color="auto" w:fill="FFFFFF"/>
        </w:rPr>
        <w:t>Sonuç kısmının ö</w:t>
      </w:r>
      <w:r w:rsidR="00B51C58" w:rsidRPr="001A6F0B">
        <w:rPr>
          <w:rFonts w:ascii="Times New Roman" w:hAnsi="Times New Roman" w:cs="Times New Roman"/>
          <w:color w:val="111111"/>
          <w:sz w:val="24"/>
          <w:szCs w:val="24"/>
          <w:shd w:val="clear" w:color="auto" w:fill="FFFFFF"/>
        </w:rPr>
        <w:t>zetle aynı olmamasına dikkat edilmelidir.</w:t>
      </w:r>
      <w:r>
        <w:rPr>
          <w:rFonts w:ascii="Times New Roman" w:hAnsi="Times New Roman" w:cs="Times New Roman"/>
          <w:color w:val="111111"/>
          <w:sz w:val="24"/>
          <w:szCs w:val="24"/>
          <w:shd w:val="clear" w:color="auto" w:fill="FFFFFF"/>
        </w:rPr>
        <w:t>”</w:t>
      </w:r>
    </w:p>
    <w:p w14:paraId="0F551FC7" w14:textId="77777777" w:rsidR="00D046DA" w:rsidRPr="001A6F0B" w:rsidRDefault="00D046DA" w:rsidP="00BB3CB9">
      <w:pPr>
        <w:spacing w:line="360" w:lineRule="auto"/>
        <w:jc w:val="both"/>
        <w:rPr>
          <w:rFonts w:ascii="Times New Roman" w:hAnsi="Times New Roman" w:cs="Times New Roman"/>
          <w:color w:val="111111"/>
          <w:sz w:val="24"/>
          <w:szCs w:val="24"/>
          <w:shd w:val="clear" w:color="auto" w:fill="FFFFFF"/>
        </w:rPr>
      </w:pPr>
    </w:p>
    <w:p w14:paraId="5DB83307" w14:textId="75C7D18C" w:rsidR="00E149CE" w:rsidRDefault="00DB55D5" w:rsidP="00BB3CB9">
      <w:pPr>
        <w:spacing w:line="360" w:lineRule="auto"/>
        <w:jc w:val="both"/>
        <w:rPr>
          <w:rFonts w:ascii="Times New Roman" w:hAnsi="Times New Roman" w:cs="Times New Roman"/>
          <w:b/>
          <w:bCs/>
          <w:color w:val="111111"/>
          <w:sz w:val="24"/>
          <w:szCs w:val="24"/>
          <w:shd w:val="clear" w:color="auto" w:fill="FFFFFF"/>
        </w:rPr>
      </w:pPr>
      <w:r w:rsidRPr="00BB3CB9">
        <w:rPr>
          <w:rFonts w:ascii="Times New Roman" w:hAnsi="Times New Roman" w:cs="Times New Roman"/>
          <w:b/>
          <w:bCs/>
          <w:color w:val="111111"/>
          <w:sz w:val="24"/>
          <w:szCs w:val="24"/>
          <w:shd w:val="clear" w:color="auto" w:fill="FFFFFF"/>
        </w:rPr>
        <w:t xml:space="preserve">TEŞEKKÜR (VARSA) </w:t>
      </w:r>
    </w:p>
    <w:p w14:paraId="0DBEDD0D" w14:textId="77777777" w:rsidR="00D046DA" w:rsidRPr="00BB3CB9" w:rsidRDefault="00D046DA" w:rsidP="00BB3CB9">
      <w:pPr>
        <w:spacing w:line="360" w:lineRule="auto"/>
        <w:jc w:val="both"/>
        <w:rPr>
          <w:rFonts w:ascii="Times New Roman" w:hAnsi="Times New Roman" w:cs="Times New Roman"/>
          <w:b/>
          <w:bCs/>
          <w:color w:val="111111"/>
          <w:sz w:val="24"/>
          <w:szCs w:val="24"/>
          <w:shd w:val="clear" w:color="auto" w:fill="FFFFFF"/>
        </w:rPr>
      </w:pPr>
    </w:p>
    <w:p w14:paraId="22DB877B" w14:textId="5C3B78FB" w:rsidR="00AF2AB9" w:rsidRDefault="00DB55D5" w:rsidP="00BB3CB9">
      <w:pPr>
        <w:spacing w:line="360" w:lineRule="auto"/>
        <w:jc w:val="both"/>
        <w:rPr>
          <w:rFonts w:ascii="Times New Roman" w:hAnsi="Times New Roman" w:cs="Times New Roman"/>
          <w:b/>
          <w:bCs/>
          <w:color w:val="111111"/>
          <w:sz w:val="24"/>
          <w:szCs w:val="24"/>
          <w:shd w:val="clear" w:color="auto" w:fill="FFFFFF"/>
        </w:rPr>
      </w:pPr>
      <w:r w:rsidRPr="00BB3CB9">
        <w:rPr>
          <w:rFonts w:ascii="Times New Roman" w:hAnsi="Times New Roman" w:cs="Times New Roman"/>
          <w:b/>
          <w:bCs/>
          <w:color w:val="111111"/>
          <w:sz w:val="24"/>
          <w:szCs w:val="24"/>
          <w:shd w:val="clear" w:color="auto" w:fill="FFFFFF"/>
        </w:rPr>
        <w:t xml:space="preserve">KAYNAKLAR </w:t>
      </w:r>
    </w:p>
    <w:p w14:paraId="182AC63F" w14:textId="26E2CBAA" w:rsidR="00893310" w:rsidRPr="00893310" w:rsidRDefault="00893310" w:rsidP="00893310">
      <w:pPr>
        <w:pStyle w:val="NormalWeb"/>
        <w:shd w:val="clear" w:color="auto" w:fill="FFFFFF"/>
        <w:spacing w:before="0" w:beforeAutospacing="0"/>
        <w:jc w:val="both"/>
        <w:rPr>
          <w:color w:val="111111"/>
          <w:sz w:val="22"/>
          <w:szCs w:val="22"/>
        </w:rPr>
      </w:pPr>
      <w:r w:rsidRPr="00893310">
        <w:rPr>
          <w:color w:val="111111"/>
          <w:sz w:val="22"/>
          <w:szCs w:val="22"/>
        </w:rPr>
        <w:t>Kaynaklar kısmı 11 punto yazı boyutunda ve aşağıdaki gibi olmalıdır;</w:t>
      </w:r>
    </w:p>
    <w:p w14:paraId="43C4FAFF" w14:textId="10C4835D" w:rsidR="00660E76" w:rsidRDefault="00660E76" w:rsidP="00660E76">
      <w:pPr>
        <w:pStyle w:val="NormalWeb"/>
        <w:shd w:val="clear" w:color="auto" w:fill="FFFFFF"/>
        <w:spacing w:before="0" w:beforeAutospacing="0"/>
        <w:jc w:val="both"/>
        <w:rPr>
          <w:color w:val="111111"/>
          <w:sz w:val="22"/>
          <w:szCs w:val="22"/>
        </w:rPr>
      </w:pPr>
      <w:r>
        <w:rPr>
          <w:color w:val="111111"/>
          <w:sz w:val="22"/>
          <w:szCs w:val="22"/>
        </w:rPr>
        <w:t>Yildiko U</w:t>
      </w:r>
      <w:r w:rsidRPr="00893310">
        <w:rPr>
          <w:color w:val="111111"/>
          <w:sz w:val="22"/>
          <w:szCs w:val="22"/>
        </w:rPr>
        <w:t xml:space="preserve">., </w:t>
      </w:r>
      <w:r>
        <w:rPr>
          <w:color w:val="111111"/>
          <w:sz w:val="22"/>
          <w:szCs w:val="22"/>
        </w:rPr>
        <w:t>Turkan</w:t>
      </w:r>
      <w:r w:rsidRPr="00893310">
        <w:rPr>
          <w:color w:val="111111"/>
          <w:sz w:val="22"/>
          <w:szCs w:val="22"/>
        </w:rPr>
        <w:t xml:space="preserve"> </w:t>
      </w:r>
      <w:r>
        <w:rPr>
          <w:color w:val="111111"/>
          <w:sz w:val="22"/>
          <w:szCs w:val="22"/>
        </w:rPr>
        <w:t>F</w:t>
      </w:r>
      <w:r w:rsidRPr="00893310">
        <w:rPr>
          <w:color w:val="111111"/>
          <w:sz w:val="22"/>
          <w:szCs w:val="22"/>
        </w:rPr>
        <w:t>.,</w:t>
      </w:r>
      <w:r>
        <w:rPr>
          <w:color w:val="111111"/>
          <w:sz w:val="22"/>
          <w:szCs w:val="22"/>
        </w:rPr>
        <w:t xml:space="preserve"> Tanriverdi A.A</w:t>
      </w:r>
      <w:r w:rsidRPr="00893310">
        <w:rPr>
          <w:color w:val="111111"/>
          <w:sz w:val="22"/>
          <w:szCs w:val="22"/>
        </w:rPr>
        <w:t>.,</w:t>
      </w:r>
      <w:r>
        <w:rPr>
          <w:color w:val="111111"/>
          <w:sz w:val="22"/>
          <w:szCs w:val="22"/>
        </w:rPr>
        <w:t xml:space="preserve"> Ata A.C.</w:t>
      </w:r>
      <w:r w:rsidRPr="00893310">
        <w:rPr>
          <w:color w:val="111111"/>
          <w:sz w:val="22"/>
          <w:szCs w:val="22"/>
        </w:rPr>
        <w:t>,</w:t>
      </w:r>
      <w:r>
        <w:rPr>
          <w:color w:val="111111"/>
          <w:sz w:val="22"/>
          <w:szCs w:val="22"/>
        </w:rPr>
        <w:t xml:space="preserve"> Atalar M.N</w:t>
      </w:r>
      <w:r w:rsidRPr="00893310">
        <w:rPr>
          <w:color w:val="111111"/>
          <w:sz w:val="22"/>
          <w:szCs w:val="22"/>
        </w:rPr>
        <w:t>.,</w:t>
      </w:r>
      <w:r>
        <w:rPr>
          <w:color w:val="111111"/>
          <w:sz w:val="22"/>
          <w:szCs w:val="22"/>
        </w:rPr>
        <w:t xml:space="preserve"> Cakmak I</w:t>
      </w:r>
      <w:r w:rsidRPr="00893310">
        <w:rPr>
          <w:color w:val="111111"/>
          <w:sz w:val="22"/>
          <w:szCs w:val="22"/>
        </w:rPr>
        <w:t>. (20</w:t>
      </w:r>
      <w:r>
        <w:rPr>
          <w:color w:val="111111"/>
          <w:sz w:val="22"/>
          <w:szCs w:val="22"/>
        </w:rPr>
        <w:t>21</w:t>
      </w:r>
      <w:r w:rsidRPr="00893310">
        <w:rPr>
          <w:color w:val="111111"/>
          <w:sz w:val="22"/>
          <w:szCs w:val="22"/>
        </w:rPr>
        <w:t xml:space="preserve">). </w:t>
      </w:r>
      <w:r w:rsidRPr="00C4434F">
        <w:rPr>
          <w:color w:val="111111"/>
          <w:sz w:val="22"/>
          <w:szCs w:val="22"/>
        </w:rPr>
        <w:t>Synthesis, enzymes inhibitory properties and characterization of 2- (bis (4-aminophenyl) methyl) butan-1-ol compound: Quantum simulations, and in-silico molecular docking studies</w:t>
      </w:r>
      <w:r w:rsidRPr="00893310">
        <w:rPr>
          <w:color w:val="111111"/>
          <w:sz w:val="22"/>
          <w:szCs w:val="22"/>
        </w:rPr>
        <w:t xml:space="preserve">. </w:t>
      </w:r>
      <w:r w:rsidRPr="00C4434F">
        <w:rPr>
          <w:color w:val="111111"/>
          <w:sz w:val="22"/>
          <w:szCs w:val="22"/>
        </w:rPr>
        <w:t>Journal of the Indian Chemical Society</w:t>
      </w:r>
      <w:r w:rsidRPr="00893310">
        <w:rPr>
          <w:color w:val="111111"/>
          <w:sz w:val="22"/>
          <w:szCs w:val="22"/>
        </w:rPr>
        <w:t xml:space="preserve">, </w:t>
      </w:r>
      <w:r>
        <w:rPr>
          <w:color w:val="111111"/>
          <w:sz w:val="22"/>
          <w:szCs w:val="22"/>
        </w:rPr>
        <w:t>9</w:t>
      </w:r>
      <w:r w:rsidRPr="00893310">
        <w:rPr>
          <w:color w:val="111111"/>
          <w:sz w:val="22"/>
          <w:szCs w:val="22"/>
        </w:rPr>
        <w:t>8(</w:t>
      </w:r>
      <w:r>
        <w:rPr>
          <w:color w:val="111111"/>
          <w:sz w:val="22"/>
          <w:szCs w:val="22"/>
        </w:rPr>
        <w:t>11</w:t>
      </w:r>
      <w:r w:rsidRPr="00893310">
        <w:rPr>
          <w:color w:val="111111"/>
          <w:sz w:val="22"/>
          <w:szCs w:val="22"/>
        </w:rPr>
        <w:t xml:space="preserve">), </w:t>
      </w:r>
      <w:r>
        <w:rPr>
          <w:color w:val="111111"/>
          <w:sz w:val="22"/>
          <w:szCs w:val="22"/>
        </w:rPr>
        <w:t>100206</w:t>
      </w:r>
      <w:r w:rsidRPr="00893310">
        <w:rPr>
          <w:color w:val="111111"/>
          <w:sz w:val="22"/>
          <w:szCs w:val="22"/>
        </w:rPr>
        <w:t>.</w:t>
      </w:r>
    </w:p>
    <w:p w14:paraId="5DF04FFD" w14:textId="31BDF7AC" w:rsidR="00660E76" w:rsidRDefault="00660E76" w:rsidP="00660E76">
      <w:pPr>
        <w:pStyle w:val="NormalWeb"/>
        <w:shd w:val="clear" w:color="auto" w:fill="FFFFFF"/>
        <w:spacing w:before="0" w:beforeAutospacing="0"/>
        <w:jc w:val="both"/>
        <w:rPr>
          <w:color w:val="111111"/>
          <w:sz w:val="22"/>
          <w:szCs w:val="22"/>
        </w:rPr>
      </w:pPr>
      <w:bookmarkStart w:id="0" w:name="_Hlk95413770"/>
      <w:r>
        <w:rPr>
          <w:color w:val="111111"/>
          <w:sz w:val="22"/>
          <w:szCs w:val="22"/>
        </w:rPr>
        <w:t>Tanriverdi A.A</w:t>
      </w:r>
      <w:r w:rsidRPr="00893310">
        <w:rPr>
          <w:color w:val="111111"/>
          <w:sz w:val="22"/>
          <w:szCs w:val="22"/>
        </w:rPr>
        <w:t>.,</w:t>
      </w:r>
      <w:r>
        <w:rPr>
          <w:color w:val="111111"/>
          <w:sz w:val="22"/>
          <w:szCs w:val="22"/>
        </w:rPr>
        <w:t xml:space="preserve"> Yildiko U</w:t>
      </w:r>
      <w:r w:rsidRPr="00893310">
        <w:rPr>
          <w:color w:val="111111"/>
          <w:sz w:val="22"/>
          <w:szCs w:val="22"/>
        </w:rPr>
        <w:t xml:space="preserve">., </w:t>
      </w:r>
      <w:r>
        <w:rPr>
          <w:color w:val="111111"/>
          <w:sz w:val="22"/>
          <w:szCs w:val="22"/>
        </w:rPr>
        <w:t>Cakmak I</w:t>
      </w:r>
      <w:r w:rsidRPr="00893310">
        <w:rPr>
          <w:color w:val="111111"/>
          <w:sz w:val="22"/>
          <w:szCs w:val="22"/>
        </w:rPr>
        <w:t>. (20</w:t>
      </w:r>
      <w:r>
        <w:rPr>
          <w:color w:val="111111"/>
          <w:sz w:val="22"/>
          <w:szCs w:val="22"/>
        </w:rPr>
        <w:t>20</w:t>
      </w:r>
      <w:r w:rsidRPr="00893310">
        <w:rPr>
          <w:color w:val="111111"/>
          <w:sz w:val="22"/>
          <w:szCs w:val="22"/>
        </w:rPr>
        <w:t xml:space="preserve">). </w:t>
      </w:r>
      <w:r w:rsidRPr="00A52105">
        <w:rPr>
          <w:color w:val="111111"/>
          <w:sz w:val="22"/>
          <w:szCs w:val="22"/>
        </w:rPr>
        <w:t>New Type Sulfonated Polyimide Membrane Fuel Cells and Applications</w:t>
      </w:r>
      <w:r w:rsidRPr="00893310">
        <w:rPr>
          <w:color w:val="111111"/>
          <w:sz w:val="22"/>
          <w:szCs w:val="22"/>
        </w:rPr>
        <w:t xml:space="preserve">. </w:t>
      </w:r>
      <w:r w:rsidRPr="00CE5C43">
        <w:rPr>
          <w:color w:val="111111"/>
          <w:sz w:val="22"/>
          <w:szCs w:val="22"/>
        </w:rPr>
        <w:t>Journal of the Institute of Science and Technology</w:t>
      </w:r>
      <w:r w:rsidRPr="00893310">
        <w:rPr>
          <w:color w:val="111111"/>
          <w:sz w:val="22"/>
          <w:szCs w:val="22"/>
        </w:rPr>
        <w:t xml:space="preserve">, </w:t>
      </w:r>
      <w:r>
        <w:rPr>
          <w:color w:val="111111"/>
          <w:sz w:val="22"/>
          <w:szCs w:val="22"/>
        </w:rPr>
        <w:t>10</w:t>
      </w:r>
      <w:r w:rsidRPr="00893310">
        <w:rPr>
          <w:color w:val="111111"/>
          <w:sz w:val="22"/>
          <w:szCs w:val="22"/>
        </w:rPr>
        <w:t>(</w:t>
      </w:r>
      <w:r>
        <w:rPr>
          <w:color w:val="111111"/>
          <w:sz w:val="22"/>
          <w:szCs w:val="22"/>
        </w:rPr>
        <w:t>4</w:t>
      </w:r>
      <w:r w:rsidRPr="00893310">
        <w:rPr>
          <w:color w:val="111111"/>
          <w:sz w:val="22"/>
          <w:szCs w:val="22"/>
        </w:rPr>
        <w:t xml:space="preserve">), </w:t>
      </w:r>
      <w:r>
        <w:rPr>
          <w:color w:val="111111"/>
          <w:sz w:val="22"/>
          <w:szCs w:val="22"/>
        </w:rPr>
        <w:t>2714-2729</w:t>
      </w:r>
      <w:r w:rsidRPr="00893310">
        <w:rPr>
          <w:color w:val="111111"/>
          <w:sz w:val="22"/>
          <w:szCs w:val="22"/>
        </w:rPr>
        <w:t>.</w:t>
      </w:r>
      <w:bookmarkEnd w:id="0"/>
    </w:p>
    <w:p w14:paraId="665074E8" w14:textId="13ED6E8D" w:rsidR="00893310" w:rsidRPr="00893310" w:rsidRDefault="00893310" w:rsidP="00893310">
      <w:pPr>
        <w:pStyle w:val="NormalWeb"/>
        <w:shd w:val="clear" w:color="auto" w:fill="FFFFFF"/>
        <w:spacing w:before="0" w:beforeAutospacing="0"/>
        <w:jc w:val="both"/>
        <w:rPr>
          <w:color w:val="111111"/>
          <w:sz w:val="22"/>
          <w:szCs w:val="22"/>
        </w:rPr>
      </w:pPr>
      <w:r w:rsidRPr="00893310">
        <w:rPr>
          <w:color w:val="111111"/>
          <w:sz w:val="22"/>
          <w:szCs w:val="22"/>
        </w:rPr>
        <w:t>Fessenden R.J., Fessenden, J.S. (1986). Organic Chemistry. Third Edition, Brooks, Cole Publishing Company, California, 892.</w:t>
      </w:r>
    </w:p>
    <w:p w14:paraId="586C59B6" w14:textId="77777777" w:rsidR="00893310" w:rsidRPr="00893310" w:rsidRDefault="00893310" w:rsidP="00893310">
      <w:pPr>
        <w:pStyle w:val="NormalWeb"/>
        <w:shd w:val="clear" w:color="auto" w:fill="FFFFFF"/>
        <w:spacing w:before="0" w:beforeAutospacing="0"/>
        <w:jc w:val="both"/>
        <w:rPr>
          <w:color w:val="111111"/>
          <w:sz w:val="22"/>
          <w:szCs w:val="22"/>
        </w:rPr>
      </w:pPr>
      <w:r w:rsidRPr="00893310">
        <w:rPr>
          <w:color w:val="111111"/>
          <w:sz w:val="22"/>
          <w:szCs w:val="22"/>
        </w:rPr>
        <w:t>Castillo E., Marty A., Condoret J.S., Combes, D. (1996). Enzymatic Catalysis in Nonconventional Media Using High Polar Molecules as Substrates. In: Annals of the New York Academy of Science.</w:t>
      </w:r>
    </w:p>
    <w:p w14:paraId="4FBA7987" w14:textId="77777777" w:rsidR="00893310" w:rsidRPr="00893310" w:rsidRDefault="00893310" w:rsidP="00893310">
      <w:pPr>
        <w:pStyle w:val="NormalWeb"/>
        <w:shd w:val="clear" w:color="auto" w:fill="FFFFFF"/>
        <w:spacing w:before="0" w:beforeAutospacing="0"/>
        <w:jc w:val="both"/>
        <w:rPr>
          <w:color w:val="111111"/>
          <w:sz w:val="22"/>
          <w:szCs w:val="22"/>
        </w:rPr>
      </w:pPr>
      <w:r w:rsidRPr="00893310">
        <w:rPr>
          <w:color w:val="111111"/>
          <w:sz w:val="22"/>
          <w:szCs w:val="22"/>
        </w:rPr>
        <w:t>Dordick, J. S. ve Russell, A.J. (eds), The NewYork Academy of Science, New York, 206-211. Bildiri, Sempozyum; Soyadı-ilk ad(lar)ının baş harf(ler)i-nokta-virgül-(yılı)-nokta-bildirinin başlığı-noktakongre, sempozyum vb’nin adı-virgül-tarihi-virgül-yapıldığı yer-virgül-başlangıç ve bitiş sayfası-nokta</w:t>
      </w:r>
    </w:p>
    <w:p w14:paraId="6A257D91" w14:textId="16B6E467" w:rsidR="00893310" w:rsidRPr="00893310" w:rsidRDefault="00893310" w:rsidP="00893310">
      <w:pPr>
        <w:pStyle w:val="NormalWeb"/>
        <w:shd w:val="clear" w:color="auto" w:fill="FFFFFF"/>
        <w:spacing w:before="0" w:beforeAutospacing="0"/>
        <w:jc w:val="both"/>
        <w:rPr>
          <w:color w:val="111111"/>
          <w:sz w:val="22"/>
          <w:szCs w:val="22"/>
        </w:rPr>
      </w:pPr>
      <w:r w:rsidRPr="00893310">
        <w:rPr>
          <w:color w:val="111111"/>
          <w:sz w:val="22"/>
          <w:szCs w:val="22"/>
        </w:rPr>
        <w:t>Atalay Y., Arıoğlu Ç., Tamer Ö., Avcı D., Başoğlu, A., Atalay A.S. (2015). LMetiyoniyum Nitrat (LMN) Bileşiğinin, Geometrik, Optik ve Spektroskopik Özelliklerinin Teorik İncelenmesi. 2. Ulusal Hesaplamalı Kimya Kongresi. 2-5 Haziran, Kars, 9.</w:t>
      </w:r>
    </w:p>
    <w:p w14:paraId="1BBCCB4B" w14:textId="77777777" w:rsidR="000110BE" w:rsidRPr="00893310" w:rsidRDefault="000110BE" w:rsidP="000110BE">
      <w:pPr>
        <w:pStyle w:val="NormalWeb"/>
        <w:shd w:val="clear" w:color="auto" w:fill="FFFFFF"/>
        <w:spacing w:before="0" w:beforeAutospacing="0"/>
        <w:jc w:val="both"/>
        <w:rPr>
          <w:color w:val="111111"/>
          <w:sz w:val="22"/>
          <w:szCs w:val="22"/>
        </w:rPr>
      </w:pPr>
      <w:bookmarkStart w:id="1" w:name="_Hlk95413895"/>
      <w:r>
        <w:rPr>
          <w:color w:val="111111"/>
          <w:sz w:val="22"/>
          <w:szCs w:val="22"/>
        </w:rPr>
        <w:t>Tanriverdi A.A</w:t>
      </w:r>
      <w:r w:rsidRPr="00893310">
        <w:rPr>
          <w:color w:val="111111"/>
          <w:sz w:val="22"/>
          <w:szCs w:val="22"/>
        </w:rPr>
        <w:t>. (20</w:t>
      </w:r>
      <w:r>
        <w:rPr>
          <w:color w:val="111111"/>
          <w:sz w:val="22"/>
          <w:szCs w:val="22"/>
        </w:rPr>
        <w:t>22</w:t>
      </w:r>
      <w:r w:rsidRPr="00893310">
        <w:rPr>
          <w:color w:val="111111"/>
          <w:sz w:val="22"/>
          <w:szCs w:val="22"/>
        </w:rPr>
        <w:t>). Bazı</w:t>
      </w:r>
      <w:r>
        <w:rPr>
          <w:color w:val="111111"/>
          <w:sz w:val="22"/>
          <w:szCs w:val="22"/>
        </w:rPr>
        <w:t xml:space="preserve"> Sülfonlanmış Poliimidlerin Seztezi, Karakterizasyonu, DFT Çalışmaları ve AIM Analizi</w:t>
      </w:r>
      <w:r w:rsidRPr="00893310">
        <w:rPr>
          <w:color w:val="111111"/>
          <w:sz w:val="22"/>
          <w:szCs w:val="22"/>
        </w:rPr>
        <w:t xml:space="preserve">. </w:t>
      </w:r>
      <w:r>
        <w:rPr>
          <w:color w:val="111111"/>
          <w:sz w:val="22"/>
          <w:szCs w:val="22"/>
        </w:rPr>
        <w:t xml:space="preserve">Yüksek Lisans </w:t>
      </w:r>
      <w:r w:rsidRPr="00893310">
        <w:rPr>
          <w:color w:val="111111"/>
          <w:sz w:val="22"/>
          <w:szCs w:val="22"/>
        </w:rPr>
        <w:t>Tezi, Kafkas Üniversitesi, Fen Bilimleri Enstitüsü, Kars.</w:t>
      </w:r>
    </w:p>
    <w:bookmarkEnd w:id="1"/>
    <w:p w14:paraId="088F94D1" w14:textId="77777777" w:rsidR="00893310" w:rsidRPr="00893310" w:rsidRDefault="00893310" w:rsidP="00893310">
      <w:pPr>
        <w:pStyle w:val="NormalWeb"/>
        <w:shd w:val="clear" w:color="auto" w:fill="FFFFFF"/>
        <w:spacing w:before="0" w:beforeAutospacing="0"/>
        <w:jc w:val="both"/>
        <w:rPr>
          <w:color w:val="111111"/>
          <w:sz w:val="22"/>
          <w:szCs w:val="22"/>
        </w:rPr>
      </w:pPr>
      <w:r w:rsidRPr="00893310">
        <w:rPr>
          <w:color w:val="111111"/>
          <w:sz w:val="22"/>
          <w:szCs w:val="22"/>
        </w:rPr>
        <w:t>Elmacı C., Öner Y., Yeşilbağ K., Tuncel E. (2009). Türkiye Koyun Irklarında Prion Proteini Geni (PRP) Polimorfizmi. TÜBİTAK-TOKVAG-106 O 718 nolu Proje Kesin Raporu, Bursa.</w:t>
      </w:r>
    </w:p>
    <w:p w14:paraId="78D607B2" w14:textId="77777777" w:rsidR="00893310" w:rsidRPr="00893310" w:rsidRDefault="00893310" w:rsidP="00893310">
      <w:pPr>
        <w:pStyle w:val="NormalWeb"/>
        <w:shd w:val="clear" w:color="auto" w:fill="FFFFFF"/>
        <w:spacing w:before="0" w:beforeAutospacing="0"/>
        <w:jc w:val="both"/>
        <w:rPr>
          <w:color w:val="111111"/>
          <w:sz w:val="22"/>
          <w:szCs w:val="22"/>
        </w:rPr>
      </w:pPr>
      <w:r w:rsidRPr="00893310">
        <w:rPr>
          <w:color w:val="111111"/>
          <w:sz w:val="22"/>
          <w:szCs w:val="22"/>
        </w:rPr>
        <w:t>http://www.aku.edu.tr/akademik/enstitüler/fenbil.html, (21.03.2003).</w:t>
      </w:r>
    </w:p>
    <w:p w14:paraId="709D0DE5" w14:textId="0164FA58" w:rsidR="00893310" w:rsidRPr="00495AED" w:rsidRDefault="00893310" w:rsidP="00495AED">
      <w:pPr>
        <w:pStyle w:val="NormalWeb"/>
        <w:shd w:val="clear" w:color="auto" w:fill="FFFFFF"/>
        <w:spacing w:before="0" w:beforeAutospacing="0"/>
        <w:jc w:val="both"/>
        <w:rPr>
          <w:color w:val="111111"/>
          <w:sz w:val="22"/>
          <w:szCs w:val="22"/>
        </w:rPr>
      </w:pPr>
      <w:r w:rsidRPr="00893310">
        <w:rPr>
          <w:color w:val="111111"/>
          <w:sz w:val="22"/>
          <w:szCs w:val="22"/>
        </w:rPr>
        <w:t>Warrence N.J., Bauder J.W., Pearson K.E. (2004). Basics of Salinity and Sodicity Effects on Soil Physical Properties. Land Resources and Environmental Sciences Department, Montana State University, http://waterquality.montana.edu/docs/methane/basics.pdf, (15.12.2004).</w:t>
      </w:r>
    </w:p>
    <w:sectPr w:rsidR="00893310" w:rsidRPr="00495AED" w:rsidSect="00B2466B">
      <w:pgSz w:w="11906" w:h="16838"/>
      <w:pgMar w:top="1701" w:right="1701" w:bottom="1701" w:left="1701" w:header="709" w:footer="709" w:gutter="0"/>
      <w:lnNumType w:countBy="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0MzI1sTAzNzU1MDZQ0lEKTi0uzszPAykwrQUA1wAc1SwAAAA="/>
  </w:docVars>
  <w:rsids>
    <w:rsidRoot w:val="00E84138"/>
    <w:rsid w:val="000110BE"/>
    <w:rsid w:val="000D1917"/>
    <w:rsid w:val="001365ED"/>
    <w:rsid w:val="00140491"/>
    <w:rsid w:val="001619B4"/>
    <w:rsid w:val="00163310"/>
    <w:rsid w:val="00190F39"/>
    <w:rsid w:val="001A6F0B"/>
    <w:rsid w:val="002037A7"/>
    <w:rsid w:val="00364F7A"/>
    <w:rsid w:val="003A7E60"/>
    <w:rsid w:val="003F54BE"/>
    <w:rsid w:val="004516C0"/>
    <w:rsid w:val="004637A2"/>
    <w:rsid w:val="00485CE7"/>
    <w:rsid w:val="00495AED"/>
    <w:rsid w:val="005C4620"/>
    <w:rsid w:val="00660E76"/>
    <w:rsid w:val="006C2A86"/>
    <w:rsid w:val="00762A98"/>
    <w:rsid w:val="007C2A1A"/>
    <w:rsid w:val="007E1871"/>
    <w:rsid w:val="00801823"/>
    <w:rsid w:val="00893310"/>
    <w:rsid w:val="0093085F"/>
    <w:rsid w:val="00A21E25"/>
    <w:rsid w:val="00A47621"/>
    <w:rsid w:val="00AF2AB9"/>
    <w:rsid w:val="00B0194C"/>
    <w:rsid w:val="00B2466B"/>
    <w:rsid w:val="00B51C58"/>
    <w:rsid w:val="00B57AFC"/>
    <w:rsid w:val="00B93108"/>
    <w:rsid w:val="00BB3CB9"/>
    <w:rsid w:val="00BC5E69"/>
    <w:rsid w:val="00D046DA"/>
    <w:rsid w:val="00D05256"/>
    <w:rsid w:val="00DB55D5"/>
    <w:rsid w:val="00E113DC"/>
    <w:rsid w:val="00E149CE"/>
    <w:rsid w:val="00E84138"/>
    <w:rsid w:val="00ED65A0"/>
    <w:rsid w:val="00F0104A"/>
    <w:rsid w:val="00F76FF1"/>
    <w:rsid w:val="00FA0223"/>
    <w:rsid w:val="00FF15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0002F"/>
  <w15:chartTrackingRefBased/>
  <w15:docId w15:val="{CE379B13-604E-4898-9A52-2BE7B0874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9331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atrNumaras">
    <w:name w:val="line number"/>
    <w:basedOn w:val="VarsaylanParagrafYazTipi"/>
    <w:uiPriority w:val="99"/>
    <w:semiHidden/>
    <w:unhideWhenUsed/>
    <w:rsid w:val="00B24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94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869</Words>
  <Characters>4959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ASLIHAN AYCAN TANRIVERDI</dc:creator>
  <cp:keywords/>
  <dc:description/>
  <cp:lastModifiedBy>ASLIHAN AYCAN TANRIVERDI</cp:lastModifiedBy>
  <cp:revision>13</cp:revision>
  <dcterms:created xsi:type="dcterms:W3CDTF">2022-02-10T10:29:00Z</dcterms:created>
  <dcterms:modified xsi:type="dcterms:W3CDTF">2022-02-10T16:34:00Z</dcterms:modified>
</cp:coreProperties>
</file>