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D1D5" w14:textId="374C7E3F" w:rsidR="00740B22" w:rsidRDefault="008B043D" w:rsidP="00740B22">
      <w:pPr>
        <w:spacing w:line="360" w:lineRule="auto"/>
        <w:jc w:val="center"/>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English </w:t>
      </w:r>
      <w:r w:rsidR="00740B22">
        <w:rPr>
          <w:rFonts w:ascii="Times New Roman" w:hAnsi="Times New Roman" w:cs="Times New Roman"/>
          <w:b/>
          <w:bCs/>
          <w:color w:val="111111"/>
          <w:sz w:val="24"/>
          <w:szCs w:val="24"/>
          <w:shd w:val="clear" w:color="auto" w:fill="FFFFFF"/>
        </w:rPr>
        <w:t>T</w:t>
      </w:r>
      <w:r>
        <w:rPr>
          <w:rFonts w:ascii="Times New Roman" w:hAnsi="Times New Roman" w:cs="Times New Roman"/>
          <w:b/>
          <w:bCs/>
          <w:color w:val="111111"/>
          <w:sz w:val="24"/>
          <w:szCs w:val="24"/>
          <w:shd w:val="clear" w:color="auto" w:fill="FFFFFF"/>
        </w:rPr>
        <w:t>itle</w:t>
      </w:r>
    </w:p>
    <w:p w14:paraId="7BEC9999" w14:textId="6AE325A3" w:rsidR="00AB6BA3"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ABSTRACT</w:t>
      </w:r>
      <w:r w:rsidRPr="00BB3CB9">
        <w:rPr>
          <w:rFonts w:ascii="Times New Roman" w:hAnsi="Times New Roman" w:cs="Times New Roman"/>
          <w:b/>
          <w:bCs/>
          <w:color w:val="111111"/>
          <w:sz w:val="24"/>
          <w:szCs w:val="24"/>
          <w:shd w:val="clear" w:color="auto" w:fill="FFFFFF"/>
        </w:rPr>
        <w:t xml:space="preserve"> </w:t>
      </w:r>
    </w:p>
    <w:p w14:paraId="70AC09E9" w14:textId="77777777" w:rsidR="009164F8" w:rsidRDefault="009164F8" w:rsidP="00BB3CB9">
      <w:pPr>
        <w:spacing w:line="360" w:lineRule="auto"/>
        <w:jc w:val="both"/>
        <w:rPr>
          <w:rFonts w:ascii="Times New Roman" w:hAnsi="Times New Roman" w:cs="Times New Roman"/>
          <w:color w:val="111111"/>
          <w:sz w:val="20"/>
          <w:szCs w:val="20"/>
          <w:shd w:val="clear" w:color="auto" w:fill="FFFFFF"/>
        </w:rPr>
      </w:pPr>
      <w:r w:rsidRPr="009164F8">
        <w:rPr>
          <w:rFonts w:ascii="Times New Roman" w:hAnsi="Times New Roman" w:cs="Times New Roman"/>
          <w:color w:val="111111"/>
          <w:sz w:val="20"/>
          <w:szCs w:val="20"/>
          <w:shd w:val="clear" w:color="auto" w:fill="FFFFFF"/>
        </w:rPr>
        <w:t>“Abstract” should not exceed 300 words and abbreviations should be avoided as much as possible in both abstracts. In accordance with the English spelling rules, it should be written in "Times New Roman" font with 10 font size and one and a half line spacing.</w:t>
      </w:r>
    </w:p>
    <w:p w14:paraId="68C36819" w14:textId="34E5B7EE" w:rsidR="001B028A" w:rsidRDefault="00163310" w:rsidP="00BB3CB9">
      <w:pPr>
        <w:spacing w:line="360" w:lineRule="auto"/>
        <w:jc w:val="both"/>
        <w:rPr>
          <w:rFonts w:ascii="Times New Roman" w:hAnsi="Times New Roman" w:cs="Times New Roman"/>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Keywords</w:t>
      </w:r>
      <w:r w:rsidR="00E149CE">
        <w:rPr>
          <w:rFonts w:ascii="Times New Roman" w:hAnsi="Times New Roman" w:cs="Times New Roman"/>
          <w:b/>
          <w:bCs/>
          <w:color w:val="111111"/>
          <w:sz w:val="24"/>
          <w:szCs w:val="24"/>
          <w:shd w:val="clear" w:color="auto" w:fill="FFFFFF"/>
        </w:rPr>
        <w:t>:</w:t>
      </w:r>
      <w:r w:rsidR="00F76FF1">
        <w:rPr>
          <w:rFonts w:ascii="Times New Roman" w:hAnsi="Times New Roman" w:cs="Times New Roman"/>
          <w:b/>
          <w:bCs/>
          <w:color w:val="111111"/>
          <w:sz w:val="24"/>
          <w:szCs w:val="24"/>
          <w:shd w:val="clear" w:color="auto" w:fill="FFFFFF"/>
        </w:rPr>
        <w:t xml:space="preserve"> </w:t>
      </w:r>
      <w:r w:rsidR="00F76FF1" w:rsidRPr="00F76FF1">
        <w:rPr>
          <w:rFonts w:ascii="Times New Roman" w:hAnsi="Times New Roman" w:cs="Times New Roman"/>
          <w:color w:val="111111"/>
          <w:sz w:val="24"/>
          <w:szCs w:val="24"/>
          <w:shd w:val="clear" w:color="auto" w:fill="FFFFFF"/>
        </w:rPr>
        <w:t>Keywords1, keywords2, keywords3</w:t>
      </w:r>
      <w:r w:rsidR="00F76FF1">
        <w:rPr>
          <w:rFonts w:ascii="Times New Roman" w:hAnsi="Times New Roman" w:cs="Times New Roman"/>
          <w:color w:val="111111"/>
          <w:sz w:val="24"/>
          <w:szCs w:val="24"/>
          <w:shd w:val="clear" w:color="auto" w:fill="FFFFFF"/>
        </w:rPr>
        <w:t xml:space="preserve">, </w:t>
      </w:r>
      <w:r w:rsidR="00F76FF1" w:rsidRPr="00F76FF1">
        <w:rPr>
          <w:rFonts w:ascii="Times New Roman" w:hAnsi="Times New Roman" w:cs="Times New Roman"/>
          <w:color w:val="111111"/>
          <w:sz w:val="24"/>
          <w:szCs w:val="24"/>
          <w:shd w:val="clear" w:color="auto" w:fill="FFFFFF"/>
        </w:rPr>
        <w:t>keywords</w:t>
      </w:r>
      <w:r w:rsidR="00F76FF1">
        <w:rPr>
          <w:rFonts w:ascii="Times New Roman" w:hAnsi="Times New Roman" w:cs="Times New Roman"/>
          <w:color w:val="111111"/>
          <w:sz w:val="24"/>
          <w:szCs w:val="24"/>
          <w:shd w:val="clear" w:color="auto" w:fill="FFFFFF"/>
        </w:rPr>
        <w:t>4</w:t>
      </w:r>
    </w:p>
    <w:p w14:paraId="644EA629" w14:textId="77777777" w:rsidR="001B028A" w:rsidRPr="00BB3CB9" w:rsidRDefault="001B028A" w:rsidP="001B028A">
      <w:pPr>
        <w:spacing w:line="360" w:lineRule="auto"/>
        <w:jc w:val="center"/>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Türkçe Başlık</w:t>
      </w:r>
    </w:p>
    <w:p w14:paraId="384963BD" w14:textId="77777777" w:rsidR="001B028A" w:rsidRDefault="001B028A" w:rsidP="001B028A">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ÖZET</w:t>
      </w:r>
    </w:p>
    <w:p w14:paraId="72841243" w14:textId="77777777" w:rsidR="001B028A" w:rsidRPr="005C4620" w:rsidRDefault="001B028A" w:rsidP="001B028A">
      <w:pPr>
        <w:spacing w:line="360" w:lineRule="auto"/>
        <w:jc w:val="both"/>
        <w:rPr>
          <w:rFonts w:ascii="Times New Roman" w:hAnsi="Times New Roman" w:cs="Times New Roman"/>
          <w:color w:val="111111"/>
          <w:sz w:val="20"/>
          <w:szCs w:val="20"/>
          <w:shd w:val="clear" w:color="auto" w:fill="FFFFFF"/>
        </w:rPr>
      </w:pPr>
      <w:r w:rsidRPr="005C4620">
        <w:rPr>
          <w:rFonts w:ascii="Times New Roman" w:hAnsi="Times New Roman" w:cs="Times New Roman"/>
          <w:color w:val="111111"/>
          <w:sz w:val="20"/>
          <w:szCs w:val="20"/>
          <w:shd w:val="clear" w:color="auto" w:fill="FFFFFF"/>
        </w:rPr>
        <w:t xml:space="preserve">Türkçe “Özet” 300 kelimeyi geçmemeli ve her iki özette kısaltmalardan mümkün olduğunca kaçınılmalıdır. Türkçe yazım kurallarına uygun olarak “Times New Roman” yazı karakterinde 10 punto olarak ve bir buçuk satır aralıkla yazılmalıdır. </w:t>
      </w:r>
    </w:p>
    <w:p w14:paraId="4FBD94EB" w14:textId="77777777" w:rsidR="001B028A" w:rsidRPr="00F76FF1" w:rsidRDefault="001B028A" w:rsidP="001B028A">
      <w:pPr>
        <w:spacing w:line="360" w:lineRule="auto"/>
        <w:jc w:val="both"/>
        <w:rPr>
          <w:rFonts w:ascii="Times New Roman" w:hAnsi="Times New Roman" w:cs="Times New Roman"/>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Anahtar</w:t>
      </w:r>
      <w:r>
        <w:rPr>
          <w:rFonts w:ascii="Times New Roman" w:hAnsi="Times New Roman" w:cs="Times New Roman"/>
          <w:b/>
          <w:bCs/>
          <w:color w:val="111111"/>
          <w:sz w:val="24"/>
          <w:szCs w:val="24"/>
          <w:shd w:val="clear" w:color="auto" w:fill="FFFFFF"/>
        </w:rPr>
        <w:t xml:space="preserve"> Kelimeler: </w:t>
      </w:r>
      <w:r w:rsidRPr="00F76FF1">
        <w:rPr>
          <w:rFonts w:ascii="Times New Roman" w:hAnsi="Times New Roman" w:cs="Times New Roman"/>
          <w:color w:val="111111"/>
          <w:sz w:val="24"/>
          <w:szCs w:val="24"/>
          <w:shd w:val="clear" w:color="auto" w:fill="FFFFFF"/>
        </w:rPr>
        <w:t>Anahtar kelime1, anahtar kelime2, anahtar kelime3</w:t>
      </w:r>
      <w:r>
        <w:rPr>
          <w:rFonts w:ascii="Times New Roman" w:hAnsi="Times New Roman" w:cs="Times New Roman"/>
          <w:color w:val="111111"/>
          <w:sz w:val="24"/>
          <w:szCs w:val="24"/>
          <w:shd w:val="clear" w:color="auto" w:fill="FFFFFF"/>
        </w:rPr>
        <w:t xml:space="preserve">, </w:t>
      </w:r>
      <w:r w:rsidRPr="00F76FF1">
        <w:rPr>
          <w:rFonts w:ascii="Times New Roman" w:hAnsi="Times New Roman" w:cs="Times New Roman"/>
          <w:color w:val="111111"/>
          <w:sz w:val="24"/>
          <w:szCs w:val="24"/>
          <w:shd w:val="clear" w:color="auto" w:fill="FFFFFF"/>
        </w:rPr>
        <w:t>anahtar kelime</w:t>
      </w:r>
      <w:r>
        <w:rPr>
          <w:rFonts w:ascii="Times New Roman" w:hAnsi="Times New Roman" w:cs="Times New Roman"/>
          <w:color w:val="111111"/>
          <w:sz w:val="24"/>
          <w:szCs w:val="24"/>
          <w:shd w:val="clear" w:color="auto" w:fill="FFFFFF"/>
        </w:rPr>
        <w:t>4</w:t>
      </w:r>
    </w:p>
    <w:p w14:paraId="454994CD" w14:textId="77777777" w:rsidR="001B028A" w:rsidRDefault="001B028A" w:rsidP="00BB3CB9">
      <w:pPr>
        <w:spacing w:line="360" w:lineRule="auto"/>
        <w:jc w:val="both"/>
        <w:rPr>
          <w:rFonts w:ascii="Times New Roman" w:hAnsi="Times New Roman" w:cs="Times New Roman"/>
          <w:b/>
          <w:bCs/>
          <w:color w:val="111111"/>
          <w:sz w:val="24"/>
          <w:szCs w:val="24"/>
          <w:shd w:val="clear" w:color="auto" w:fill="FFFFFF"/>
        </w:rPr>
      </w:pPr>
    </w:p>
    <w:p w14:paraId="75D4E248" w14:textId="5BD840D2" w:rsidR="00FF150F" w:rsidRDefault="00FF150F" w:rsidP="00C86827">
      <w:pPr>
        <w:spacing w:line="360" w:lineRule="auto"/>
        <w:jc w:val="both"/>
        <w:rPr>
          <w:rFonts w:ascii="Times New Roman" w:hAnsi="Times New Roman" w:cs="Times New Roman"/>
          <w:b/>
          <w:bCs/>
          <w:color w:val="111111"/>
          <w:sz w:val="24"/>
          <w:szCs w:val="24"/>
          <w:shd w:val="clear" w:color="auto" w:fill="FFFFFF"/>
        </w:rPr>
      </w:pPr>
    </w:p>
    <w:p w14:paraId="123BACBB" w14:textId="27C98DEA"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7A561289" w14:textId="2176AEB4"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6118E650" w14:textId="53BB775F"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59DF66A1" w14:textId="75F080C5"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2688EBB2" w14:textId="0178CB6A"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122058E2" w14:textId="7684A4BE"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59B10CDA" w14:textId="548123CA"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7946ED39" w14:textId="4634F07E" w:rsidR="008C277C" w:rsidRDefault="008C277C" w:rsidP="00C86827">
      <w:pPr>
        <w:spacing w:line="360" w:lineRule="auto"/>
        <w:jc w:val="both"/>
        <w:rPr>
          <w:rFonts w:ascii="Times New Roman" w:hAnsi="Times New Roman" w:cs="Times New Roman"/>
          <w:b/>
          <w:bCs/>
          <w:color w:val="111111"/>
          <w:sz w:val="24"/>
          <w:szCs w:val="24"/>
          <w:shd w:val="clear" w:color="auto" w:fill="FFFFFF"/>
        </w:rPr>
      </w:pPr>
    </w:p>
    <w:p w14:paraId="77FAF127" w14:textId="77777777" w:rsidR="008C277C" w:rsidRPr="00A21E25" w:rsidRDefault="008C277C" w:rsidP="00C86827">
      <w:pPr>
        <w:spacing w:line="360" w:lineRule="auto"/>
        <w:jc w:val="both"/>
        <w:rPr>
          <w:rFonts w:ascii="Times New Roman" w:hAnsi="Times New Roman" w:cs="Times New Roman"/>
          <w:color w:val="111111"/>
          <w:sz w:val="24"/>
          <w:szCs w:val="24"/>
          <w:shd w:val="clear" w:color="auto" w:fill="FFFFFF"/>
        </w:rPr>
      </w:pPr>
    </w:p>
    <w:p w14:paraId="080372B4" w14:textId="727D8334" w:rsidR="00AD4DDC" w:rsidRDefault="00AD4DDC" w:rsidP="00BB3CB9">
      <w:pPr>
        <w:spacing w:line="360" w:lineRule="auto"/>
        <w:jc w:val="both"/>
        <w:rPr>
          <w:rFonts w:ascii="Times New Roman" w:hAnsi="Times New Roman" w:cs="Times New Roman"/>
          <w:b/>
          <w:bCs/>
          <w:color w:val="111111"/>
          <w:sz w:val="24"/>
          <w:szCs w:val="24"/>
          <w:shd w:val="clear" w:color="auto" w:fill="FFFFFF"/>
        </w:rPr>
      </w:pPr>
    </w:p>
    <w:p w14:paraId="541F4911" w14:textId="77777777" w:rsidR="00AD4DDC" w:rsidRDefault="00AD4DDC" w:rsidP="00BB3CB9">
      <w:pPr>
        <w:spacing w:line="360" w:lineRule="auto"/>
        <w:jc w:val="both"/>
        <w:rPr>
          <w:rFonts w:ascii="Times New Roman" w:hAnsi="Times New Roman" w:cs="Times New Roman"/>
          <w:b/>
          <w:bCs/>
          <w:color w:val="111111"/>
          <w:sz w:val="24"/>
          <w:szCs w:val="24"/>
          <w:shd w:val="clear" w:color="auto" w:fill="FFFFFF"/>
        </w:rPr>
      </w:pPr>
    </w:p>
    <w:p w14:paraId="24832F92" w14:textId="084901E5"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lastRenderedPageBreak/>
        <w:t xml:space="preserve">1. </w:t>
      </w:r>
      <w:r w:rsidR="00AD4DDC">
        <w:rPr>
          <w:rFonts w:ascii="Times New Roman" w:hAnsi="Times New Roman" w:cs="Times New Roman"/>
          <w:b/>
          <w:bCs/>
          <w:color w:val="111111"/>
          <w:sz w:val="24"/>
          <w:szCs w:val="24"/>
          <w:shd w:val="clear" w:color="auto" w:fill="FFFFFF"/>
        </w:rPr>
        <w:t>INTRODUCTION</w:t>
      </w:r>
    </w:p>
    <w:p w14:paraId="087E2015" w14:textId="63D40972" w:rsidR="00D046DA" w:rsidRDefault="00CE6ECB" w:rsidP="00BB3CB9">
      <w:pPr>
        <w:spacing w:line="360" w:lineRule="auto"/>
        <w:jc w:val="both"/>
        <w:rPr>
          <w:rFonts w:ascii="Times New Roman" w:hAnsi="Times New Roman" w:cs="Times New Roman"/>
          <w:color w:val="111111"/>
          <w:sz w:val="24"/>
          <w:szCs w:val="24"/>
          <w:shd w:val="clear" w:color="auto" w:fill="FFFFFF"/>
        </w:rPr>
      </w:pPr>
      <w:r w:rsidRPr="00CE6ECB">
        <w:rPr>
          <w:rFonts w:ascii="Times New Roman" w:hAnsi="Times New Roman" w:cs="Times New Roman"/>
          <w:color w:val="111111"/>
          <w:sz w:val="24"/>
          <w:szCs w:val="24"/>
          <w:shd w:val="clear" w:color="auto" w:fill="FFFFFF"/>
        </w:rPr>
        <w:t xml:space="preserve">When citing </w:t>
      </w:r>
      <w:r w:rsidR="00F80270">
        <w:rPr>
          <w:rFonts w:ascii="Times New Roman" w:hAnsi="Times New Roman" w:cs="Times New Roman"/>
          <w:color w:val="111111"/>
          <w:sz w:val="24"/>
          <w:szCs w:val="24"/>
          <w:shd w:val="clear" w:color="auto" w:fill="FFFFFF"/>
        </w:rPr>
        <w:t>reference</w:t>
      </w:r>
      <w:r w:rsidRPr="00CE6ECB">
        <w:rPr>
          <w:rFonts w:ascii="Times New Roman" w:hAnsi="Times New Roman" w:cs="Times New Roman"/>
          <w:color w:val="111111"/>
          <w:sz w:val="24"/>
          <w:szCs w:val="24"/>
          <w:shd w:val="clear" w:color="auto" w:fill="FFFFFF"/>
        </w:rPr>
        <w:t xml:space="preserve">s in the text, </w:t>
      </w:r>
      <w:r w:rsidR="00A41200">
        <w:rPr>
          <w:rFonts w:ascii="Times New Roman" w:hAnsi="Times New Roman" w:cs="Times New Roman"/>
          <w:color w:val="111111"/>
          <w:sz w:val="24"/>
          <w:szCs w:val="24"/>
          <w:shd w:val="clear" w:color="auto" w:fill="FFFFFF"/>
        </w:rPr>
        <w:t>reference</w:t>
      </w:r>
      <w:r w:rsidRPr="00CE6ECB">
        <w:rPr>
          <w:rFonts w:ascii="Times New Roman" w:hAnsi="Times New Roman" w:cs="Times New Roman"/>
          <w:color w:val="111111"/>
          <w:sz w:val="24"/>
          <w:szCs w:val="24"/>
          <w:shd w:val="clear" w:color="auto" w:fill="FFFFFF"/>
        </w:rPr>
        <w:t xml:space="preserve">s should be specified according to the "(surname, date)" system. When citing </w:t>
      </w:r>
      <w:r w:rsidR="00A41200">
        <w:rPr>
          <w:rFonts w:ascii="Times New Roman" w:hAnsi="Times New Roman" w:cs="Times New Roman"/>
          <w:color w:val="111111"/>
          <w:sz w:val="24"/>
          <w:szCs w:val="24"/>
          <w:shd w:val="clear" w:color="auto" w:fill="FFFFFF"/>
        </w:rPr>
        <w:t>reference</w:t>
      </w:r>
      <w:r w:rsidRPr="00CE6ECB">
        <w:rPr>
          <w:rFonts w:ascii="Times New Roman" w:hAnsi="Times New Roman" w:cs="Times New Roman"/>
          <w:color w:val="111111"/>
          <w:sz w:val="24"/>
          <w:szCs w:val="24"/>
          <w:shd w:val="clear" w:color="auto" w:fill="FFFFFF"/>
        </w:rPr>
        <w:t xml:space="preserve">s in the text according to the surname date system, the surname of the author should be written in parentheses with the first letter of the </w:t>
      </w:r>
      <w:r w:rsidR="00A41200">
        <w:rPr>
          <w:rFonts w:ascii="Times New Roman" w:hAnsi="Times New Roman" w:cs="Times New Roman"/>
          <w:color w:val="111111"/>
          <w:sz w:val="24"/>
          <w:szCs w:val="24"/>
          <w:shd w:val="clear" w:color="auto" w:fill="FFFFFF"/>
        </w:rPr>
        <w:t>reference</w:t>
      </w:r>
      <w:r w:rsidRPr="00CE6ECB">
        <w:rPr>
          <w:rFonts w:ascii="Times New Roman" w:hAnsi="Times New Roman" w:cs="Times New Roman"/>
          <w:color w:val="111111"/>
          <w:sz w:val="24"/>
          <w:szCs w:val="24"/>
          <w:shd w:val="clear" w:color="auto" w:fill="FFFFFF"/>
        </w:rPr>
        <w:t xml:space="preserve"> capitalized and the others lowercase, then the publication date of the work should be written by placing a comma (Tanriverdi, 2020). If more than one author is to be named, a semicolon should be placed after the dates (Tanriverdi, 2021; Yildiko, 2022). If the reference is to a work with two authors, if it is published in English, the conjunctions “and” (Halliwell and Gutteridge, 1990; Akdeniz and Cakmak, 2007) should be added between the surnames of the authors. While citing the </w:t>
      </w:r>
      <w:r w:rsidR="00A41200">
        <w:rPr>
          <w:rFonts w:ascii="Times New Roman" w:hAnsi="Times New Roman" w:cs="Times New Roman"/>
          <w:color w:val="111111"/>
          <w:sz w:val="24"/>
          <w:szCs w:val="24"/>
          <w:shd w:val="clear" w:color="auto" w:fill="FFFFFF"/>
        </w:rPr>
        <w:t>reference</w:t>
      </w:r>
      <w:r w:rsidRPr="00CE6ECB">
        <w:rPr>
          <w:rFonts w:ascii="Times New Roman" w:hAnsi="Times New Roman" w:cs="Times New Roman"/>
          <w:color w:val="111111"/>
          <w:sz w:val="24"/>
          <w:szCs w:val="24"/>
          <w:shd w:val="clear" w:color="auto" w:fill="FFFFFF"/>
        </w:rPr>
        <w:t xml:space="preserve"> according to the surname of the author in the text, if the number of authors is three or more, if the article was published in English after the surname of the first author, the expressions "et al.," (Adiguzel et al., 2022; Yildiko et al., 2021) should be used. While citing the </w:t>
      </w:r>
      <w:r w:rsidR="00A41200">
        <w:rPr>
          <w:rFonts w:ascii="Times New Roman" w:hAnsi="Times New Roman" w:cs="Times New Roman"/>
          <w:color w:val="111111"/>
          <w:sz w:val="24"/>
          <w:szCs w:val="24"/>
          <w:shd w:val="clear" w:color="auto" w:fill="FFFFFF"/>
        </w:rPr>
        <w:t>reference</w:t>
      </w:r>
      <w:r w:rsidRPr="00CE6ECB">
        <w:rPr>
          <w:rFonts w:ascii="Times New Roman" w:hAnsi="Times New Roman" w:cs="Times New Roman"/>
          <w:color w:val="111111"/>
          <w:sz w:val="24"/>
          <w:szCs w:val="24"/>
          <w:shd w:val="clear" w:color="auto" w:fill="FFFFFF"/>
        </w:rPr>
        <w:t xml:space="preserve"> in the text according to the surname of the author, if there are publications by the same author and authors in the same year, the letters a, b, c should be used after the publication year. (Tanriverdi, 2021a; 2021b).</w:t>
      </w:r>
    </w:p>
    <w:p w14:paraId="0555EC3F" w14:textId="6A1541E3" w:rsidR="00D046DA" w:rsidRDefault="004E0E48" w:rsidP="00BB3CB9">
      <w:pPr>
        <w:spacing w:line="360" w:lineRule="auto"/>
        <w:jc w:val="both"/>
        <w:rPr>
          <w:rFonts w:ascii="Times New Roman" w:hAnsi="Times New Roman" w:cs="Times New Roman"/>
          <w:color w:val="111111"/>
          <w:sz w:val="24"/>
          <w:szCs w:val="24"/>
          <w:shd w:val="clear" w:color="auto" w:fill="FFFFFF"/>
        </w:rPr>
      </w:pPr>
      <w:r w:rsidRPr="004E0E48">
        <w:rPr>
          <w:rFonts w:ascii="Times New Roman" w:hAnsi="Times New Roman" w:cs="Times New Roman"/>
          <w:color w:val="111111"/>
          <w:sz w:val="24"/>
          <w:szCs w:val="24"/>
          <w:shd w:val="clear" w:color="auto" w:fill="FFFFFF"/>
        </w:rPr>
        <w:t>SI (Systeme International d'Units) measurement units should be used in all articles. In numbers and units, only a period (.) should be used as a decimal separator (20.23), “/” sign should not be used when writing units, it should be exponentiated by leaving a space (g L-1) in writing very large numbers, the numbers should be separated by triples (such as 100 000). ).</w:t>
      </w:r>
    </w:p>
    <w:p w14:paraId="20DFCC66" w14:textId="3D7C940D" w:rsidR="00EA15FD" w:rsidRDefault="008C277C" w:rsidP="00EA15FD">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1</w:t>
      </w:r>
      <w:r w:rsidR="00EA15FD">
        <w:rPr>
          <w:rFonts w:ascii="Times New Roman" w:hAnsi="Times New Roman" w:cs="Times New Roman"/>
          <w:b/>
          <w:bCs/>
          <w:color w:val="111111"/>
          <w:sz w:val="24"/>
          <w:szCs w:val="24"/>
          <w:shd w:val="clear" w:color="auto" w:fill="FFFFFF"/>
        </w:rPr>
        <w:t xml:space="preserve">.1. </w:t>
      </w:r>
      <w:r w:rsidR="00EA15FD" w:rsidRPr="008C6A45">
        <w:rPr>
          <w:rFonts w:ascii="Times New Roman" w:hAnsi="Times New Roman" w:cs="Times New Roman"/>
          <w:b/>
          <w:bCs/>
          <w:color w:val="111111"/>
          <w:sz w:val="24"/>
          <w:szCs w:val="24"/>
          <w:shd w:val="clear" w:color="auto" w:fill="FFFFFF"/>
        </w:rPr>
        <w:t>Second Level Title</w:t>
      </w:r>
    </w:p>
    <w:p w14:paraId="1D81E10D" w14:textId="0CFFA6AC" w:rsidR="00EA15FD" w:rsidRDefault="008C277C" w:rsidP="00E05035">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1</w:t>
      </w:r>
      <w:r w:rsidR="00EA15FD">
        <w:rPr>
          <w:rFonts w:ascii="Times New Roman" w:hAnsi="Times New Roman" w:cs="Times New Roman"/>
          <w:b/>
          <w:bCs/>
          <w:color w:val="111111"/>
          <w:sz w:val="24"/>
          <w:szCs w:val="24"/>
          <w:shd w:val="clear" w:color="auto" w:fill="FFFFFF"/>
        </w:rPr>
        <w:t xml:space="preserve">.1.1. </w:t>
      </w:r>
      <w:r w:rsidR="00EA15FD" w:rsidRPr="008C6A45">
        <w:rPr>
          <w:rFonts w:ascii="Times New Roman" w:hAnsi="Times New Roman" w:cs="Times New Roman"/>
          <w:b/>
          <w:bCs/>
          <w:color w:val="111111"/>
          <w:sz w:val="24"/>
          <w:szCs w:val="24"/>
          <w:shd w:val="clear" w:color="auto" w:fill="FFFFFF"/>
        </w:rPr>
        <w:t>third level title</w:t>
      </w:r>
    </w:p>
    <w:p w14:paraId="6EE5E34B" w14:textId="5BB5DEF8" w:rsidR="00E05035" w:rsidRDefault="00E05035" w:rsidP="00E05035">
      <w:pPr>
        <w:spacing w:line="360" w:lineRule="auto"/>
        <w:jc w:val="both"/>
        <w:rPr>
          <w:rFonts w:ascii="Times New Roman" w:hAnsi="Times New Roman" w:cs="Times New Roman"/>
          <w:color w:val="111111"/>
          <w:sz w:val="24"/>
          <w:szCs w:val="24"/>
          <w:shd w:val="clear" w:color="auto" w:fill="FFFFFF"/>
        </w:rPr>
      </w:pPr>
      <w:r w:rsidRPr="00E05035">
        <w:rPr>
          <w:rFonts w:ascii="Times New Roman" w:hAnsi="Times New Roman" w:cs="Times New Roman"/>
          <w:color w:val="111111"/>
          <w:sz w:val="24"/>
          <w:szCs w:val="24"/>
          <w:shd w:val="clear" w:color="auto" w:fill="FFFFFF"/>
        </w:rPr>
        <w:t>For Figures and Tables, the expressions “Figure” and “Table” should be used in the English article. (Table 1., Figure 1.). Explanations and footnotes of tables and figures should be written in 10 points at the bottom of the table or table, and there should not be a dot (.) at the end. The title of the table should be 12 points and above the table, and the content should be given in 10 points. Figures, graphics, photographs and the like should be written with the title "Figure" at the bottom and in 12 points. Figures and Tables should be given in the text and should not be added to the end of the text.</w:t>
      </w:r>
    </w:p>
    <w:p w14:paraId="085911B8" w14:textId="77777777" w:rsidR="00E113DC" w:rsidRDefault="00E113DC" w:rsidP="00E113DC">
      <w:pPr>
        <w:jc w:val="center"/>
      </w:pPr>
      <w:r>
        <w:rPr>
          <w:noProof/>
          <w:lang w:eastAsia="tr-TR"/>
        </w:rPr>
        <w:lastRenderedPageBreak/>
        <w:drawing>
          <wp:inline distT="0" distB="0" distL="0" distR="0" wp14:anchorId="716BE487" wp14:editId="3F06A0E7">
            <wp:extent cx="4899660" cy="3616018"/>
            <wp:effectExtent l="0" t="0" r="0" b="381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
                      <a:extLst>
                        <a:ext uri="{28A0092B-C50C-407E-A947-70E740481C1C}">
                          <a14:useLocalDpi xmlns:a14="http://schemas.microsoft.com/office/drawing/2010/main" val="0"/>
                        </a:ext>
                      </a:extLst>
                    </a:blip>
                    <a:srcRect t="2151" b="17869"/>
                    <a:stretch/>
                  </pic:blipFill>
                  <pic:spPr bwMode="auto">
                    <a:xfrm>
                      <a:off x="0" y="0"/>
                      <a:ext cx="4917253" cy="3629002"/>
                    </a:xfrm>
                    <a:prstGeom prst="rect">
                      <a:avLst/>
                    </a:prstGeom>
                    <a:noFill/>
                    <a:ln>
                      <a:noFill/>
                    </a:ln>
                    <a:extLst>
                      <a:ext uri="{53640926-AAD7-44D8-BBD7-CCE9431645EC}">
                        <a14:shadowObscured xmlns:a14="http://schemas.microsoft.com/office/drawing/2010/main"/>
                      </a:ext>
                    </a:extLst>
                  </pic:spPr>
                </pic:pic>
              </a:graphicData>
            </a:graphic>
          </wp:inline>
        </w:drawing>
      </w:r>
    </w:p>
    <w:p w14:paraId="19F677B3" w14:textId="77777777" w:rsidR="004B1ADD" w:rsidRDefault="004B1ADD" w:rsidP="00D05256">
      <w:pPr>
        <w:spacing w:line="360" w:lineRule="auto"/>
        <w:jc w:val="both"/>
        <w:rPr>
          <w:rFonts w:ascii="Times New Roman" w:hAnsi="Times New Roman" w:cs="Times New Roman"/>
          <w:sz w:val="24"/>
          <w:szCs w:val="24"/>
        </w:rPr>
      </w:pPr>
      <w:r w:rsidRPr="004B1ADD">
        <w:rPr>
          <w:rFonts w:ascii="Times New Roman" w:hAnsi="Times New Roman" w:cs="Times New Roman"/>
          <w:b/>
          <w:bCs/>
          <w:sz w:val="24"/>
          <w:szCs w:val="24"/>
        </w:rPr>
        <w:t xml:space="preserve">Figure 1. </w:t>
      </w:r>
      <w:r w:rsidRPr="004B1ADD">
        <w:rPr>
          <w:rFonts w:ascii="Times New Roman" w:hAnsi="Times New Roman" w:cs="Times New Roman"/>
          <w:sz w:val="24"/>
          <w:szCs w:val="24"/>
        </w:rPr>
        <w:t>3D view of the aromatic surface on the receptor and 2D view of PN2 - AChE enzyme interactions</w:t>
      </w:r>
    </w:p>
    <w:p w14:paraId="09057829" w14:textId="4AB046F1" w:rsidR="00D05256" w:rsidRPr="004B1ADD" w:rsidRDefault="004B1ADD" w:rsidP="00D05256">
      <w:pPr>
        <w:spacing w:line="360" w:lineRule="auto"/>
        <w:jc w:val="both"/>
        <w:rPr>
          <w:rFonts w:ascii="Times New Roman" w:eastAsia="Calibri" w:hAnsi="Times New Roman" w:cs="Times New Roman"/>
          <w:bCs/>
          <w:color w:val="323232"/>
          <w:sz w:val="24"/>
          <w:szCs w:val="24"/>
          <w:lang w:val="en-US"/>
        </w:rPr>
      </w:pPr>
      <w:r w:rsidRPr="004B1ADD">
        <w:rPr>
          <w:rFonts w:ascii="Times New Roman" w:eastAsia="Calibri" w:hAnsi="Times New Roman" w:cs="Times New Roman"/>
          <w:b/>
          <w:color w:val="323232"/>
          <w:sz w:val="24"/>
          <w:szCs w:val="24"/>
          <w:lang w:val="en-US"/>
        </w:rPr>
        <w:t xml:space="preserve">Table 1. </w:t>
      </w:r>
      <w:r w:rsidRPr="004B1ADD">
        <w:rPr>
          <w:rFonts w:ascii="Times New Roman" w:eastAsia="Calibri" w:hAnsi="Times New Roman" w:cs="Times New Roman"/>
          <w:bCs/>
          <w:color w:val="323232"/>
          <w:sz w:val="24"/>
          <w:szCs w:val="24"/>
          <w:lang w:val="en-US"/>
        </w:rPr>
        <w:t>Physicochemical and lipophilicity of the most active organism</w:t>
      </w:r>
    </w:p>
    <w:tbl>
      <w:tblPr>
        <w:tblW w:w="8607" w:type="dxa"/>
        <w:tblInd w:w="-67" w:type="dxa"/>
        <w:tblBorders>
          <w:top w:val="single" w:sz="6" w:space="0" w:color="EBEBEB"/>
          <w:bottom w:val="single" w:sz="6" w:space="0" w:color="EBEBEB"/>
        </w:tblBorders>
        <w:tblLayout w:type="fixed"/>
        <w:tblCellMar>
          <w:left w:w="0" w:type="dxa"/>
          <w:right w:w="0" w:type="dxa"/>
        </w:tblCellMar>
        <w:tblLook w:val="04A0" w:firstRow="1" w:lastRow="0" w:firstColumn="1" w:lastColumn="0" w:noHBand="0" w:noVBand="1"/>
      </w:tblPr>
      <w:tblGrid>
        <w:gridCol w:w="599"/>
        <w:gridCol w:w="1312"/>
        <w:gridCol w:w="1014"/>
        <w:gridCol w:w="704"/>
        <w:gridCol w:w="1002"/>
        <w:gridCol w:w="570"/>
        <w:gridCol w:w="599"/>
        <w:gridCol w:w="603"/>
        <w:gridCol w:w="676"/>
        <w:gridCol w:w="753"/>
        <w:gridCol w:w="775"/>
      </w:tblGrid>
      <w:tr w:rsidR="00D05256" w:rsidRPr="00D05256" w14:paraId="5A679781" w14:textId="77777777" w:rsidTr="00996CA9">
        <w:trPr>
          <w:trHeight w:val="251"/>
          <w:tblHeader/>
        </w:trPr>
        <w:tc>
          <w:tcPr>
            <w:tcW w:w="599" w:type="dxa"/>
            <w:vMerge w:val="restart"/>
            <w:tcBorders>
              <w:top w:val="single" w:sz="4" w:space="0" w:color="auto"/>
              <w:left w:val="nil"/>
              <w:bottom w:val="nil"/>
              <w:right w:val="nil"/>
            </w:tcBorders>
            <w:tcMar>
              <w:top w:w="75" w:type="dxa"/>
              <w:left w:w="75" w:type="dxa"/>
              <w:bottom w:w="75" w:type="dxa"/>
              <w:right w:w="75" w:type="dxa"/>
            </w:tcMar>
            <w:hideMark/>
          </w:tcPr>
          <w:p w14:paraId="31DF831B" w14:textId="1B453E40" w:rsidR="00D05256" w:rsidRPr="004637A2" w:rsidRDefault="007D52D8" w:rsidP="00996CA9">
            <w:pPr>
              <w:rPr>
                <w:rFonts w:ascii="Times New Roman" w:hAnsi="Times New Roman" w:cs="Times New Roman"/>
                <w:b/>
                <w:bCs/>
                <w:color w:val="2E2E2E"/>
                <w:sz w:val="20"/>
                <w:szCs w:val="20"/>
                <w:lang w:val="en-US"/>
              </w:rPr>
            </w:pPr>
            <w:r w:rsidRPr="007D52D8">
              <w:rPr>
                <w:rFonts w:ascii="Times New Roman" w:hAnsi="Times New Roman" w:cs="Times New Roman"/>
                <w:b/>
                <w:bCs/>
                <w:color w:val="2E2E2E"/>
                <w:sz w:val="20"/>
                <w:szCs w:val="20"/>
                <w:lang w:val="en-US"/>
              </w:rPr>
              <w:t>Code</w:t>
            </w:r>
          </w:p>
        </w:tc>
        <w:tc>
          <w:tcPr>
            <w:tcW w:w="1312" w:type="dxa"/>
            <w:vMerge w:val="restart"/>
            <w:tcBorders>
              <w:top w:val="single" w:sz="4" w:space="0" w:color="auto"/>
              <w:left w:val="nil"/>
              <w:bottom w:val="nil"/>
              <w:right w:val="nil"/>
            </w:tcBorders>
            <w:tcMar>
              <w:top w:w="75" w:type="dxa"/>
              <w:left w:w="75" w:type="dxa"/>
              <w:bottom w:w="75" w:type="dxa"/>
              <w:right w:w="75" w:type="dxa"/>
            </w:tcMar>
            <w:hideMark/>
          </w:tcPr>
          <w:p w14:paraId="50F5A4ED" w14:textId="77777777" w:rsidR="007D52D8" w:rsidRDefault="007D52D8" w:rsidP="00996CA9">
            <w:pPr>
              <w:rPr>
                <w:rFonts w:ascii="Times New Roman" w:hAnsi="Times New Roman" w:cs="Times New Roman"/>
                <w:b/>
                <w:bCs/>
                <w:color w:val="2E2E2E"/>
                <w:sz w:val="20"/>
                <w:szCs w:val="20"/>
                <w:lang w:val="en-US"/>
              </w:rPr>
            </w:pPr>
            <w:r w:rsidRPr="007D52D8">
              <w:rPr>
                <w:rFonts w:ascii="Times New Roman" w:hAnsi="Times New Roman" w:cs="Times New Roman"/>
                <w:b/>
                <w:bCs/>
                <w:color w:val="2E2E2E"/>
                <w:sz w:val="20"/>
                <w:szCs w:val="20"/>
                <w:lang w:val="en-US"/>
              </w:rPr>
              <w:t xml:space="preserve">Lipophilicity consensus </w:t>
            </w:r>
          </w:p>
          <w:p w14:paraId="56DE5321" w14:textId="2AD538ED" w:rsidR="00D05256" w:rsidRPr="004637A2" w:rsidRDefault="007D52D8" w:rsidP="00996CA9">
            <w:pPr>
              <w:rPr>
                <w:rFonts w:ascii="Times New Roman" w:hAnsi="Times New Roman" w:cs="Times New Roman"/>
                <w:b/>
                <w:bCs/>
                <w:color w:val="2E2E2E"/>
                <w:sz w:val="20"/>
                <w:szCs w:val="20"/>
                <w:lang w:val="en-US"/>
              </w:rPr>
            </w:pPr>
            <w:r w:rsidRPr="007D52D8">
              <w:rPr>
                <w:rFonts w:ascii="Times New Roman" w:hAnsi="Times New Roman" w:cs="Times New Roman"/>
                <w:b/>
                <w:bCs/>
                <w:color w:val="2E2E2E"/>
                <w:sz w:val="20"/>
                <w:szCs w:val="20"/>
                <w:lang w:val="en-US"/>
              </w:rPr>
              <w:t>log P</w:t>
            </w:r>
          </w:p>
        </w:tc>
        <w:tc>
          <w:tcPr>
            <w:tcW w:w="6696" w:type="dxa"/>
            <w:gridSpan w:val="9"/>
            <w:tcBorders>
              <w:top w:val="single" w:sz="4" w:space="0" w:color="auto"/>
              <w:left w:val="nil"/>
              <w:bottom w:val="single" w:sz="4" w:space="0" w:color="auto"/>
              <w:right w:val="nil"/>
            </w:tcBorders>
            <w:tcMar>
              <w:top w:w="75" w:type="dxa"/>
              <w:left w:w="75" w:type="dxa"/>
              <w:bottom w:w="75" w:type="dxa"/>
              <w:right w:w="75" w:type="dxa"/>
            </w:tcMar>
            <w:hideMark/>
          </w:tcPr>
          <w:p w14:paraId="2A27F826" w14:textId="7792496F" w:rsidR="00D05256" w:rsidRPr="004637A2" w:rsidRDefault="007D52D8" w:rsidP="00996CA9">
            <w:pPr>
              <w:jc w:val="center"/>
              <w:rPr>
                <w:rFonts w:ascii="Times New Roman" w:hAnsi="Times New Roman" w:cs="Times New Roman"/>
                <w:b/>
                <w:bCs/>
                <w:color w:val="2E2E2E"/>
                <w:sz w:val="20"/>
                <w:szCs w:val="20"/>
                <w:lang w:val="en-US"/>
              </w:rPr>
            </w:pPr>
            <w:r w:rsidRPr="007D52D8">
              <w:rPr>
                <w:rFonts w:ascii="Times New Roman" w:hAnsi="Times New Roman" w:cs="Times New Roman"/>
                <w:b/>
                <w:bCs/>
                <w:color w:val="2E2E2E"/>
                <w:sz w:val="20"/>
                <w:szCs w:val="20"/>
                <w:lang w:val="en-US"/>
              </w:rPr>
              <w:t>Physico-chemical properties</w:t>
            </w:r>
          </w:p>
        </w:tc>
      </w:tr>
      <w:tr w:rsidR="00D05256" w:rsidRPr="00D05256" w14:paraId="34515156" w14:textId="77777777" w:rsidTr="00996CA9">
        <w:trPr>
          <w:trHeight w:val="623"/>
          <w:tblHeader/>
        </w:trPr>
        <w:tc>
          <w:tcPr>
            <w:tcW w:w="599" w:type="dxa"/>
            <w:vMerge/>
            <w:tcBorders>
              <w:top w:val="nil"/>
              <w:left w:val="nil"/>
              <w:bottom w:val="single" w:sz="4" w:space="0" w:color="auto"/>
              <w:right w:val="nil"/>
            </w:tcBorders>
            <w:hideMark/>
          </w:tcPr>
          <w:p w14:paraId="532C1790" w14:textId="77777777" w:rsidR="00D05256" w:rsidRPr="004637A2" w:rsidRDefault="00D05256" w:rsidP="00996CA9">
            <w:pPr>
              <w:rPr>
                <w:rFonts w:ascii="Times New Roman" w:hAnsi="Times New Roman" w:cs="Times New Roman"/>
                <w:b/>
                <w:bCs/>
                <w:color w:val="2E2E2E"/>
                <w:sz w:val="20"/>
                <w:szCs w:val="20"/>
                <w:lang w:val="en-US"/>
              </w:rPr>
            </w:pPr>
          </w:p>
        </w:tc>
        <w:tc>
          <w:tcPr>
            <w:tcW w:w="1312" w:type="dxa"/>
            <w:vMerge/>
            <w:tcBorders>
              <w:top w:val="nil"/>
              <w:left w:val="nil"/>
              <w:bottom w:val="single" w:sz="4" w:space="0" w:color="auto"/>
              <w:right w:val="nil"/>
            </w:tcBorders>
            <w:hideMark/>
          </w:tcPr>
          <w:p w14:paraId="5D90D823" w14:textId="77777777" w:rsidR="00D05256" w:rsidRPr="004637A2" w:rsidRDefault="00D05256" w:rsidP="00996CA9">
            <w:pPr>
              <w:rPr>
                <w:rFonts w:ascii="Times New Roman" w:hAnsi="Times New Roman" w:cs="Times New Roman"/>
                <w:b/>
                <w:bCs/>
                <w:color w:val="2E2E2E"/>
                <w:sz w:val="20"/>
                <w:szCs w:val="20"/>
                <w:lang w:val="en-US"/>
              </w:rPr>
            </w:pPr>
          </w:p>
        </w:tc>
        <w:tc>
          <w:tcPr>
            <w:tcW w:w="1014" w:type="dxa"/>
            <w:tcBorders>
              <w:top w:val="single" w:sz="4" w:space="0" w:color="auto"/>
              <w:left w:val="nil"/>
              <w:bottom w:val="single" w:sz="4" w:space="0" w:color="auto"/>
              <w:right w:val="nil"/>
            </w:tcBorders>
            <w:tcMar>
              <w:top w:w="75" w:type="dxa"/>
              <w:left w:w="75" w:type="dxa"/>
              <w:bottom w:w="75" w:type="dxa"/>
              <w:right w:w="75" w:type="dxa"/>
            </w:tcMar>
            <w:hideMark/>
          </w:tcPr>
          <w:p w14:paraId="18C094FA"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MA</w:t>
            </w:r>
            <w:r w:rsidRPr="004637A2">
              <w:rPr>
                <w:rFonts w:ascii="Times New Roman" w:hAnsi="Times New Roman" w:cs="Times New Roman"/>
                <w:b/>
                <w:bCs/>
                <w:color w:val="2E2E2E"/>
                <w:sz w:val="20"/>
                <w:szCs w:val="20"/>
                <w:vertAlign w:val="superscript"/>
                <w:lang w:val="en-US"/>
              </w:rPr>
              <w:t>a</w:t>
            </w:r>
            <w:r w:rsidRPr="004637A2">
              <w:rPr>
                <w:rFonts w:ascii="Times New Roman" w:hAnsi="Times New Roman" w:cs="Times New Roman"/>
                <w:b/>
                <w:bCs/>
                <w:color w:val="2E2E2E"/>
                <w:sz w:val="20"/>
                <w:szCs w:val="20"/>
                <w:lang w:val="en-US"/>
              </w:rPr>
              <w:t> </w:t>
            </w:r>
          </w:p>
          <w:p w14:paraId="2F2001A1"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g/mol</w:t>
            </w:r>
          </w:p>
        </w:tc>
        <w:tc>
          <w:tcPr>
            <w:tcW w:w="704" w:type="dxa"/>
            <w:tcBorders>
              <w:top w:val="single" w:sz="4" w:space="0" w:color="auto"/>
              <w:left w:val="nil"/>
              <w:bottom w:val="single" w:sz="4" w:space="0" w:color="auto"/>
              <w:right w:val="nil"/>
            </w:tcBorders>
            <w:tcMar>
              <w:top w:w="75" w:type="dxa"/>
              <w:left w:w="75" w:type="dxa"/>
              <w:bottom w:w="75" w:type="dxa"/>
              <w:right w:w="75" w:type="dxa"/>
            </w:tcMar>
            <w:hideMark/>
          </w:tcPr>
          <w:p w14:paraId="79EB49E9"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Heavy atoms</w:t>
            </w:r>
          </w:p>
        </w:tc>
        <w:tc>
          <w:tcPr>
            <w:tcW w:w="1002" w:type="dxa"/>
            <w:tcBorders>
              <w:top w:val="single" w:sz="4" w:space="0" w:color="auto"/>
              <w:left w:val="nil"/>
              <w:bottom w:val="single" w:sz="4" w:space="0" w:color="auto"/>
              <w:right w:val="nil"/>
            </w:tcBorders>
            <w:tcMar>
              <w:top w:w="75" w:type="dxa"/>
              <w:left w:w="75" w:type="dxa"/>
              <w:bottom w:w="75" w:type="dxa"/>
              <w:right w:w="75" w:type="dxa"/>
            </w:tcMar>
            <w:hideMark/>
          </w:tcPr>
          <w:p w14:paraId="527F7A56" w14:textId="65E91D47" w:rsidR="00D05256" w:rsidRPr="004637A2" w:rsidRDefault="00C96859" w:rsidP="00996CA9">
            <w:pPr>
              <w:rPr>
                <w:rFonts w:ascii="Times New Roman" w:hAnsi="Times New Roman" w:cs="Times New Roman"/>
                <w:b/>
                <w:bCs/>
                <w:color w:val="2E2E2E"/>
                <w:sz w:val="20"/>
                <w:szCs w:val="20"/>
                <w:lang w:val="en-US"/>
              </w:rPr>
            </w:pPr>
            <w:r w:rsidRPr="00C96859">
              <w:rPr>
                <w:rFonts w:ascii="Times New Roman" w:hAnsi="Times New Roman" w:cs="Times New Roman"/>
                <w:b/>
                <w:bCs/>
                <w:color w:val="2E2E2E"/>
                <w:sz w:val="20"/>
                <w:szCs w:val="20"/>
                <w:lang w:val="en-US"/>
              </w:rPr>
              <w:t>aromatic heavy atoms</w:t>
            </w:r>
          </w:p>
        </w:tc>
        <w:tc>
          <w:tcPr>
            <w:tcW w:w="570" w:type="dxa"/>
            <w:tcBorders>
              <w:top w:val="single" w:sz="4" w:space="0" w:color="auto"/>
              <w:left w:val="nil"/>
              <w:bottom w:val="single" w:sz="4" w:space="0" w:color="auto"/>
              <w:right w:val="nil"/>
            </w:tcBorders>
            <w:tcMar>
              <w:top w:w="75" w:type="dxa"/>
              <w:left w:w="75" w:type="dxa"/>
              <w:bottom w:w="75" w:type="dxa"/>
              <w:right w:w="75" w:type="dxa"/>
            </w:tcMar>
            <w:hideMark/>
          </w:tcPr>
          <w:p w14:paraId="7F851778"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Rot. bond</w:t>
            </w:r>
          </w:p>
        </w:tc>
        <w:tc>
          <w:tcPr>
            <w:tcW w:w="599" w:type="dxa"/>
            <w:tcBorders>
              <w:top w:val="single" w:sz="4" w:space="0" w:color="auto"/>
              <w:left w:val="nil"/>
              <w:bottom w:val="single" w:sz="4" w:space="0" w:color="auto"/>
              <w:right w:val="nil"/>
            </w:tcBorders>
            <w:tcMar>
              <w:top w:w="75" w:type="dxa"/>
              <w:left w:w="75" w:type="dxa"/>
              <w:bottom w:w="75" w:type="dxa"/>
              <w:right w:w="75" w:type="dxa"/>
            </w:tcMar>
            <w:hideMark/>
          </w:tcPr>
          <w:p w14:paraId="2FE25BD1"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H‐bond acc.</w:t>
            </w:r>
          </w:p>
        </w:tc>
        <w:tc>
          <w:tcPr>
            <w:tcW w:w="603" w:type="dxa"/>
            <w:tcBorders>
              <w:top w:val="single" w:sz="4" w:space="0" w:color="auto"/>
              <w:left w:val="nil"/>
              <w:bottom w:val="single" w:sz="4" w:space="0" w:color="auto"/>
              <w:right w:val="nil"/>
            </w:tcBorders>
            <w:tcMar>
              <w:top w:w="75" w:type="dxa"/>
              <w:left w:w="75" w:type="dxa"/>
              <w:bottom w:w="75" w:type="dxa"/>
              <w:right w:w="75" w:type="dxa"/>
            </w:tcMar>
            <w:hideMark/>
          </w:tcPr>
          <w:p w14:paraId="19E93945"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H‐bond don.</w:t>
            </w:r>
          </w:p>
        </w:tc>
        <w:tc>
          <w:tcPr>
            <w:tcW w:w="676" w:type="dxa"/>
            <w:tcBorders>
              <w:top w:val="single" w:sz="4" w:space="0" w:color="auto"/>
              <w:left w:val="nil"/>
              <w:bottom w:val="single" w:sz="4" w:space="0" w:color="auto"/>
              <w:right w:val="nil"/>
            </w:tcBorders>
            <w:tcMar>
              <w:top w:w="75" w:type="dxa"/>
              <w:left w:w="75" w:type="dxa"/>
              <w:bottom w:w="75" w:type="dxa"/>
              <w:right w:w="75" w:type="dxa"/>
            </w:tcMar>
            <w:hideMark/>
          </w:tcPr>
          <w:p w14:paraId="2346C577"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MR</w:t>
            </w:r>
            <w:r w:rsidRPr="004637A2">
              <w:rPr>
                <w:rFonts w:ascii="Times New Roman" w:hAnsi="Times New Roman" w:cs="Times New Roman"/>
                <w:b/>
                <w:bCs/>
                <w:color w:val="2E2E2E"/>
                <w:sz w:val="20"/>
                <w:szCs w:val="20"/>
                <w:vertAlign w:val="superscript"/>
                <w:lang w:val="en-US"/>
              </w:rPr>
              <w:t>b</w:t>
            </w:r>
          </w:p>
        </w:tc>
        <w:tc>
          <w:tcPr>
            <w:tcW w:w="753" w:type="dxa"/>
            <w:tcBorders>
              <w:top w:val="single" w:sz="4" w:space="0" w:color="auto"/>
              <w:left w:val="nil"/>
              <w:bottom w:val="single" w:sz="4" w:space="0" w:color="auto"/>
              <w:right w:val="nil"/>
            </w:tcBorders>
            <w:tcMar>
              <w:top w:w="75" w:type="dxa"/>
              <w:left w:w="75" w:type="dxa"/>
              <w:bottom w:w="75" w:type="dxa"/>
              <w:right w:w="75" w:type="dxa"/>
            </w:tcMar>
            <w:hideMark/>
          </w:tcPr>
          <w:p w14:paraId="6D121EF3"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TPYA</w:t>
            </w:r>
            <w:r w:rsidRPr="004637A2">
              <w:rPr>
                <w:rFonts w:ascii="Times New Roman" w:hAnsi="Times New Roman" w:cs="Times New Roman"/>
                <w:b/>
                <w:bCs/>
                <w:color w:val="2E2E2E"/>
                <w:sz w:val="20"/>
                <w:szCs w:val="20"/>
                <w:vertAlign w:val="superscript"/>
                <w:lang w:val="en-US"/>
              </w:rPr>
              <w:t>c</w:t>
            </w:r>
            <w:r w:rsidRPr="004637A2">
              <w:rPr>
                <w:rFonts w:ascii="Times New Roman" w:hAnsi="Times New Roman" w:cs="Times New Roman"/>
                <w:b/>
                <w:bCs/>
                <w:color w:val="2E2E2E"/>
                <w:sz w:val="20"/>
                <w:szCs w:val="20"/>
                <w:lang w:val="en-US"/>
              </w:rPr>
              <w:t>  (A</w:t>
            </w:r>
            <w:r w:rsidRPr="004637A2">
              <w:rPr>
                <w:rFonts w:ascii="Times New Roman" w:hAnsi="Times New Roman" w:cs="Times New Roman"/>
                <w:b/>
                <w:bCs/>
                <w:color w:val="2E2E2E"/>
                <w:sz w:val="20"/>
                <w:szCs w:val="20"/>
                <w:vertAlign w:val="superscript"/>
                <w:lang w:val="en-US"/>
              </w:rPr>
              <w:t>2</w:t>
            </w:r>
            <w:r w:rsidRPr="004637A2">
              <w:rPr>
                <w:rFonts w:ascii="Times New Roman" w:hAnsi="Times New Roman" w:cs="Times New Roman"/>
                <w:b/>
                <w:bCs/>
                <w:color w:val="2E2E2E"/>
                <w:sz w:val="20"/>
                <w:szCs w:val="20"/>
                <w:lang w:val="en-US"/>
              </w:rPr>
              <w:t>)</w:t>
            </w:r>
          </w:p>
        </w:tc>
        <w:tc>
          <w:tcPr>
            <w:tcW w:w="775" w:type="dxa"/>
            <w:tcBorders>
              <w:top w:val="single" w:sz="4" w:space="0" w:color="auto"/>
              <w:left w:val="nil"/>
              <w:bottom w:val="single" w:sz="4" w:space="0" w:color="auto"/>
              <w:right w:val="nil"/>
            </w:tcBorders>
            <w:tcMar>
              <w:top w:w="75" w:type="dxa"/>
              <w:left w:w="75" w:type="dxa"/>
              <w:bottom w:w="75" w:type="dxa"/>
              <w:right w:w="75" w:type="dxa"/>
            </w:tcMar>
            <w:hideMark/>
          </w:tcPr>
          <w:p w14:paraId="6B3A3D5F"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 ABS</w:t>
            </w:r>
            <w:r w:rsidRPr="004637A2">
              <w:rPr>
                <w:rFonts w:ascii="Times New Roman" w:hAnsi="Times New Roman" w:cs="Times New Roman"/>
                <w:b/>
                <w:bCs/>
                <w:color w:val="2E2E2E"/>
                <w:sz w:val="20"/>
                <w:szCs w:val="20"/>
                <w:vertAlign w:val="superscript"/>
                <w:lang w:val="en-US"/>
              </w:rPr>
              <w:t>d</w:t>
            </w:r>
          </w:p>
        </w:tc>
      </w:tr>
      <w:tr w:rsidR="00D05256" w:rsidRPr="00D05256" w14:paraId="29F510E4" w14:textId="77777777" w:rsidTr="00996CA9">
        <w:trPr>
          <w:trHeight w:val="196"/>
        </w:trPr>
        <w:tc>
          <w:tcPr>
            <w:tcW w:w="599" w:type="dxa"/>
            <w:tcBorders>
              <w:top w:val="single" w:sz="4" w:space="0" w:color="auto"/>
              <w:bottom w:val="nil"/>
              <w:right w:val="nil"/>
            </w:tcBorders>
            <w:tcMar>
              <w:top w:w="75" w:type="dxa"/>
              <w:left w:w="75" w:type="dxa"/>
              <w:bottom w:w="75" w:type="dxa"/>
              <w:right w:w="75" w:type="dxa"/>
            </w:tcMar>
            <w:hideMark/>
          </w:tcPr>
          <w:p w14:paraId="2EAA1268"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bCs/>
                <w:color w:val="2E2E2E"/>
                <w:sz w:val="20"/>
                <w:szCs w:val="20"/>
                <w:lang w:val="en-US"/>
              </w:rPr>
              <w:t>1</w:t>
            </w:r>
          </w:p>
        </w:tc>
        <w:tc>
          <w:tcPr>
            <w:tcW w:w="1312" w:type="dxa"/>
            <w:tcBorders>
              <w:top w:val="single" w:sz="4" w:space="0" w:color="auto"/>
              <w:bottom w:val="nil"/>
              <w:right w:val="nil"/>
            </w:tcBorders>
            <w:tcMar>
              <w:top w:w="75" w:type="dxa"/>
              <w:left w:w="75" w:type="dxa"/>
              <w:bottom w:w="75" w:type="dxa"/>
              <w:right w:w="75" w:type="dxa"/>
            </w:tcMar>
          </w:tcPr>
          <w:p w14:paraId="4D90E22B"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4.99</w:t>
            </w:r>
          </w:p>
        </w:tc>
        <w:tc>
          <w:tcPr>
            <w:tcW w:w="1014" w:type="dxa"/>
            <w:tcBorders>
              <w:top w:val="single" w:sz="4" w:space="0" w:color="auto"/>
              <w:bottom w:val="nil"/>
              <w:right w:val="nil"/>
            </w:tcBorders>
            <w:tcMar>
              <w:top w:w="75" w:type="dxa"/>
              <w:left w:w="75" w:type="dxa"/>
              <w:bottom w:w="75" w:type="dxa"/>
              <w:right w:w="75" w:type="dxa"/>
            </w:tcMar>
          </w:tcPr>
          <w:p w14:paraId="4A4162EA"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416.47</w:t>
            </w:r>
          </w:p>
        </w:tc>
        <w:tc>
          <w:tcPr>
            <w:tcW w:w="704" w:type="dxa"/>
            <w:tcBorders>
              <w:top w:val="single" w:sz="4" w:space="0" w:color="auto"/>
              <w:bottom w:val="nil"/>
              <w:right w:val="nil"/>
            </w:tcBorders>
            <w:tcMar>
              <w:top w:w="75" w:type="dxa"/>
              <w:left w:w="75" w:type="dxa"/>
              <w:bottom w:w="75" w:type="dxa"/>
              <w:right w:w="75" w:type="dxa"/>
            </w:tcMar>
          </w:tcPr>
          <w:p w14:paraId="497C75F0"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32</w:t>
            </w:r>
          </w:p>
        </w:tc>
        <w:tc>
          <w:tcPr>
            <w:tcW w:w="1002" w:type="dxa"/>
            <w:tcBorders>
              <w:top w:val="single" w:sz="4" w:space="0" w:color="auto"/>
              <w:bottom w:val="nil"/>
              <w:right w:val="nil"/>
            </w:tcBorders>
            <w:tcMar>
              <w:top w:w="75" w:type="dxa"/>
              <w:left w:w="75" w:type="dxa"/>
              <w:bottom w:w="75" w:type="dxa"/>
              <w:right w:w="75" w:type="dxa"/>
            </w:tcMar>
          </w:tcPr>
          <w:p w14:paraId="46C5443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24</w:t>
            </w:r>
          </w:p>
        </w:tc>
        <w:tc>
          <w:tcPr>
            <w:tcW w:w="570" w:type="dxa"/>
            <w:tcBorders>
              <w:top w:val="single" w:sz="4" w:space="0" w:color="auto"/>
              <w:bottom w:val="nil"/>
              <w:right w:val="nil"/>
            </w:tcBorders>
            <w:tcMar>
              <w:top w:w="75" w:type="dxa"/>
              <w:left w:w="75" w:type="dxa"/>
              <w:bottom w:w="75" w:type="dxa"/>
              <w:right w:w="75" w:type="dxa"/>
            </w:tcMar>
          </w:tcPr>
          <w:p w14:paraId="18D7C003"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5</w:t>
            </w:r>
          </w:p>
        </w:tc>
        <w:tc>
          <w:tcPr>
            <w:tcW w:w="599" w:type="dxa"/>
            <w:tcBorders>
              <w:top w:val="single" w:sz="4" w:space="0" w:color="auto"/>
              <w:bottom w:val="nil"/>
              <w:right w:val="nil"/>
            </w:tcBorders>
            <w:tcMar>
              <w:top w:w="75" w:type="dxa"/>
              <w:left w:w="75" w:type="dxa"/>
              <w:bottom w:w="75" w:type="dxa"/>
              <w:right w:w="75" w:type="dxa"/>
            </w:tcMar>
          </w:tcPr>
          <w:p w14:paraId="27EE037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4</w:t>
            </w:r>
          </w:p>
        </w:tc>
        <w:tc>
          <w:tcPr>
            <w:tcW w:w="603" w:type="dxa"/>
            <w:tcBorders>
              <w:top w:val="single" w:sz="4" w:space="0" w:color="auto"/>
              <w:bottom w:val="nil"/>
              <w:right w:val="nil"/>
            </w:tcBorders>
            <w:tcMar>
              <w:top w:w="75" w:type="dxa"/>
              <w:left w:w="75" w:type="dxa"/>
              <w:bottom w:w="75" w:type="dxa"/>
              <w:right w:w="75" w:type="dxa"/>
            </w:tcMar>
          </w:tcPr>
          <w:p w14:paraId="7108A86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w:t>
            </w:r>
          </w:p>
        </w:tc>
        <w:tc>
          <w:tcPr>
            <w:tcW w:w="676" w:type="dxa"/>
            <w:tcBorders>
              <w:top w:val="single" w:sz="4" w:space="0" w:color="auto"/>
              <w:bottom w:val="nil"/>
              <w:right w:val="nil"/>
            </w:tcBorders>
            <w:tcMar>
              <w:top w:w="75" w:type="dxa"/>
              <w:left w:w="75" w:type="dxa"/>
              <w:bottom w:w="75" w:type="dxa"/>
              <w:right w:w="75" w:type="dxa"/>
            </w:tcMar>
          </w:tcPr>
          <w:p w14:paraId="74324B84"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123.04</w:t>
            </w:r>
          </w:p>
        </w:tc>
        <w:tc>
          <w:tcPr>
            <w:tcW w:w="753" w:type="dxa"/>
            <w:tcBorders>
              <w:top w:val="single" w:sz="4" w:space="0" w:color="auto"/>
              <w:bottom w:val="nil"/>
              <w:right w:val="nil"/>
            </w:tcBorders>
            <w:tcMar>
              <w:top w:w="75" w:type="dxa"/>
              <w:left w:w="75" w:type="dxa"/>
              <w:bottom w:w="75" w:type="dxa"/>
              <w:right w:w="75" w:type="dxa"/>
            </w:tcMar>
          </w:tcPr>
          <w:p w14:paraId="4887F2C6"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77.04</w:t>
            </w:r>
          </w:p>
        </w:tc>
        <w:tc>
          <w:tcPr>
            <w:tcW w:w="775" w:type="dxa"/>
            <w:tcBorders>
              <w:top w:val="single" w:sz="4" w:space="0" w:color="auto"/>
              <w:bottom w:val="nil"/>
              <w:right w:val="nil"/>
            </w:tcBorders>
            <w:tcMar>
              <w:top w:w="75" w:type="dxa"/>
              <w:left w:w="75" w:type="dxa"/>
              <w:bottom w:w="75" w:type="dxa"/>
              <w:right w:w="75" w:type="dxa"/>
            </w:tcMar>
          </w:tcPr>
          <w:p w14:paraId="22797E75"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82.42</w:t>
            </w:r>
          </w:p>
        </w:tc>
      </w:tr>
      <w:tr w:rsidR="00D05256" w:rsidRPr="00D05256" w14:paraId="45B7A46D" w14:textId="77777777" w:rsidTr="00996CA9">
        <w:trPr>
          <w:trHeight w:val="196"/>
        </w:trPr>
        <w:tc>
          <w:tcPr>
            <w:tcW w:w="599" w:type="dxa"/>
            <w:tcBorders>
              <w:top w:val="nil"/>
              <w:bottom w:val="single" w:sz="4" w:space="0" w:color="auto"/>
              <w:right w:val="nil"/>
            </w:tcBorders>
            <w:tcMar>
              <w:top w:w="75" w:type="dxa"/>
              <w:left w:w="75" w:type="dxa"/>
              <w:bottom w:w="75" w:type="dxa"/>
              <w:right w:w="75" w:type="dxa"/>
            </w:tcMar>
          </w:tcPr>
          <w:p w14:paraId="3995D21F"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w:t>
            </w:r>
          </w:p>
        </w:tc>
        <w:tc>
          <w:tcPr>
            <w:tcW w:w="1312" w:type="dxa"/>
            <w:tcBorders>
              <w:top w:val="nil"/>
              <w:bottom w:val="single" w:sz="4" w:space="0" w:color="auto"/>
              <w:right w:val="nil"/>
            </w:tcBorders>
            <w:tcMar>
              <w:top w:w="75" w:type="dxa"/>
              <w:left w:w="75" w:type="dxa"/>
              <w:bottom w:w="75" w:type="dxa"/>
              <w:right w:w="75" w:type="dxa"/>
            </w:tcMar>
          </w:tcPr>
          <w:p w14:paraId="43AABA31"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1.54</w:t>
            </w:r>
          </w:p>
        </w:tc>
        <w:tc>
          <w:tcPr>
            <w:tcW w:w="1014" w:type="dxa"/>
            <w:tcBorders>
              <w:top w:val="nil"/>
              <w:bottom w:val="single" w:sz="4" w:space="0" w:color="auto"/>
              <w:right w:val="nil"/>
            </w:tcBorders>
            <w:tcMar>
              <w:top w:w="75" w:type="dxa"/>
              <w:left w:w="75" w:type="dxa"/>
              <w:bottom w:w="75" w:type="dxa"/>
              <w:right w:w="75" w:type="dxa"/>
            </w:tcMar>
          </w:tcPr>
          <w:p w14:paraId="07B5B5DB"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276.25</w:t>
            </w:r>
          </w:p>
        </w:tc>
        <w:tc>
          <w:tcPr>
            <w:tcW w:w="704" w:type="dxa"/>
            <w:tcBorders>
              <w:top w:val="nil"/>
              <w:bottom w:val="single" w:sz="4" w:space="0" w:color="auto"/>
              <w:right w:val="nil"/>
            </w:tcBorders>
            <w:tcMar>
              <w:top w:w="75" w:type="dxa"/>
              <w:left w:w="75" w:type="dxa"/>
              <w:bottom w:w="75" w:type="dxa"/>
              <w:right w:w="75" w:type="dxa"/>
            </w:tcMar>
          </w:tcPr>
          <w:p w14:paraId="610E540B"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21</w:t>
            </w:r>
          </w:p>
        </w:tc>
        <w:tc>
          <w:tcPr>
            <w:tcW w:w="1002" w:type="dxa"/>
            <w:tcBorders>
              <w:top w:val="nil"/>
              <w:bottom w:val="single" w:sz="4" w:space="0" w:color="auto"/>
              <w:right w:val="nil"/>
            </w:tcBorders>
            <w:tcMar>
              <w:top w:w="75" w:type="dxa"/>
              <w:left w:w="75" w:type="dxa"/>
              <w:bottom w:w="75" w:type="dxa"/>
              <w:right w:w="75" w:type="dxa"/>
            </w:tcMar>
          </w:tcPr>
          <w:p w14:paraId="7DBB20C1"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15</w:t>
            </w:r>
          </w:p>
        </w:tc>
        <w:tc>
          <w:tcPr>
            <w:tcW w:w="570" w:type="dxa"/>
            <w:tcBorders>
              <w:top w:val="nil"/>
              <w:bottom w:val="single" w:sz="4" w:space="0" w:color="auto"/>
              <w:right w:val="nil"/>
            </w:tcBorders>
            <w:tcMar>
              <w:top w:w="75" w:type="dxa"/>
              <w:left w:w="75" w:type="dxa"/>
              <w:bottom w:w="75" w:type="dxa"/>
              <w:right w:w="75" w:type="dxa"/>
            </w:tcMar>
          </w:tcPr>
          <w:p w14:paraId="0EE4887F"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w:t>
            </w:r>
          </w:p>
        </w:tc>
        <w:tc>
          <w:tcPr>
            <w:tcW w:w="599" w:type="dxa"/>
            <w:tcBorders>
              <w:top w:val="nil"/>
              <w:bottom w:val="single" w:sz="4" w:space="0" w:color="auto"/>
              <w:right w:val="nil"/>
            </w:tcBorders>
            <w:tcMar>
              <w:top w:w="75" w:type="dxa"/>
              <w:left w:w="75" w:type="dxa"/>
              <w:bottom w:w="75" w:type="dxa"/>
              <w:right w:w="75" w:type="dxa"/>
            </w:tcMar>
          </w:tcPr>
          <w:p w14:paraId="705537B1"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6</w:t>
            </w:r>
          </w:p>
        </w:tc>
        <w:tc>
          <w:tcPr>
            <w:tcW w:w="603" w:type="dxa"/>
            <w:tcBorders>
              <w:top w:val="nil"/>
              <w:bottom w:val="single" w:sz="4" w:space="0" w:color="auto"/>
              <w:right w:val="nil"/>
            </w:tcBorders>
            <w:tcMar>
              <w:top w:w="75" w:type="dxa"/>
              <w:left w:w="75" w:type="dxa"/>
              <w:bottom w:w="75" w:type="dxa"/>
              <w:right w:w="75" w:type="dxa"/>
            </w:tcMar>
          </w:tcPr>
          <w:p w14:paraId="10466D0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0</w:t>
            </w:r>
          </w:p>
        </w:tc>
        <w:tc>
          <w:tcPr>
            <w:tcW w:w="676" w:type="dxa"/>
            <w:tcBorders>
              <w:top w:val="nil"/>
              <w:bottom w:val="single" w:sz="4" w:space="0" w:color="auto"/>
              <w:right w:val="nil"/>
            </w:tcBorders>
            <w:tcMar>
              <w:top w:w="75" w:type="dxa"/>
              <w:left w:w="75" w:type="dxa"/>
              <w:bottom w:w="75" w:type="dxa"/>
              <w:right w:w="75" w:type="dxa"/>
            </w:tcMar>
          </w:tcPr>
          <w:p w14:paraId="78D246F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71.69</w:t>
            </w:r>
          </w:p>
        </w:tc>
        <w:tc>
          <w:tcPr>
            <w:tcW w:w="753" w:type="dxa"/>
            <w:tcBorders>
              <w:top w:val="nil"/>
              <w:bottom w:val="single" w:sz="4" w:space="0" w:color="auto"/>
              <w:right w:val="nil"/>
            </w:tcBorders>
            <w:tcMar>
              <w:top w:w="75" w:type="dxa"/>
              <w:left w:w="75" w:type="dxa"/>
              <w:bottom w:w="75" w:type="dxa"/>
              <w:right w:w="75" w:type="dxa"/>
            </w:tcMar>
          </w:tcPr>
          <w:p w14:paraId="35FA4BC0"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99.89</w:t>
            </w:r>
          </w:p>
        </w:tc>
        <w:tc>
          <w:tcPr>
            <w:tcW w:w="775" w:type="dxa"/>
            <w:tcBorders>
              <w:top w:val="nil"/>
              <w:bottom w:val="single" w:sz="4" w:space="0" w:color="auto"/>
              <w:right w:val="nil"/>
            </w:tcBorders>
            <w:tcMar>
              <w:top w:w="75" w:type="dxa"/>
              <w:left w:w="75" w:type="dxa"/>
              <w:bottom w:w="75" w:type="dxa"/>
              <w:right w:w="75" w:type="dxa"/>
            </w:tcMar>
          </w:tcPr>
          <w:p w14:paraId="5E38D7B2"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74.54</w:t>
            </w:r>
          </w:p>
        </w:tc>
      </w:tr>
    </w:tbl>
    <w:p w14:paraId="46FB63EF" w14:textId="3575E798" w:rsidR="00D05256" w:rsidRPr="004637A2" w:rsidRDefault="00D05256" w:rsidP="00E30B48">
      <w:pPr>
        <w:jc w:val="both"/>
        <w:rPr>
          <w:rFonts w:ascii="Times New Roman" w:eastAsia="Calibri" w:hAnsi="Times New Roman" w:cs="Times New Roman"/>
          <w:sz w:val="20"/>
          <w:szCs w:val="20"/>
          <w:lang w:val="en-US"/>
        </w:rPr>
      </w:pPr>
      <w:r w:rsidRPr="004637A2">
        <w:rPr>
          <w:rFonts w:ascii="Times New Roman" w:eastAsia="Calibri" w:hAnsi="Times New Roman" w:cs="Times New Roman"/>
          <w:color w:val="323232"/>
          <w:sz w:val="20"/>
          <w:szCs w:val="20"/>
          <w:vertAlign w:val="superscript"/>
          <w:lang w:val="en-US"/>
        </w:rPr>
        <w:t>a</w:t>
      </w:r>
      <w:r w:rsidRPr="004637A2">
        <w:rPr>
          <w:rFonts w:ascii="Times New Roman" w:eastAsia="Calibri" w:hAnsi="Times New Roman" w:cs="Times New Roman"/>
          <w:b/>
          <w:bCs/>
          <w:color w:val="323232"/>
          <w:sz w:val="20"/>
          <w:szCs w:val="20"/>
          <w:lang w:val="en-US"/>
        </w:rPr>
        <w:t>MA</w:t>
      </w:r>
      <w:r w:rsidRPr="004637A2">
        <w:rPr>
          <w:rFonts w:ascii="Times New Roman" w:eastAsia="Calibri" w:hAnsi="Times New Roman" w:cs="Times New Roman"/>
          <w:color w:val="323232"/>
          <w:sz w:val="20"/>
          <w:szCs w:val="20"/>
          <w:lang w:val="en-US"/>
        </w:rPr>
        <w:t xml:space="preserve">, </w:t>
      </w:r>
      <w:r w:rsidR="00C96859" w:rsidRPr="00C96859">
        <w:rPr>
          <w:rFonts w:ascii="Times New Roman" w:eastAsia="Calibri" w:hAnsi="Times New Roman" w:cs="Times New Roman"/>
          <w:color w:val="323232"/>
          <w:sz w:val="20"/>
          <w:szCs w:val="20"/>
          <w:lang w:val="en-US"/>
        </w:rPr>
        <w:t>molecular weight</w:t>
      </w:r>
      <w:r w:rsidRPr="004637A2">
        <w:rPr>
          <w:rFonts w:ascii="Times New Roman" w:eastAsia="Calibri" w:hAnsi="Times New Roman" w:cs="Times New Roman"/>
          <w:color w:val="323232"/>
          <w:sz w:val="20"/>
          <w:szCs w:val="20"/>
          <w:lang w:val="en-US"/>
        </w:rPr>
        <w:t>; </w:t>
      </w:r>
      <w:r w:rsidRPr="004637A2">
        <w:rPr>
          <w:rFonts w:ascii="Times New Roman" w:eastAsia="Calibri" w:hAnsi="Times New Roman" w:cs="Times New Roman"/>
          <w:color w:val="323232"/>
          <w:sz w:val="20"/>
          <w:szCs w:val="20"/>
          <w:vertAlign w:val="superscript"/>
          <w:lang w:val="en-US"/>
        </w:rPr>
        <w:t>b</w:t>
      </w:r>
      <w:r w:rsidRPr="004637A2">
        <w:rPr>
          <w:rFonts w:ascii="Times New Roman" w:eastAsia="Calibri" w:hAnsi="Times New Roman" w:cs="Times New Roman"/>
          <w:b/>
          <w:bCs/>
          <w:color w:val="323232"/>
          <w:sz w:val="20"/>
          <w:szCs w:val="20"/>
          <w:lang w:val="en-US"/>
        </w:rPr>
        <w:t>MR</w:t>
      </w:r>
      <w:r w:rsidRPr="004637A2">
        <w:rPr>
          <w:rFonts w:ascii="Times New Roman" w:eastAsia="Calibri" w:hAnsi="Times New Roman" w:cs="Times New Roman"/>
          <w:color w:val="323232"/>
          <w:sz w:val="20"/>
          <w:szCs w:val="20"/>
          <w:lang w:val="en-US"/>
        </w:rPr>
        <w:t xml:space="preserve">, </w:t>
      </w:r>
      <w:r w:rsidR="00C96859" w:rsidRPr="00C96859">
        <w:rPr>
          <w:rFonts w:ascii="Times New Roman" w:eastAsia="Calibri" w:hAnsi="Times New Roman" w:cs="Times New Roman"/>
          <w:color w:val="323232"/>
          <w:sz w:val="20"/>
          <w:szCs w:val="20"/>
          <w:lang w:val="en-US"/>
        </w:rPr>
        <w:t>molar refractivity</w:t>
      </w:r>
      <w:r w:rsidRPr="004637A2">
        <w:rPr>
          <w:rFonts w:ascii="Times New Roman" w:eastAsia="Calibri" w:hAnsi="Times New Roman" w:cs="Times New Roman"/>
          <w:color w:val="323232"/>
          <w:sz w:val="20"/>
          <w:szCs w:val="20"/>
          <w:lang w:val="en-US"/>
        </w:rPr>
        <w:t>; </w:t>
      </w:r>
      <w:r w:rsidRPr="004637A2">
        <w:rPr>
          <w:rFonts w:ascii="Times New Roman" w:eastAsia="Calibri" w:hAnsi="Times New Roman" w:cs="Times New Roman"/>
          <w:color w:val="323232"/>
          <w:sz w:val="20"/>
          <w:szCs w:val="20"/>
          <w:vertAlign w:val="superscript"/>
          <w:lang w:val="en-US"/>
        </w:rPr>
        <w:t>c</w:t>
      </w:r>
      <w:r w:rsidRPr="004637A2">
        <w:rPr>
          <w:rFonts w:ascii="Times New Roman" w:eastAsia="Calibri" w:hAnsi="Times New Roman" w:cs="Times New Roman"/>
          <w:b/>
          <w:bCs/>
          <w:color w:val="323232"/>
          <w:sz w:val="20"/>
          <w:szCs w:val="20"/>
          <w:lang w:val="en-US"/>
        </w:rPr>
        <w:t>TPYA</w:t>
      </w:r>
      <w:r w:rsidRPr="004637A2">
        <w:rPr>
          <w:rFonts w:ascii="Times New Roman" w:eastAsia="Calibri" w:hAnsi="Times New Roman" w:cs="Times New Roman"/>
          <w:color w:val="323232"/>
          <w:sz w:val="20"/>
          <w:szCs w:val="20"/>
          <w:lang w:val="en-US"/>
        </w:rPr>
        <w:t xml:space="preserve">, </w:t>
      </w:r>
      <w:r w:rsidR="00C96859" w:rsidRPr="00C96859">
        <w:rPr>
          <w:rFonts w:ascii="Times New Roman" w:eastAsia="Calibri" w:hAnsi="Times New Roman" w:cs="Times New Roman"/>
          <w:color w:val="323232"/>
          <w:sz w:val="20"/>
          <w:szCs w:val="20"/>
          <w:lang w:val="en-US"/>
        </w:rPr>
        <w:t xml:space="preserve">topological polar surface </w:t>
      </w:r>
      <w:r w:rsidR="00E30B48" w:rsidRPr="00E30B48">
        <w:rPr>
          <w:rFonts w:ascii="Times New Roman" w:eastAsia="Calibri" w:hAnsi="Times New Roman" w:cs="Times New Roman"/>
          <w:color w:val="323232"/>
          <w:sz w:val="20"/>
          <w:szCs w:val="20"/>
          <w:lang w:val="en-US"/>
        </w:rPr>
        <w:t>area</w:t>
      </w:r>
      <w:r w:rsidRPr="004637A2">
        <w:rPr>
          <w:rFonts w:ascii="Times New Roman" w:eastAsia="Calibri" w:hAnsi="Times New Roman" w:cs="Times New Roman"/>
          <w:color w:val="323232"/>
          <w:sz w:val="20"/>
          <w:szCs w:val="20"/>
          <w:lang w:val="en-US"/>
        </w:rPr>
        <w:t>; </w:t>
      </w:r>
      <w:r w:rsidRPr="004637A2">
        <w:rPr>
          <w:rFonts w:ascii="Times New Roman" w:eastAsia="Calibri" w:hAnsi="Times New Roman" w:cs="Times New Roman"/>
          <w:color w:val="323232"/>
          <w:sz w:val="20"/>
          <w:szCs w:val="20"/>
          <w:vertAlign w:val="superscript"/>
          <w:lang w:val="en-US"/>
        </w:rPr>
        <w:t>d</w:t>
      </w:r>
      <w:r w:rsidRPr="004637A2">
        <w:rPr>
          <w:rFonts w:ascii="Times New Roman" w:eastAsia="Calibri" w:hAnsi="Times New Roman" w:cs="Times New Roman"/>
          <w:b/>
          <w:bCs/>
          <w:color w:val="323232"/>
          <w:sz w:val="20"/>
          <w:szCs w:val="20"/>
          <w:lang w:val="en-US"/>
        </w:rPr>
        <w:t>%ABS:</w:t>
      </w:r>
      <w:r w:rsidRPr="004637A2">
        <w:rPr>
          <w:rFonts w:ascii="Times New Roman" w:eastAsia="Calibri" w:hAnsi="Times New Roman" w:cs="Times New Roman"/>
          <w:color w:val="323232"/>
          <w:sz w:val="20"/>
          <w:szCs w:val="20"/>
          <w:lang w:val="en-US"/>
        </w:rPr>
        <w:t> </w:t>
      </w:r>
      <w:r w:rsidR="00E30B48" w:rsidRPr="00E30B48">
        <w:rPr>
          <w:rFonts w:ascii="Times New Roman" w:eastAsia="Calibri" w:hAnsi="Times New Roman" w:cs="Times New Roman"/>
          <w:sz w:val="20"/>
          <w:szCs w:val="20"/>
          <w:lang w:val="en-US"/>
        </w:rPr>
        <w:t xml:space="preserve">absorption percentage </w:t>
      </w:r>
      <w:r w:rsidRPr="004637A2">
        <w:rPr>
          <w:rFonts w:ascii="Times New Roman" w:eastAsia="Calibri" w:hAnsi="Times New Roman" w:cs="Times New Roman"/>
          <w:sz w:val="20"/>
          <w:szCs w:val="20"/>
          <w:lang w:val="en-US"/>
        </w:rPr>
        <w:t xml:space="preserve">(ABS </w:t>
      </w:r>
      <w:r w:rsidR="00E30B48" w:rsidRPr="004637A2">
        <w:rPr>
          <w:rFonts w:ascii="Times New Roman" w:eastAsia="Calibri" w:hAnsi="Times New Roman" w:cs="Times New Roman"/>
          <w:sz w:val="20"/>
          <w:szCs w:val="20"/>
          <w:lang w:val="en-US"/>
        </w:rPr>
        <w:t>%</w:t>
      </w:r>
      <w:r w:rsidRPr="004637A2">
        <w:rPr>
          <w:rFonts w:ascii="Times New Roman" w:eastAsia="Calibri" w:hAnsi="Times New Roman" w:cs="Times New Roman"/>
          <w:sz w:val="20"/>
          <w:szCs w:val="20"/>
          <w:lang w:val="en-US"/>
        </w:rPr>
        <w:t xml:space="preserve">= 109 − [0.345 × TPYA];  </w:t>
      </w:r>
      <w:r w:rsidRPr="004637A2">
        <w:rPr>
          <w:rFonts w:ascii="Times New Roman" w:hAnsi="Times New Roman" w:cs="Times New Roman"/>
          <w:b/>
          <w:bCs/>
          <w:color w:val="2E2E2E"/>
          <w:sz w:val="20"/>
          <w:szCs w:val="20"/>
          <w:vertAlign w:val="superscript"/>
          <w:lang w:val="en-US"/>
        </w:rPr>
        <w:t>e</w:t>
      </w:r>
      <w:r w:rsidRPr="004637A2">
        <w:rPr>
          <w:rFonts w:ascii="Times New Roman" w:eastAsia="Calibri" w:hAnsi="Times New Roman" w:cs="Times New Roman"/>
          <w:sz w:val="20"/>
          <w:szCs w:val="20"/>
          <w:lang w:val="en-US"/>
        </w:rPr>
        <w:t xml:space="preserve">Quinic acid; </w:t>
      </w:r>
      <w:r w:rsidRPr="004637A2">
        <w:rPr>
          <w:rFonts w:ascii="Times New Roman" w:hAnsi="Times New Roman" w:cs="Times New Roman"/>
          <w:b/>
          <w:bCs/>
          <w:color w:val="2E2E2E"/>
          <w:sz w:val="20"/>
          <w:szCs w:val="20"/>
          <w:vertAlign w:val="superscript"/>
          <w:lang w:val="en-US"/>
        </w:rPr>
        <w:t>f</w:t>
      </w:r>
      <w:r w:rsidRPr="004637A2">
        <w:rPr>
          <w:rFonts w:ascii="Times New Roman" w:eastAsia="Calibri" w:hAnsi="Times New Roman" w:cs="Times New Roman"/>
          <w:sz w:val="20"/>
          <w:szCs w:val="20"/>
          <w:lang w:val="en-US"/>
        </w:rPr>
        <w:t xml:space="preserve">Quercitrin; </w:t>
      </w:r>
      <w:r w:rsidRPr="004637A2">
        <w:rPr>
          <w:rFonts w:ascii="Times New Roman" w:eastAsia="Calibri" w:hAnsi="Times New Roman" w:cs="Times New Roman"/>
          <w:sz w:val="20"/>
          <w:szCs w:val="20"/>
          <w:vertAlign w:val="superscript"/>
          <w:lang w:val="en-US"/>
        </w:rPr>
        <w:t>g</w:t>
      </w:r>
      <w:r w:rsidRPr="004637A2">
        <w:rPr>
          <w:rFonts w:ascii="Times New Roman" w:eastAsia="Calibri" w:hAnsi="Times New Roman" w:cs="Times New Roman"/>
          <w:sz w:val="20"/>
          <w:szCs w:val="20"/>
          <w:lang w:val="en-US"/>
        </w:rPr>
        <w:t>Miquelianin.</w:t>
      </w:r>
    </w:p>
    <w:p w14:paraId="53762D67" w14:textId="013B2AF9" w:rsidR="00D046DA" w:rsidRDefault="005557BE" w:rsidP="00BB3CB9">
      <w:pPr>
        <w:spacing w:line="360" w:lineRule="auto"/>
        <w:jc w:val="both"/>
        <w:rPr>
          <w:rFonts w:ascii="Times New Roman" w:hAnsi="Times New Roman" w:cs="Times New Roman"/>
          <w:color w:val="111111"/>
          <w:sz w:val="24"/>
          <w:szCs w:val="24"/>
          <w:shd w:val="clear" w:color="auto" w:fill="FFFFFF"/>
        </w:rPr>
      </w:pPr>
      <w:r w:rsidRPr="005557BE">
        <w:rPr>
          <w:rFonts w:ascii="Times New Roman" w:hAnsi="Times New Roman" w:cs="Times New Roman"/>
          <w:color w:val="111111"/>
          <w:sz w:val="24"/>
          <w:szCs w:val="24"/>
          <w:shd w:val="clear" w:color="auto" w:fill="FFFFFF"/>
        </w:rPr>
        <w:t>Formulas should be numbered and the formula number should be shown in parentheses, aligned to the right next to the formula. Formulas should be in 12 points, main characters and variables should be in italics, numbers and mathematical expressions should be plain.</w:t>
      </w:r>
    </w:p>
    <w:p w14:paraId="55EC46AE" w14:textId="77777777" w:rsidR="005557BE" w:rsidRPr="003F54BE" w:rsidRDefault="005557BE" w:rsidP="00BB3CB9">
      <w:pPr>
        <w:spacing w:line="360" w:lineRule="auto"/>
        <w:jc w:val="both"/>
        <w:rPr>
          <w:rFonts w:ascii="Times New Roman" w:hAnsi="Times New Roman" w:cs="Times New Roman"/>
          <w:color w:val="111111"/>
          <w:sz w:val="24"/>
          <w:szCs w:val="24"/>
          <w:shd w:val="clear" w:color="auto" w:fill="FFFFFF"/>
        </w:rPr>
      </w:pPr>
    </w:p>
    <w:p w14:paraId="2CD500DA" w14:textId="09BFF420" w:rsidR="001A6F0B" w:rsidRDefault="008C277C"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lastRenderedPageBreak/>
        <w:t>2</w:t>
      </w:r>
      <w:r w:rsidR="00DB55D5">
        <w:rPr>
          <w:rFonts w:ascii="Times New Roman" w:hAnsi="Times New Roman" w:cs="Times New Roman"/>
          <w:b/>
          <w:bCs/>
          <w:color w:val="111111"/>
          <w:sz w:val="24"/>
          <w:szCs w:val="24"/>
          <w:shd w:val="clear" w:color="auto" w:fill="FFFFFF"/>
        </w:rPr>
        <w:t xml:space="preserve">. </w:t>
      </w:r>
      <w:r w:rsidR="0070221D">
        <w:rPr>
          <w:rFonts w:ascii="Times New Roman" w:hAnsi="Times New Roman" w:cs="Times New Roman"/>
          <w:b/>
          <w:bCs/>
          <w:color w:val="111111"/>
          <w:sz w:val="24"/>
          <w:szCs w:val="24"/>
          <w:shd w:val="clear" w:color="auto" w:fill="FFFFFF"/>
        </w:rPr>
        <w:t>CONCLUSION</w:t>
      </w:r>
    </w:p>
    <w:p w14:paraId="0F551FC7" w14:textId="1A07676F" w:rsidR="00D046DA" w:rsidRDefault="009274FD" w:rsidP="00BB3CB9">
      <w:pPr>
        <w:spacing w:line="360" w:lineRule="auto"/>
        <w:jc w:val="both"/>
        <w:rPr>
          <w:rFonts w:ascii="Times New Roman" w:hAnsi="Times New Roman" w:cs="Times New Roman"/>
          <w:color w:val="111111"/>
          <w:sz w:val="24"/>
          <w:szCs w:val="24"/>
          <w:shd w:val="clear" w:color="auto" w:fill="FFFFFF"/>
        </w:rPr>
      </w:pPr>
      <w:r w:rsidRPr="009274FD">
        <w:rPr>
          <w:rFonts w:ascii="Times New Roman" w:hAnsi="Times New Roman" w:cs="Times New Roman"/>
          <w:color w:val="111111"/>
          <w:sz w:val="24"/>
          <w:szCs w:val="24"/>
          <w:shd w:val="clear" w:color="auto" w:fill="FFFFFF"/>
        </w:rPr>
        <w:t>“It should be noted that the conclusion part is not the same as the abstract.”</w:t>
      </w:r>
    </w:p>
    <w:p w14:paraId="2917E01F" w14:textId="77777777" w:rsidR="009274FD" w:rsidRPr="001A6F0B" w:rsidRDefault="009274FD" w:rsidP="00BB3CB9">
      <w:pPr>
        <w:spacing w:line="360" w:lineRule="auto"/>
        <w:jc w:val="both"/>
        <w:rPr>
          <w:rFonts w:ascii="Times New Roman" w:hAnsi="Times New Roman" w:cs="Times New Roman"/>
          <w:color w:val="111111"/>
          <w:sz w:val="24"/>
          <w:szCs w:val="24"/>
          <w:shd w:val="clear" w:color="auto" w:fill="FFFFFF"/>
        </w:rPr>
      </w:pPr>
    </w:p>
    <w:p w14:paraId="0DBEDD0D" w14:textId="71872C5B" w:rsidR="00D046DA" w:rsidRDefault="003E45DB" w:rsidP="00BB3CB9">
      <w:pPr>
        <w:spacing w:line="360" w:lineRule="auto"/>
        <w:jc w:val="both"/>
        <w:rPr>
          <w:rFonts w:ascii="Times New Roman" w:hAnsi="Times New Roman" w:cs="Times New Roman"/>
          <w:b/>
          <w:bCs/>
          <w:color w:val="111111"/>
          <w:sz w:val="24"/>
          <w:szCs w:val="24"/>
          <w:shd w:val="clear" w:color="auto" w:fill="FFFFFF"/>
        </w:rPr>
      </w:pPr>
      <w:r w:rsidRPr="003E45DB">
        <w:rPr>
          <w:rFonts w:ascii="Times New Roman" w:hAnsi="Times New Roman" w:cs="Times New Roman"/>
          <w:b/>
          <w:bCs/>
          <w:color w:val="111111"/>
          <w:sz w:val="24"/>
          <w:szCs w:val="24"/>
          <w:shd w:val="clear" w:color="auto" w:fill="FFFFFF"/>
        </w:rPr>
        <w:t>ACKNOWLEDGMENTS (IF AVAILABLE)</w:t>
      </w:r>
    </w:p>
    <w:p w14:paraId="69BD8A34" w14:textId="77777777" w:rsidR="003E45DB" w:rsidRPr="00BB3CB9" w:rsidRDefault="003E45DB" w:rsidP="00BB3CB9">
      <w:pPr>
        <w:spacing w:line="360" w:lineRule="auto"/>
        <w:jc w:val="both"/>
        <w:rPr>
          <w:rFonts w:ascii="Times New Roman" w:hAnsi="Times New Roman" w:cs="Times New Roman"/>
          <w:b/>
          <w:bCs/>
          <w:color w:val="111111"/>
          <w:sz w:val="24"/>
          <w:szCs w:val="24"/>
          <w:shd w:val="clear" w:color="auto" w:fill="FFFFFF"/>
        </w:rPr>
      </w:pPr>
    </w:p>
    <w:p w14:paraId="1FD715EB" w14:textId="77777777" w:rsidR="00F80270" w:rsidRDefault="00F80270" w:rsidP="00893310">
      <w:pPr>
        <w:pStyle w:val="NormalWeb"/>
        <w:shd w:val="clear" w:color="auto" w:fill="FFFFFF"/>
        <w:spacing w:before="0" w:beforeAutospacing="0"/>
        <w:jc w:val="both"/>
        <w:rPr>
          <w:rFonts w:eastAsiaTheme="minorHAnsi"/>
          <w:b/>
          <w:bCs/>
          <w:color w:val="111111"/>
          <w:shd w:val="clear" w:color="auto" w:fill="FFFFFF"/>
          <w:lang w:eastAsia="en-US"/>
        </w:rPr>
      </w:pPr>
      <w:r w:rsidRPr="00F80270">
        <w:rPr>
          <w:rFonts w:eastAsiaTheme="minorHAnsi"/>
          <w:b/>
          <w:bCs/>
          <w:color w:val="111111"/>
          <w:shd w:val="clear" w:color="auto" w:fill="FFFFFF"/>
          <w:lang w:eastAsia="en-US"/>
        </w:rPr>
        <w:t>REFERENCES</w:t>
      </w:r>
    </w:p>
    <w:p w14:paraId="0C957387" w14:textId="77777777" w:rsidR="00F80270" w:rsidRDefault="00F80270" w:rsidP="00893310">
      <w:pPr>
        <w:pStyle w:val="NormalWeb"/>
        <w:shd w:val="clear" w:color="auto" w:fill="FFFFFF"/>
        <w:spacing w:before="0" w:beforeAutospacing="0"/>
        <w:jc w:val="both"/>
        <w:rPr>
          <w:color w:val="111111"/>
          <w:sz w:val="22"/>
          <w:szCs w:val="22"/>
        </w:rPr>
      </w:pPr>
      <w:r w:rsidRPr="00F80270">
        <w:rPr>
          <w:color w:val="111111"/>
          <w:sz w:val="22"/>
          <w:szCs w:val="22"/>
        </w:rPr>
        <w:t>References section should be in 11 font size and should be as follows;</w:t>
      </w:r>
    </w:p>
    <w:p w14:paraId="6C65AA89" w14:textId="5CDFEA1F" w:rsidR="00B47236" w:rsidRDefault="00B47236" w:rsidP="00B47236">
      <w:pPr>
        <w:pStyle w:val="NormalWeb"/>
        <w:shd w:val="clear" w:color="auto" w:fill="FFFFFF"/>
        <w:spacing w:before="0" w:beforeAutospacing="0"/>
        <w:jc w:val="both"/>
        <w:rPr>
          <w:color w:val="111111"/>
          <w:sz w:val="22"/>
          <w:szCs w:val="22"/>
        </w:rPr>
      </w:pPr>
      <w:r>
        <w:rPr>
          <w:color w:val="111111"/>
          <w:sz w:val="22"/>
          <w:szCs w:val="22"/>
        </w:rPr>
        <w:t>Yildiko U</w:t>
      </w:r>
      <w:r w:rsidRPr="00893310">
        <w:rPr>
          <w:color w:val="111111"/>
          <w:sz w:val="22"/>
          <w:szCs w:val="22"/>
        </w:rPr>
        <w:t xml:space="preserve">., </w:t>
      </w:r>
      <w:r>
        <w:rPr>
          <w:color w:val="111111"/>
          <w:sz w:val="22"/>
          <w:szCs w:val="22"/>
        </w:rPr>
        <w:t>Turkan</w:t>
      </w:r>
      <w:r w:rsidRPr="00893310">
        <w:rPr>
          <w:color w:val="111111"/>
          <w:sz w:val="22"/>
          <w:szCs w:val="22"/>
        </w:rPr>
        <w:t xml:space="preserve"> </w:t>
      </w:r>
      <w:r>
        <w:rPr>
          <w:color w:val="111111"/>
          <w:sz w:val="22"/>
          <w:szCs w:val="22"/>
        </w:rPr>
        <w:t>F</w:t>
      </w:r>
      <w:r w:rsidRPr="00893310">
        <w:rPr>
          <w:color w:val="111111"/>
          <w:sz w:val="22"/>
          <w:szCs w:val="22"/>
        </w:rPr>
        <w:t>.,</w:t>
      </w:r>
      <w:r>
        <w:rPr>
          <w:color w:val="111111"/>
          <w:sz w:val="22"/>
          <w:szCs w:val="22"/>
        </w:rPr>
        <w:t xml:space="preserve"> Tanriverdi A.A</w:t>
      </w:r>
      <w:r w:rsidRPr="00893310">
        <w:rPr>
          <w:color w:val="111111"/>
          <w:sz w:val="22"/>
          <w:szCs w:val="22"/>
        </w:rPr>
        <w:t>.,</w:t>
      </w:r>
      <w:r>
        <w:rPr>
          <w:color w:val="111111"/>
          <w:sz w:val="22"/>
          <w:szCs w:val="22"/>
        </w:rPr>
        <w:t xml:space="preserve"> Ata A.C.</w:t>
      </w:r>
      <w:r w:rsidRPr="00893310">
        <w:rPr>
          <w:color w:val="111111"/>
          <w:sz w:val="22"/>
          <w:szCs w:val="22"/>
        </w:rPr>
        <w:t>,</w:t>
      </w:r>
      <w:r>
        <w:rPr>
          <w:color w:val="111111"/>
          <w:sz w:val="22"/>
          <w:szCs w:val="22"/>
        </w:rPr>
        <w:t xml:space="preserve"> Atalar M.N</w:t>
      </w:r>
      <w:r w:rsidRPr="00893310">
        <w:rPr>
          <w:color w:val="111111"/>
          <w:sz w:val="22"/>
          <w:szCs w:val="22"/>
        </w:rPr>
        <w:t>.,</w:t>
      </w:r>
      <w:r>
        <w:rPr>
          <w:color w:val="111111"/>
          <w:sz w:val="22"/>
          <w:szCs w:val="22"/>
        </w:rPr>
        <w:t xml:space="preserve"> Cakmak I</w:t>
      </w:r>
      <w:r w:rsidRPr="00893310">
        <w:rPr>
          <w:color w:val="111111"/>
          <w:sz w:val="22"/>
          <w:szCs w:val="22"/>
        </w:rPr>
        <w:t>. (20</w:t>
      </w:r>
      <w:r>
        <w:rPr>
          <w:color w:val="111111"/>
          <w:sz w:val="22"/>
          <w:szCs w:val="22"/>
        </w:rPr>
        <w:t>21</w:t>
      </w:r>
      <w:r w:rsidRPr="00893310">
        <w:rPr>
          <w:color w:val="111111"/>
          <w:sz w:val="22"/>
          <w:szCs w:val="22"/>
        </w:rPr>
        <w:t xml:space="preserve">). </w:t>
      </w:r>
      <w:r w:rsidRPr="00C4434F">
        <w:rPr>
          <w:color w:val="111111"/>
          <w:sz w:val="22"/>
          <w:szCs w:val="22"/>
        </w:rPr>
        <w:t>Synthesis, enzymes inhibitory properties and characterization of 2- (bis (4-aminophenyl) methyl) butan-1-ol compound: Quantum simulations, and in-silico molecular docking studies</w:t>
      </w:r>
      <w:r w:rsidRPr="00893310">
        <w:rPr>
          <w:color w:val="111111"/>
          <w:sz w:val="22"/>
          <w:szCs w:val="22"/>
        </w:rPr>
        <w:t xml:space="preserve">. </w:t>
      </w:r>
      <w:r w:rsidRPr="00C4434F">
        <w:rPr>
          <w:color w:val="111111"/>
          <w:sz w:val="22"/>
          <w:szCs w:val="22"/>
        </w:rPr>
        <w:t>Journal of the Indian Chemical Society</w:t>
      </w:r>
      <w:r w:rsidRPr="00893310">
        <w:rPr>
          <w:color w:val="111111"/>
          <w:sz w:val="22"/>
          <w:szCs w:val="22"/>
        </w:rPr>
        <w:t xml:space="preserve">, </w:t>
      </w:r>
      <w:r>
        <w:rPr>
          <w:color w:val="111111"/>
          <w:sz w:val="22"/>
          <w:szCs w:val="22"/>
        </w:rPr>
        <w:t>9</w:t>
      </w:r>
      <w:r w:rsidRPr="00893310">
        <w:rPr>
          <w:color w:val="111111"/>
          <w:sz w:val="22"/>
          <w:szCs w:val="22"/>
        </w:rPr>
        <w:t>8(</w:t>
      </w:r>
      <w:r>
        <w:rPr>
          <w:color w:val="111111"/>
          <w:sz w:val="22"/>
          <w:szCs w:val="22"/>
        </w:rPr>
        <w:t>11</w:t>
      </w:r>
      <w:r w:rsidRPr="00893310">
        <w:rPr>
          <w:color w:val="111111"/>
          <w:sz w:val="22"/>
          <w:szCs w:val="22"/>
        </w:rPr>
        <w:t xml:space="preserve">), </w:t>
      </w:r>
      <w:r>
        <w:rPr>
          <w:color w:val="111111"/>
          <w:sz w:val="22"/>
          <w:szCs w:val="22"/>
        </w:rPr>
        <w:t>100206</w:t>
      </w:r>
      <w:r w:rsidRPr="00893310">
        <w:rPr>
          <w:color w:val="111111"/>
          <w:sz w:val="22"/>
          <w:szCs w:val="22"/>
        </w:rPr>
        <w:t>.</w:t>
      </w:r>
    </w:p>
    <w:p w14:paraId="15258A52" w14:textId="29B18552" w:rsidR="00E51692" w:rsidRPr="00893310" w:rsidRDefault="00E51692" w:rsidP="00B47236">
      <w:pPr>
        <w:pStyle w:val="NormalWeb"/>
        <w:shd w:val="clear" w:color="auto" w:fill="FFFFFF"/>
        <w:spacing w:before="0" w:beforeAutospacing="0"/>
        <w:jc w:val="both"/>
        <w:rPr>
          <w:color w:val="111111"/>
          <w:sz w:val="22"/>
          <w:szCs w:val="22"/>
        </w:rPr>
      </w:pPr>
      <w:r>
        <w:rPr>
          <w:color w:val="111111"/>
          <w:sz w:val="22"/>
          <w:szCs w:val="22"/>
        </w:rPr>
        <w:t>Tanriverdi A.A</w:t>
      </w:r>
      <w:r w:rsidRPr="00893310">
        <w:rPr>
          <w:color w:val="111111"/>
          <w:sz w:val="22"/>
          <w:szCs w:val="22"/>
        </w:rPr>
        <w:t>.,</w:t>
      </w:r>
      <w:r>
        <w:rPr>
          <w:color w:val="111111"/>
          <w:sz w:val="22"/>
          <w:szCs w:val="22"/>
        </w:rPr>
        <w:t xml:space="preserve"> Yildiko U</w:t>
      </w:r>
      <w:r w:rsidRPr="00893310">
        <w:rPr>
          <w:color w:val="111111"/>
          <w:sz w:val="22"/>
          <w:szCs w:val="22"/>
        </w:rPr>
        <w:t xml:space="preserve">., </w:t>
      </w:r>
      <w:r>
        <w:rPr>
          <w:color w:val="111111"/>
          <w:sz w:val="22"/>
          <w:szCs w:val="22"/>
        </w:rPr>
        <w:t>Cakmak I</w:t>
      </w:r>
      <w:r w:rsidRPr="00893310">
        <w:rPr>
          <w:color w:val="111111"/>
          <w:sz w:val="22"/>
          <w:szCs w:val="22"/>
        </w:rPr>
        <w:t>. (20</w:t>
      </w:r>
      <w:r>
        <w:rPr>
          <w:color w:val="111111"/>
          <w:sz w:val="22"/>
          <w:szCs w:val="22"/>
        </w:rPr>
        <w:t>20</w:t>
      </w:r>
      <w:r w:rsidRPr="00893310">
        <w:rPr>
          <w:color w:val="111111"/>
          <w:sz w:val="22"/>
          <w:szCs w:val="22"/>
        </w:rPr>
        <w:t xml:space="preserve">). </w:t>
      </w:r>
      <w:r w:rsidRPr="00A52105">
        <w:rPr>
          <w:color w:val="111111"/>
          <w:sz w:val="22"/>
          <w:szCs w:val="22"/>
        </w:rPr>
        <w:t>New Type Sulfonated Polyimide Membrane Fuel Cells and Applications</w:t>
      </w:r>
      <w:r w:rsidRPr="00893310">
        <w:rPr>
          <w:color w:val="111111"/>
          <w:sz w:val="22"/>
          <w:szCs w:val="22"/>
        </w:rPr>
        <w:t xml:space="preserve">. </w:t>
      </w:r>
      <w:r w:rsidRPr="00CE5C43">
        <w:rPr>
          <w:color w:val="111111"/>
          <w:sz w:val="22"/>
          <w:szCs w:val="22"/>
        </w:rPr>
        <w:t>Journal of the Institute of Science and Technology</w:t>
      </w:r>
      <w:r w:rsidRPr="00893310">
        <w:rPr>
          <w:color w:val="111111"/>
          <w:sz w:val="22"/>
          <w:szCs w:val="22"/>
        </w:rPr>
        <w:t xml:space="preserve">, </w:t>
      </w:r>
      <w:r>
        <w:rPr>
          <w:color w:val="111111"/>
          <w:sz w:val="22"/>
          <w:szCs w:val="22"/>
        </w:rPr>
        <w:t>10</w:t>
      </w:r>
      <w:r w:rsidRPr="00893310">
        <w:rPr>
          <w:color w:val="111111"/>
          <w:sz w:val="22"/>
          <w:szCs w:val="22"/>
        </w:rPr>
        <w:t>(</w:t>
      </w:r>
      <w:r>
        <w:rPr>
          <w:color w:val="111111"/>
          <w:sz w:val="22"/>
          <w:szCs w:val="22"/>
        </w:rPr>
        <w:t>4</w:t>
      </w:r>
      <w:r w:rsidRPr="00893310">
        <w:rPr>
          <w:color w:val="111111"/>
          <w:sz w:val="22"/>
          <w:szCs w:val="22"/>
        </w:rPr>
        <w:t xml:space="preserve">), </w:t>
      </w:r>
      <w:r>
        <w:rPr>
          <w:color w:val="111111"/>
          <w:sz w:val="22"/>
          <w:szCs w:val="22"/>
        </w:rPr>
        <w:t>2714-2729</w:t>
      </w:r>
      <w:r w:rsidRPr="00893310">
        <w:rPr>
          <w:color w:val="111111"/>
          <w:sz w:val="22"/>
          <w:szCs w:val="22"/>
        </w:rPr>
        <w:t>.</w:t>
      </w:r>
    </w:p>
    <w:p w14:paraId="665074E8" w14:textId="13ED6E8D"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Fessenden R.J., Fessenden, J.S. (1986). Organic Chemistry. Third Edition, Brooks, Cole Publishing Company, California, 892.</w:t>
      </w:r>
    </w:p>
    <w:p w14:paraId="586C59B6" w14:textId="7777777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Castillo E., Marty A., Condoret J.S., Combes, D. (1996). Enzymatic Catalysis in Nonconventional Media Using High Polar Molecules as Substrates. In: Annals of the New York Academy of Science.</w:t>
      </w:r>
    </w:p>
    <w:p w14:paraId="4FBA7987" w14:textId="7777777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Dordick, J. S. ve Russell, A.J. (eds), The NewYork Academy of Science, New York, 206-211. Bildiri, Sempozyum; Soyadı-ilk ad(lar)ının baş harf(ler)i-nokta-virgül-(yılı)-nokta-bildirinin başlığı-noktakongre, sempozyum vb’nin adı-virgül-tarihi-virgül-yapıldığı yer-virgül-başlangıç ve bitiş sayfası-nokta</w:t>
      </w:r>
    </w:p>
    <w:p w14:paraId="6A257D91" w14:textId="16B6E46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Atalay Y., Arıoğlu Ç., Tamer Ö., Avcı D., Başoğlu, A., Atalay A.S. (2015). LMetiyoniyum Nitrat (LMN) Bileşiğinin, Geometrik, Optik ve Spektroskopik Özelliklerinin Teorik İncelenmesi. 2. Ulusal Hesaplamalı Kimya Kongresi. 2-5 Haziran, Kars, 9.</w:t>
      </w:r>
    </w:p>
    <w:p w14:paraId="22FE2D41" w14:textId="77777777" w:rsidR="0035682F" w:rsidRDefault="0035682F" w:rsidP="00893310">
      <w:pPr>
        <w:pStyle w:val="NormalWeb"/>
        <w:shd w:val="clear" w:color="auto" w:fill="FFFFFF"/>
        <w:spacing w:before="0" w:beforeAutospacing="0"/>
        <w:jc w:val="both"/>
        <w:rPr>
          <w:color w:val="111111"/>
          <w:sz w:val="22"/>
          <w:szCs w:val="22"/>
        </w:rPr>
      </w:pPr>
      <w:r w:rsidRPr="0035682F">
        <w:rPr>
          <w:color w:val="111111"/>
          <w:sz w:val="22"/>
          <w:szCs w:val="22"/>
        </w:rPr>
        <w:t>Tanriverdi A.A. (2022). Synthesis, Characterization, DFT Studies and AIM Analysis of Some Sulfonated Polyimides. Master Thesis, Kafkas University, Institute of Science and Technology, Kars.</w:t>
      </w:r>
    </w:p>
    <w:p w14:paraId="69E62550" w14:textId="77777777" w:rsidR="0035682F" w:rsidRDefault="0035682F" w:rsidP="00893310">
      <w:pPr>
        <w:pStyle w:val="NormalWeb"/>
        <w:shd w:val="clear" w:color="auto" w:fill="FFFFFF"/>
        <w:spacing w:before="0" w:beforeAutospacing="0"/>
        <w:jc w:val="both"/>
        <w:rPr>
          <w:color w:val="111111"/>
          <w:sz w:val="22"/>
          <w:szCs w:val="22"/>
        </w:rPr>
      </w:pPr>
      <w:r w:rsidRPr="0035682F">
        <w:rPr>
          <w:color w:val="111111"/>
          <w:sz w:val="22"/>
          <w:szCs w:val="22"/>
        </w:rPr>
        <w:t>Elmacı C., Öner Y., Yeşilbağ K., Tuncel E. (2009). Prion Protein Gene (PRP) Polymorphism in Turkish Sheep Breeds. TÜBİTAK-TOKVAG-106 O 718 Final Project Report, Bursa.</w:t>
      </w:r>
    </w:p>
    <w:p w14:paraId="78D607B2" w14:textId="381DCA49"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http://www.aku.edu.tr/akademik/enstitüler/fenbil.html, (21.03.2003).</w:t>
      </w:r>
    </w:p>
    <w:p w14:paraId="709D0DE5" w14:textId="0164FA58" w:rsidR="00893310" w:rsidRPr="00495AED" w:rsidRDefault="00893310" w:rsidP="00495AED">
      <w:pPr>
        <w:pStyle w:val="NormalWeb"/>
        <w:shd w:val="clear" w:color="auto" w:fill="FFFFFF"/>
        <w:spacing w:before="0" w:beforeAutospacing="0"/>
        <w:jc w:val="both"/>
        <w:rPr>
          <w:color w:val="111111"/>
          <w:sz w:val="22"/>
          <w:szCs w:val="22"/>
        </w:rPr>
      </w:pPr>
      <w:r w:rsidRPr="00893310">
        <w:rPr>
          <w:color w:val="111111"/>
          <w:sz w:val="22"/>
          <w:szCs w:val="22"/>
        </w:rPr>
        <w:t>Warrence N.J., Bauder J.W., Pearson K.E. (2004). Basics of Salinity and Sodicity Effects on Soil Physical Properties. Land Resources and Environmental Sciences Department, Montana State University, http://waterquality.montana.edu/docs/methane/basics.pdf, (15.12.2004).</w:t>
      </w:r>
    </w:p>
    <w:sectPr w:rsidR="00893310" w:rsidRPr="00495AED" w:rsidSect="00B2466B">
      <w:pgSz w:w="11906" w:h="16838"/>
      <w:pgMar w:top="1701" w:right="1701" w:bottom="1701" w:left="1701"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MzI1sTAzNzU1MDZQ0lEKTi0uzszPAykwqwUAFFMx/iwAAAA="/>
  </w:docVars>
  <w:rsids>
    <w:rsidRoot w:val="00E84138"/>
    <w:rsid w:val="000D1917"/>
    <w:rsid w:val="001365ED"/>
    <w:rsid w:val="001619B4"/>
    <w:rsid w:val="00163310"/>
    <w:rsid w:val="00190F39"/>
    <w:rsid w:val="001A6F0B"/>
    <w:rsid w:val="001B028A"/>
    <w:rsid w:val="0035682F"/>
    <w:rsid w:val="00364F7A"/>
    <w:rsid w:val="003A7E60"/>
    <w:rsid w:val="003E45DB"/>
    <w:rsid w:val="003F54BE"/>
    <w:rsid w:val="004637A2"/>
    <w:rsid w:val="00485CE7"/>
    <w:rsid w:val="00495AED"/>
    <w:rsid w:val="004B1ADD"/>
    <w:rsid w:val="004E0E48"/>
    <w:rsid w:val="005557BE"/>
    <w:rsid w:val="005B19EC"/>
    <w:rsid w:val="005C4620"/>
    <w:rsid w:val="006C2A86"/>
    <w:rsid w:val="0070221D"/>
    <w:rsid w:val="00740B22"/>
    <w:rsid w:val="00762A98"/>
    <w:rsid w:val="007C2A1A"/>
    <w:rsid w:val="007D52D8"/>
    <w:rsid w:val="00801823"/>
    <w:rsid w:val="00893310"/>
    <w:rsid w:val="008B043D"/>
    <w:rsid w:val="008C277C"/>
    <w:rsid w:val="008C6A45"/>
    <w:rsid w:val="009164F8"/>
    <w:rsid w:val="009274FD"/>
    <w:rsid w:val="0093085F"/>
    <w:rsid w:val="00962E1A"/>
    <w:rsid w:val="009704B0"/>
    <w:rsid w:val="00A21E25"/>
    <w:rsid w:val="00A41200"/>
    <w:rsid w:val="00A47621"/>
    <w:rsid w:val="00AB6BA3"/>
    <w:rsid w:val="00AD4DDC"/>
    <w:rsid w:val="00AF2AB9"/>
    <w:rsid w:val="00B0194C"/>
    <w:rsid w:val="00B2466B"/>
    <w:rsid w:val="00B47236"/>
    <w:rsid w:val="00B51C58"/>
    <w:rsid w:val="00B57AFC"/>
    <w:rsid w:val="00B93108"/>
    <w:rsid w:val="00BA7D3F"/>
    <w:rsid w:val="00BB3CB9"/>
    <w:rsid w:val="00BC5E69"/>
    <w:rsid w:val="00C86827"/>
    <w:rsid w:val="00C96859"/>
    <w:rsid w:val="00CE6ECB"/>
    <w:rsid w:val="00D046DA"/>
    <w:rsid w:val="00D05256"/>
    <w:rsid w:val="00DB55D5"/>
    <w:rsid w:val="00E05035"/>
    <w:rsid w:val="00E113DC"/>
    <w:rsid w:val="00E149CE"/>
    <w:rsid w:val="00E30B48"/>
    <w:rsid w:val="00E51692"/>
    <w:rsid w:val="00E84138"/>
    <w:rsid w:val="00EA15FD"/>
    <w:rsid w:val="00ED65A0"/>
    <w:rsid w:val="00F0104A"/>
    <w:rsid w:val="00F76FF1"/>
    <w:rsid w:val="00F80270"/>
    <w:rsid w:val="00FF1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02F"/>
  <w15:chartTrackingRefBased/>
  <w15:docId w15:val="{CE379B13-604E-4898-9A52-2BE7B087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33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B2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ASLIHAN AYCAN TANRIVERDI</dc:creator>
  <cp:keywords/>
  <dc:description/>
  <cp:lastModifiedBy>ASLIHAN AYCAN TANRIVERDI</cp:lastModifiedBy>
  <cp:revision>22</cp:revision>
  <dcterms:created xsi:type="dcterms:W3CDTF">2022-02-10T10:29:00Z</dcterms:created>
  <dcterms:modified xsi:type="dcterms:W3CDTF">2022-02-10T16:59:00Z</dcterms:modified>
</cp:coreProperties>
</file>