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A427" w14:textId="260B280D" w:rsidR="00D3220C" w:rsidRPr="003B125B" w:rsidRDefault="00D3220C" w:rsidP="00D3220C">
      <w:pPr>
        <w:spacing w:after="120" w:line="276" w:lineRule="auto"/>
        <w:jc w:val="center"/>
        <w:rPr>
          <w:rFonts w:ascii="Cambria" w:hAnsi="Cambria"/>
          <w:sz w:val="22"/>
          <w:szCs w:val="22"/>
        </w:rPr>
      </w:pPr>
      <w:r w:rsidRPr="003B125B">
        <w:rPr>
          <w:rFonts w:ascii="Cambria" w:hAnsi="Cambria"/>
          <w:b/>
          <w:bCs/>
          <w:sz w:val="22"/>
          <w:szCs w:val="22"/>
        </w:rPr>
        <w:t>YAZAR DÜZELTME CEVAP FORMU</w:t>
      </w:r>
    </w:p>
    <w:p w14:paraId="07EA2EE2" w14:textId="59626168" w:rsidR="004359F3" w:rsidRPr="004359F3" w:rsidRDefault="004359F3" w:rsidP="004359F3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4359F3">
        <w:rPr>
          <w:rFonts w:ascii="Cambria" w:hAnsi="Cambria"/>
          <w:sz w:val="22"/>
          <w:szCs w:val="22"/>
        </w:rPr>
        <w:t xml:space="preserve">Bu form, hakem değerlendirme süreci boyunca tarafınıza iletilen görüş, eleştiri ve önerilere verdiğiniz yanıtların düzenli ve açık biçimde sunulmasını amaçlamaktadır. Lütfen tabloya her bir </w:t>
      </w:r>
      <w:r w:rsidR="00951556">
        <w:rPr>
          <w:rFonts w:ascii="Cambria" w:hAnsi="Cambria"/>
          <w:sz w:val="22"/>
          <w:szCs w:val="22"/>
        </w:rPr>
        <w:t xml:space="preserve">hakem/editör </w:t>
      </w:r>
      <w:r w:rsidRPr="004359F3">
        <w:rPr>
          <w:rFonts w:ascii="Cambria" w:hAnsi="Cambria"/>
          <w:sz w:val="22"/>
          <w:szCs w:val="22"/>
        </w:rPr>
        <w:t>yorumu</w:t>
      </w:r>
      <w:r w:rsidR="00951556">
        <w:rPr>
          <w:rFonts w:ascii="Cambria" w:hAnsi="Cambria"/>
          <w:sz w:val="22"/>
          <w:szCs w:val="22"/>
        </w:rPr>
        <w:t>nu ilgili sütuna (sol sütun),</w:t>
      </w:r>
      <w:r w:rsidRPr="004359F3">
        <w:rPr>
          <w:rFonts w:ascii="Cambria" w:hAnsi="Cambria"/>
          <w:sz w:val="22"/>
          <w:szCs w:val="22"/>
        </w:rPr>
        <w:t xml:space="preserve"> ayrı ayrı olacak şekilde yazınız. Bu yorumlara karşılık gelen yanıtlarınızı, yaptığınız değişiklikleri ya da açıklamalarınızı orta sütun</w:t>
      </w:r>
      <w:r w:rsidR="00951556">
        <w:rPr>
          <w:rFonts w:ascii="Cambria" w:hAnsi="Cambria"/>
          <w:sz w:val="22"/>
          <w:szCs w:val="22"/>
        </w:rPr>
        <w:t>d</w:t>
      </w:r>
      <w:r w:rsidRPr="004359F3">
        <w:rPr>
          <w:rFonts w:ascii="Cambria" w:hAnsi="Cambria"/>
          <w:sz w:val="22"/>
          <w:szCs w:val="22"/>
        </w:rPr>
        <w:t>a</w:t>
      </w:r>
      <w:r w:rsidR="00951556">
        <w:rPr>
          <w:rFonts w:ascii="Cambria" w:hAnsi="Cambria"/>
          <w:sz w:val="22"/>
          <w:szCs w:val="22"/>
        </w:rPr>
        <w:t>, hakem/editör yorumunun ilgili satırına karşılık gelecek şekilde</w:t>
      </w:r>
      <w:r w:rsidRPr="004359F3">
        <w:rPr>
          <w:rFonts w:ascii="Cambria" w:hAnsi="Cambria"/>
          <w:sz w:val="22"/>
          <w:szCs w:val="22"/>
        </w:rPr>
        <w:t xml:space="preserve"> belirtiniz. Sağ sütunda ise, makalenize eklediğiniz sa</w:t>
      </w:r>
      <w:r w:rsidR="004E33F7">
        <w:rPr>
          <w:rFonts w:ascii="Cambria" w:hAnsi="Cambria"/>
          <w:sz w:val="22"/>
          <w:szCs w:val="22"/>
        </w:rPr>
        <w:t>yfa</w:t>
      </w:r>
      <w:r w:rsidRPr="004359F3">
        <w:rPr>
          <w:rFonts w:ascii="Cambria" w:hAnsi="Cambria"/>
          <w:sz w:val="22"/>
          <w:szCs w:val="22"/>
        </w:rPr>
        <w:t xml:space="preserve"> numaraları üzerinden değişikliğin tam olarak hangi bölüm(</w:t>
      </w:r>
      <w:proofErr w:type="spellStart"/>
      <w:r w:rsidRPr="004359F3">
        <w:rPr>
          <w:rFonts w:ascii="Cambria" w:hAnsi="Cambria"/>
          <w:sz w:val="22"/>
          <w:szCs w:val="22"/>
        </w:rPr>
        <w:t>ler</w:t>
      </w:r>
      <w:proofErr w:type="spellEnd"/>
      <w:r w:rsidRPr="004359F3">
        <w:rPr>
          <w:rFonts w:ascii="Cambria" w:hAnsi="Cambria"/>
          <w:sz w:val="22"/>
          <w:szCs w:val="22"/>
        </w:rPr>
        <w:t>)de yapıldığını açık bir şekilde yazmanız beklenmektedir. Bu yöntem, özellikle metin üzerinde yapılan düzenlemelerin hakemler ve editörler tarafından kolayca izlenmesini sağla</w:t>
      </w:r>
      <w:r w:rsidR="00951556">
        <w:rPr>
          <w:rFonts w:ascii="Cambria" w:hAnsi="Cambria"/>
          <w:sz w:val="22"/>
          <w:szCs w:val="22"/>
        </w:rPr>
        <w:t>yacaktır</w:t>
      </w:r>
      <w:r w:rsidRPr="004359F3">
        <w:rPr>
          <w:rFonts w:ascii="Cambria" w:hAnsi="Cambria"/>
          <w:sz w:val="22"/>
          <w:szCs w:val="22"/>
        </w:rPr>
        <w:t>.</w:t>
      </w:r>
    </w:p>
    <w:p w14:paraId="2E78E3C9" w14:textId="77777777" w:rsidR="00951556" w:rsidRDefault="004359F3" w:rsidP="004359F3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4359F3">
        <w:rPr>
          <w:rFonts w:ascii="Cambria" w:hAnsi="Cambria"/>
          <w:sz w:val="22"/>
          <w:szCs w:val="22"/>
        </w:rPr>
        <w:t>Bu form,</w:t>
      </w:r>
      <w:r w:rsidR="00951556">
        <w:rPr>
          <w:rFonts w:ascii="Cambria" w:hAnsi="Cambria"/>
          <w:sz w:val="22"/>
          <w:szCs w:val="22"/>
        </w:rPr>
        <w:t xml:space="preserve"> bilimsel/</w:t>
      </w:r>
      <w:r w:rsidRPr="004359F3">
        <w:rPr>
          <w:rFonts w:ascii="Cambria" w:hAnsi="Cambria"/>
          <w:sz w:val="22"/>
          <w:szCs w:val="22"/>
        </w:rPr>
        <w:t xml:space="preserve">akademik çalışmalarda, değerlendirmenin şeffaf ve yapıcı biçimde yürütülebilmesi adına önem taşımaktadır. </w:t>
      </w:r>
    </w:p>
    <w:p w14:paraId="4F3183EA" w14:textId="7B0FF6B8" w:rsidR="004359F3" w:rsidRPr="004359F3" w:rsidRDefault="004359F3" w:rsidP="004359F3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4359F3">
        <w:rPr>
          <w:rFonts w:ascii="Cambria" w:hAnsi="Cambria"/>
          <w:sz w:val="22"/>
          <w:szCs w:val="22"/>
        </w:rPr>
        <w:t>Lütfen metinsel katkılarınızda akademik etik kuralları göz önünde bulundurarak, hakem yorumlarına açık ve somut yanıtlar vermeye özen gösteriniz. (Değişiklik/Düzeltme yapılmayan bölüm(</w:t>
      </w:r>
      <w:proofErr w:type="spellStart"/>
      <w:r w:rsidRPr="004359F3">
        <w:rPr>
          <w:rFonts w:ascii="Cambria" w:hAnsi="Cambria"/>
          <w:sz w:val="22"/>
          <w:szCs w:val="22"/>
        </w:rPr>
        <w:t>ler</w:t>
      </w:r>
      <w:proofErr w:type="spellEnd"/>
      <w:r w:rsidRPr="004359F3">
        <w:rPr>
          <w:rFonts w:ascii="Cambria" w:hAnsi="Cambria"/>
          <w:sz w:val="22"/>
          <w:szCs w:val="22"/>
        </w:rPr>
        <w:t>) için “Yazarın Yanıtı” kısmına gerekçe belirtiniz</w:t>
      </w:r>
      <w:r w:rsidR="00BE6BE4">
        <w:rPr>
          <w:rFonts w:ascii="Cambria" w:hAnsi="Cambria"/>
          <w:sz w:val="22"/>
          <w:szCs w:val="22"/>
        </w:rPr>
        <w:t>.</w:t>
      </w:r>
      <w:r w:rsidRPr="004359F3">
        <w:rPr>
          <w:rFonts w:ascii="Cambria" w:hAnsi="Cambria"/>
          <w:sz w:val="22"/>
          <w:szCs w:val="22"/>
        </w:rPr>
        <w:t>)</w:t>
      </w:r>
    </w:p>
    <w:p w14:paraId="3C44BBAC" w14:textId="7B866C73" w:rsidR="003B125B" w:rsidRDefault="004359F3" w:rsidP="004359F3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4359F3">
        <w:rPr>
          <w:rFonts w:ascii="Cambria" w:hAnsi="Cambria"/>
          <w:sz w:val="22"/>
          <w:szCs w:val="22"/>
        </w:rPr>
        <w:t>(Aşağıdaki tablo örnek amaçlıdır.)</w:t>
      </w:r>
    </w:p>
    <w:p w14:paraId="70AAA6E5" w14:textId="77777777" w:rsidR="00625EE6" w:rsidRDefault="00625EE6" w:rsidP="004359F3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</w:p>
    <w:p w14:paraId="3072FC1D" w14:textId="753E8069" w:rsidR="00625EE6" w:rsidRPr="00625EE6" w:rsidRDefault="00625EE6" w:rsidP="004359F3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 w:rsidRPr="00625EE6">
        <w:rPr>
          <w:rFonts w:ascii="Cambria" w:hAnsi="Cambria"/>
          <w:b/>
          <w:bCs/>
          <w:sz w:val="22"/>
          <w:szCs w:val="22"/>
        </w:rPr>
        <w:t>Makale Başlığı: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XXXXXXXXXXXXX</w:t>
      </w:r>
    </w:p>
    <w:p w14:paraId="47B0C2CB" w14:textId="77777777" w:rsidR="003B125B" w:rsidRDefault="003B125B" w:rsidP="00D3220C">
      <w:pPr>
        <w:spacing w:after="120" w:line="276" w:lineRule="auto"/>
        <w:jc w:val="both"/>
        <w:rPr>
          <w:rFonts w:ascii="Cambria" w:hAnsi="Cambria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125B" w:rsidRPr="004359F3" w14:paraId="308F1CBB" w14:textId="77777777" w:rsidTr="002977F1">
        <w:tc>
          <w:tcPr>
            <w:tcW w:w="1666" w:type="pct"/>
          </w:tcPr>
          <w:p w14:paraId="4C6E422F" w14:textId="4CC0C2D3" w:rsidR="003B125B" w:rsidRPr="004359F3" w:rsidRDefault="003B125B" w:rsidP="002977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4359F3">
              <w:rPr>
                <w:rFonts w:ascii="Cambria" w:hAnsi="Cambria"/>
                <w:b/>
                <w:sz w:val="20"/>
                <w:szCs w:val="20"/>
              </w:rPr>
              <w:t>Hakem</w:t>
            </w:r>
            <w:r w:rsidR="00951556">
              <w:rPr>
                <w:rFonts w:ascii="Cambria" w:hAnsi="Cambria"/>
                <w:b/>
                <w:sz w:val="20"/>
                <w:szCs w:val="20"/>
              </w:rPr>
              <w:t>/Editör</w:t>
            </w:r>
            <w:r w:rsidRPr="004359F3">
              <w:rPr>
                <w:rFonts w:ascii="Cambria" w:hAnsi="Cambria"/>
                <w:b/>
                <w:sz w:val="20"/>
                <w:szCs w:val="20"/>
              </w:rPr>
              <w:t xml:space="preserve"> Öneri, Soru veya Yorum</w:t>
            </w:r>
          </w:p>
        </w:tc>
        <w:tc>
          <w:tcPr>
            <w:tcW w:w="1667" w:type="pct"/>
          </w:tcPr>
          <w:p w14:paraId="3CEDE44F" w14:textId="11F97641" w:rsidR="003B125B" w:rsidRPr="004359F3" w:rsidRDefault="003B125B" w:rsidP="002977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4359F3">
              <w:rPr>
                <w:rFonts w:ascii="Cambria" w:hAnsi="Cambria"/>
                <w:b/>
                <w:sz w:val="20"/>
                <w:szCs w:val="20"/>
              </w:rPr>
              <w:t>Yazarın Yanıtı</w:t>
            </w:r>
          </w:p>
        </w:tc>
        <w:tc>
          <w:tcPr>
            <w:tcW w:w="1667" w:type="pct"/>
          </w:tcPr>
          <w:p w14:paraId="0D5C7F5F" w14:textId="48EA963D" w:rsidR="003B125B" w:rsidRPr="004359F3" w:rsidRDefault="004359F3" w:rsidP="002977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4359F3">
              <w:rPr>
                <w:rFonts w:ascii="Cambria" w:hAnsi="Cambria"/>
                <w:b/>
                <w:sz w:val="20"/>
                <w:szCs w:val="20"/>
              </w:rPr>
              <w:t>Makaledeki Değişiklik (S</w:t>
            </w:r>
            <w:r w:rsidR="00454C98">
              <w:rPr>
                <w:rFonts w:ascii="Cambria" w:hAnsi="Cambria"/>
                <w:b/>
                <w:sz w:val="20"/>
                <w:szCs w:val="20"/>
              </w:rPr>
              <w:t>ayfa</w:t>
            </w:r>
            <w:r w:rsidRPr="004359F3">
              <w:rPr>
                <w:rFonts w:ascii="Cambria" w:hAnsi="Cambria"/>
                <w:b/>
                <w:sz w:val="20"/>
                <w:szCs w:val="20"/>
              </w:rPr>
              <w:t xml:space="preserve"> No/Bölüm</w:t>
            </w:r>
            <w:r w:rsidR="00951556">
              <w:rPr>
                <w:rFonts w:ascii="Cambria" w:hAnsi="Cambria"/>
                <w:b/>
                <w:sz w:val="20"/>
                <w:szCs w:val="20"/>
              </w:rPr>
              <w:t>/Başlık</w:t>
            </w:r>
            <w:r w:rsidRPr="004359F3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3B125B" w:rsidRPr="004359F3" w14:paraId="249F7689" w14:textId="77777777" w:rsidTr="002977F1">
        <w:tc>
          <w:tcPr>
            <w:tcW w:w="1666" w:type="pct"/>
          </w:tcPr>
          <w:p w14:paraId="74B56A2B" w14:textId="680958F5" w:rsidR="00951556" w:rsidRPr="004359F3" w:rsidRDefault="00EB7471" w:rsidP="002977F1">
            <w:pP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tr-TR"/>
              </w:rPr>
            </w:pPr>
            <w:r w:rsidRPr="004359F3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tr-TR"/>
              </w:rPr>
              <w:t>Örneğin</w:t>
            </w:r>
            <w:r w:rsidR="00951556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tr-TR"/>
              </w:rPr>
              <w:t xml:space="preserve"> (Hakem Yorumu)</w:t>
            </w:r>
          </w:p>
          <w:p w14:paraId="32B4044E" w14:textId="77EA1218" w:rsidR="003B125B" w:rsidRPr="004359F3" w:rsidRDefault="004359F3" w:rsidP="002977F1">
            <w:pP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tr-TR"/>
              </w:rPr>
            </w:pPr>
            <w:r w:rsidRPr="004359F3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tr-TR"/>
              </w:rPr>
              <w:t xml:space="preserve">“Makalenin giriş bölümünde halk müziği ile ilgili yapılan tanım, </w:t>
            </w:r>
            <w:proofErr w:type="spellStart"/>
            <w:r w:rsidRPr="004359F3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tr-TR"/>
              </w:rPr>
              <w:t>disiplinlerarası</w:t>
            </w:r>
            <w:proofErr w:type="spellEnd"/>
            <w:r w:rsidRPr="004359F3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tr-TR"/>
              </w:rPr>
              <w:t xml:space="preserve"> yaklaşımlardan yoksun görünmektedir. Etnomüzikoloji literatürüyle ilişkilendirilerek genişletilebilir.”</w:t>
            </w:r>
          </w:p>
        </w:tc>
        <w:tc>
          <w:tcPr>
            <w:tcW w:w="1667" w:type="pct"/>
          </w:tcPr>
          <w:p w14:paraId="3F15FCFA" w14:textId="26768937" w:rsidR="003B125B" w:rsidRPr="004359F3" w:rsidRDefault="004359F3" w:rsidP="002977F1">
            <w:pPr>
              <w:rPr>
                <w:rFonts w:ascii="Cambria" w:hAnsi="Cambria"/>
                <w:b/>
                <w:sz w:val="18"/>
                <w:szCs w:val="18"/>
              </w:rPr>
            </w:pPr>
            <w:r w:rsidRPr="004359F3">
              <w:rPr>
                <w:rFonts w:ascii="Cambria" w:hAnsi="Cambria"/>
                <w:b/>
                <w:sz w:val="18"/>
                <w:szCs w:val="18"/>
              </w:rPr>
              <w:t>Örneğin</w:t>
            </w:r>
          </w:p>
          <w:p w14:paraId="4996D817" w14:textId="19557437" w:rsidR="003B125B" w:rsidRPr="004359F3" w:rsidRDefault="004359F3" w:rsidP="002977F1">
            <w:pPr>
              <w:rPr>
                <w:rFonts w:ascii="Cambria" w:hAnsi="Cambria"/>
                <w:sz w:val="18"/>
                <w:szCs w:val="18"/>
              </w:rPr>
            </w:pPr>
            <w:r w:rsidRPr="004359F3">
              <w:rPr>
                <w:rFonts w:ascii="Cambria" w:hAnsi="Cambria" w:cs="Arial"/>
                <w:color w:val="000000"/>
                <w:sz w:val="18"/>
                <w:szCs w:val="18"/>
              </w:rPr>
              <w:t xml:space="preserve">Hakemin yapıcı önerisi doğrultusunda giriş bölümünde halk müziği kavramını açıklarken </w:t>
            </w:r>
            <w:proofErr w:type="spellStart"/>
            <w:r w:rsidRPr="004359F3">
              <w:rPr>
                <w:rFonts w:ascii="Cambria" w:hAnsi="Cambria" w:cs="Arial"/>
                <w:color w:val="000000"/>
                <w:sz w:val="18"/>
                <w:szCs w:val="18"/>
              </w:rPr>
              <w:t>etnomüzikolojik</w:t>
            </w:r>
            <w:proofErr w:type="spellEnd"/>
            <w:r w:rsidRPr="004359F3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bakış açılarına yer verilmiş, Alan </w:t>
            </w:r>
            <w:proofErr w:type="spellStart"/>
            <w:r w:rsidRPr="004359F3">
              <w:rPr>
                <w:rFonts w:ascii="Cambria" w:hAnsi="Cambria" w:cs="Arial"/>
                <w:color w:val="000000"/>
                <w:sz w:val="18"/>
                <w:szCs w:val="18"/>
              </w:rPr>
              <w:t>Merriam</w:t>
            </w:r>
            <w:proofErr w:type="spellEnd"/>
            <w:r w:rsidRPr="004359F3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ve Bruno </w:t>
            </w:r>
            <w:proofErr w:type="spellStart"/>
            <w:r w:rsidRPr="004359F3">
              <w:rPr>
                <w:rFonts w:ascii="Cambria" w:hAnsi="Cambria" w:cs="Arial"/>
                <w:color w:val="000000"/>
                <w:sz w:val="18"/>
                <w:szCs w:val="18"/>
              </w:rPr>
              <w:t>Nettl’in</w:t>
            </w:r>
            <w:proofErr w:type="spellEnd"/>
            <w:r w:rsidRPr="004359F3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tanımlarına atıf yapılmıştır.</w:t>
            </w:r>
          </w:p>
        </w:tc>
        <w:tc>
          <w:tcPr>
            <w:tcW w:w="1667" w:type="pct"/>
          </w:tcPr>
          <w:p w14:paraId="3AECB8F5" w14:textId="0509BF76" w:rsidR="003B125B" w:rsidRPr="004359F3" w:rsidRDefault="004359F3" w:rsidP="002977F1">
            <w:pPr>
              <w:rPr>
                <w:rFonts w:ascii="Cambria" w:hAnsi="Cambria"/>
                <w:b/>
                <w:sz w:val="18"/>
                <w:szCs w:val="18"/>
              </w:rPr>
            </w:pPr>
            <w:r w:rsidRPr="004359F3">
              <w:rPr>
                <w:rFonts w:ascii="Cambria" w:hAnsi="Cambria"/>
                <w:b/>
                <w:sz w:val="18"/>
                <w:szCs w:val="18"/>
              </w:rPr>
              <w:t>Örneğin</w:t>
            </w:r>
          </w:p>
          <w:p w14:paraId="2680573D" w14:textId="4011531B" w:rsidR="003B125B" w:rsidRPr="004359F3" w:rsidRDefault="004359F3" w:rsidP="002977F1">
            <w:pPr>
              <w:rPr>
                <w:rFonts w:ascii="Cambria" w:hAnsi="Cambria"/>
                <w:sz w:val="18"/>
                <w:szCs w:val="18"/>
              </w:rPr>
            </w:pPr>
            <w:r w:rsidRPr="004359F3">
              <w:rPr>
                <w:rFonts w:ascii="Cambria" w:hAnsi="Cambria" w:cs="Arial"/>
                <w:color w:val="000000"/>
                <w:sz w:val="18"/>
                <w:szCs w:val="18"/>
              </w:rPr>
              <w:t>Sa</w:t>
            </w:r>
            <w:r w:rsidR="00454C98">
              <w:rPr>
                <w:rFonts w:ascii="Cambria" w:hAnsi="Cambria" w:cs="Arial"/>
                <w:color w:val="000000"/>
                <w:sz w:val="18"/>
                <w:szCs w:val="18"/>
              </w:rPr>
              <w:t>yfa</w:t>
            </w:r>
            <w:r w:rsidRPr="004359F3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</w:t>
            </w:r>
            <w:r w:rsidR="00454C98">
              <w:rPr>
                <w:rFonts w:ascii="Cambria" w:hAnsi="Cambria" w:cs="Arial"/>
                <w:color w:val="000000"/>
                <w:sz w:val="18"/>
                <w:szCs w:val="18"/>
              </w:rPr>
              <w:t>2</w:t>
            </w:r>
            <w:r w:rsidRPr="004359F3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/ Giriş Bölümü</w:t>
            </w:r>
            <w:r w:rsidR="00951556">
              <w:rPr>
                <w:rFonts w:ascii="Cambria" w:hAnsi="Cambria" w:cs="Arial"/>
                <w:color w:val="000000"/>
                <w:sz w:val="18"/>
                <w:szCs w:val="18"/>
              </w:rPr>
              <w:t>.</w:t>
            </w:r>
          </w:p>
        </w:tc>
      </w:tr>
      <w:tr w:rsidR="003B125B" w:rsidRPr="004359F3" w14:paraId="742C39F5" w14:textId="77777777" w:rsidTr="002977F1">
        <w:tc>
          <w:tcPr>
            <w:tcW w:w="1666" w:type="pct"/>
          </w:tcPr>
          <w:p w14:paraId="5FE774BC" w14:textId="2F8F2D11" w:rsidR="003B125B" w:rsidRDefault="004359F3" w:rsidP="002977F1">
            <w:pP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tr-TR"/>
              </w:rPr>
              <w:t>Örneğin</w:t>
            </w:r>
            <w:r w:rsidR="00951556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(Editör Katkısı)</w:t>
            </w:r>
          </w:p>
          <w:p w14:paraId="1493222A" w14:textId="3282BEB6" w:rsidR="004359F3" w:rsidRPr="004359F3" w:rsidRDefault="004359F3" w:rsidP="002977F1">
            <w:pPr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tr-TR"/>
              </w:rPr>
            </w:pPr>
            <w:r w:rsidRPr="004359F3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tr-TR"/>
              </w:rPr>
              <w:t>“Tablo 2’de verilen yöresel ezgi örnekleri oldukça değerli, ancak notaların hangi kaynaklardan alındığı belirtilmemiş.”</w:t>
            </w:r>
          </w:p>
        </w:tc>
        <w:tc>
          <w:tcPr>
            <w:tcW w:w="1667" w:type="pct"/>
          </w:tcPr>
          <w:p w14:paraId="48A50772" w14:textId="77777777" w:rsidR="003B125B" w:rsidRDefault="004359F3" w:rsidP="002977F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Örneğin</w:t>
            </w:r>
          </w:p>
          <w:p w14:paraId="6B92682B" w14:textId="690F133F" w:rsidR="004359F3" w:rsidRPr="004359F3" w:rsidRDefault="004359F3" w:rsidP="002977F1">
            <w:pPr>
              <w:rPr>
                <w:rFonts w:ascii="Cambria" w:hAnsi="Cambria"/>
                <w:sz w:val="18"/>
                <w:szCs w:val="18"/>
              </w:rPr>
            </w:pPr>
            <w:r w:rsidRPr="004359F3">
              <w:rPr>
                <w:rFonts w:ascii="Cambria" w:hAnsi="Cambria"/>
                <w:sz w:val="18"/>
                <w:szCs w:val="18"/>
              </w:rPr>
              <w:t xml:space="preserve">Uyarı dikkate alınarak Tablo 2’de yer alan her ezginin altında ilgili derleme kaynağı, yıl ve derleyen bilgileri </w:t>
            </w:r>
            <w:r w:rsidR="00C856B5">
              <w:rPr>
                <w:rFonts w:ascii="Cambria" w:hAnsi="Cambria"/>
                <w:sz w:val="18"/>
                <w:szCs w:val="18"/>
              </w:rPr>
              <w:t>tablonun altına</w:t>
            </w:r>
            <w:r w:rsidRPr="004359F3">
              <w:rPr>
                <w:rFonts w:ascii="Cambria" w:hAnsi="Cambria"/>
                <w:sz w:val="18"/>
                <w:szCs w:val="18"/>
              </w:rPr>
              <w:t xml:space="preserve"> eklenmiştir.</w:t>
            </w:r>
          </w:p>
        </w:tc>
        <w:tc>
          <w:tcPr>
            <w:tcW w:w="1667" w:type="pct"/>
          </w:tcPr>
          <w:p w14:paraId="587C67BF" w14:textId="77777777" w:rsidR="003B125B" w:rsidRDefault="00A55367" w:rsidP="002977F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Örneğin</w:t>
            </w:r>
          </w:p>
          <w:p w14:paraId="6AB31B53" w14:textId="71E02C53" w:rsidR="00A55367" w:rsidRPr="00A55367" w:rsidRDefault="00A55367" w:rsidP="002977F1">
            <w:pPr>
              <w:rPr>
                <w:rFonts w:ascii="Cambria" w:hAnsi="Cambria"/>
                <w:sz w:val="18"/>
                <w:szCs w:val="18"/>
              </w:rPr>
            </w:pPr>
            <w:r w:rsidRPr="00A55367">
              <w:rPr>
                <w:rFonts w:ascii="Cambria" w:hAnsi="Cambria"/>
                <w:sz w:val="18"/>
                <w:szCs w:val="18"/>
              </w:rPr>
              <w:t>Sa</w:t>
            </w:r>
            <w:r w:rsidR="00454C98">
              <w:rPr>
                <w:rFonts w:ascii="Cambria" w:hAnsi="Cambria"/>
                <w:sz w:val="18"/>
                <w:szCs w:val="18"/>
              </w:rPr>
              <w:t>yfa</w:t>
            </w:r>
            <w:r w:rsidRPr="00A55367">
              <w:rPr>
                <w:rFonts w:ascii="Cambria" w:hAnsi="Cambria"/>
                <w:sz w:val="18"/>
                <w:szCs w:val="18"/>
              </w:rPr>
              <w:t xml:space="preserve"> </w:t>
            </w:r>
            <w:r w:rsidR="00454C98">
              <w:rPr>
                <w:rFonts w:ascii="Cambria" w:hAnsi="Cambria"/>
                <w:sz w:val="18"/>
                <w:szCs w:val="18"/>
              </w:rPr>
              <w:t>18</w:t>
            </w:r>
            <w:r w:rsidRPr="00A55367">
              <w:rPr>
                <w:rFonts w:ascii="Cambria" w:hAnsi="Cambria"/>
                <w:sz w:val="18"/>
                <w:szCs w:val="18"/>
              </w:rPr>
              <w:t xml:space="preserve"> / </w:t>
            </w:r>
            <w:r w:rsidR="00951556">
              <w:rPr>
                <w:rFonts w:ascii="Cambria" w:hAnsi="Cambria"/>
                <w:sz w:val="18"/>
                <w:szCs w:val="18"/>
              </w:rPr>
              <w:t xml:space="preserve">“Eğitimde </w:t>
            </w:r>
            <w:proofErr w:type="spellStart"/>
            <w:r w:rsidR="00951556">
              <w:rPr>
                <w:rFonts w:ascii="Cambria" w:hAnsi="Cambria"/>
                <w:sz w:val="18"/>
                <w:szCs w:val="18"/>
              </w:rPr>
              <w:t>Pedogojik</w:t>
            </w:r>
            <w:proofErr w:type="spellEnd"/>
            <w:r w:rsidR="00951556">
              <w:rPr>
                <w:rFonts w:ascii="Cambria" w:hAnsi="Cambria"/>
                <w:sz w:val="18"/>
                <w:szCs w:val="18"/>
              </w:rPr>
              <w:t xml:space="preserve"> Göstergeler” başlığı altında.</w:t>
            </w:r>
          </w:p>
        </w:tc>
      </w:tr>
      <w:tr w:rsidR="003B125B" w:rsidRPr="004359F3" w14:paraId="0995126D" w14:textId="77777777" w:rsidTr="002977F1">
        <w:tc>
          <w:tcPr>
            <w:tcW w:w="1666" w:type="pct"/>
          </w:tcPr>
          <w:p w14:paraId="5FB8610A" w14:textId="77777777" w:rsidR="003B125B" w:rsidRPr="004359F3" w:rsidRDefault="003B125B" w:rsidP="002977F1">
            <w:pPr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67" w:type="pct"/>
          </w:tcPr>
          <w:p w14:paraId="3F6FB232" w14:textId="77777777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3B1401C7" w14:textId="77777777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4359F3" w:rsidRPr="004359F3" w14:paraId="04D5C337" w14:textId="77777777" w:rsidTr="002977F1">
        <w:tc>
          <w:tcPr>
            <w:tcW w:w="1666" w:type="pct"/>
          </w:tcPr>
          <w:p w14:paraId="36F09EFD" w14:textId="6202C8DD" w:rsidR="004359F3" w:rsidRPr="004359F3" w:rsidRDefault="004359F3" w:rsidP="004359F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48101D03" w14:textId="1FE0AC91" w:rsidR="004359F3" w:rsidRPr="004359F3" w:rsidRDefault="004359F3" w:rsidP="004359F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2D35D269" w14:textId="0948E7D5" w:rsidR="004359F3" w:rsidRPr="004359F3" w:rsidRDefault="004359F3" w:rsidP="004359F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B125B" w:rsidRPr="004359F3" w14:paraId="705D587E" w14:textId="77777777" w:rsidTr="002977F1">
        <w:tc>
          <w:tcPr>
            <w:tcW w:w="1666" w:type="pct"/>
          </w:tcPr>
          <w:p w14:paraId="27839FB8" w14:textId="4D0A3CD3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4C4B81BD" w14:textId="6431294C" w:rsidR="003B125B" w:rsidRPr="004359F3" w:rsidRDefault="003B125B" w:rsidP="002977F1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67" w:type="pct"/>
          </w:tcPr>
          <w:p w14:paraId="79814C69" w14:textId="6FB3EA51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B125B" w:rsidRPr="004359F3" w14:paraId="7989A730" w14:textId="77777777" w:rsidTr="002977F1">
        <w:tc>
          <w:tcPr>
            <w:tcW w:w="1666" w:type="pct"/>
          </w:tcPr>
          <w:p w14:paraId="4818DFD2" w14:textId="14010739" w:rsidR="003B125B" w:rsidRPr="004359F3" w:rsidRDefault="003B125B" w:rsidP="002977F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7D4F537A" w14:textId="61D719AE" w:rsidR="003B125B" w:rsidRPr="004359F3" w:rsidRDefault="003B125B" w:rsidP="002977F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67426781" w14:textId="1CCC39EE" w:rsidR="003B125B" w:rsidRPr="004359F3" w:rsidRDefault="003B125B" w:rsidP="002977F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B125B" w:rsidRPr="004359F3" w14:paraId="5019A512" w14:textId="77777777" w:rsidTr="002977F1">
        <w:tc>
          <w:tcPr>
            <w:tcW w:w="1666" w:type="pct"/>
          </w:tcPr>
          <w:p w14:paraId="30DFC8C9" w14:textId="77777777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14269386" w14:textId="77777777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6F6409E" w14:textId="77777777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B125B" w:rsidRPr="004359F3" w14:paraId="5429F93D" w14:textId="77777777" w:rsidTr="002977F1">
        <w:tc>
          <w:tcPr>
            <w:tcW w:w="1666" w:type="pct"/>
          </w:tcPr>
          <w:p w14:paraId="02DE7BCF" w14:textId="77777777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C4066A1" w14:textId="77777777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3DADEB55" w14:textId="77777777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B125B" w:rsidRPr="004359F3" w14:paraId="42FA7C42" w14:textId="77777777" w:rsidTr="002977F1">
        <w:tc>
          <w:tcPr>
            <w:tcW w:w="1666" w:type="pct"/>
          </w:tcPr>
          <w:p w14:paraId="694B7F6F" w14:textId="34150BD9" w:rsidR="003B125B" w:rsidRPr="004359F3" w:rsidRDefault="003B125B" w:rsidP="002977F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1064C335" w14:textId="4AD04C89" w:rsidR="003B125B" w:rsidRPr="004359F3" w:rsidRDefault="003B125B" w:rsidP="002977F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67" w:type="pct"/>
          </w:tcPr>
          <w:p w14:paraId="04A181BA" w14:textId="067ED57A" w:rsidR="003B125B" w:rsidRPr="004359F3" w:rsidRDefault="003B125B" w:rsidP="002977F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B125B" w:rsidRPr="004359F3" w14:paraId="35AE16E9" w14:textId="77777777" w:rsidTr="002977F1">
        <w:tc>
          <w:tcPr>
            <w:tcW w:w="1666" w:type="pct"/>
          </w:tcPr>
          <w:p w14:paraId="5CF8CE79" w14:textId="55326F95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16C319DE" w14:textId="77777777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5E0D0CBA" w14:textId="267442C6" w:rsidR="003B125B" w:rsidRPr="004359F3" w:rsidRDefault="003B125B" w:rsidP="002977F1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34C2D2E" w14:textId="426BDDF1" w:rsidR="003B125B" w:rsidRPr="00D3220C" w:rsidRDefault="003B125B" w:rsidP="00D3220C">
      <w:pPr>
        <w:spacing w:after="120" w:line="276" w:lineRule="auto"/>
        <w:jc w:val="both"/>
        <w:rPr>
          <w:rFonts w:ascii="Cambria" w:hAnsi="Cambria"/>
        </w:rPr>
      </w:pPr>
    </w:p>
    <w:sectPr w:rsidR="003B125B" w:rsidRPr="00D3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0C"/>
    <w:rsid w:val="003658CC"/>
    <w:rsid w:val="003B125B"/>
    <w:rsid w:val="003E0D4A"/>
    <w:rsid w:val="004359F3"/>
    <w:rsid w:val="00454C98"/>
    <w:rsid w:val="004E33F7"/>
    <w:rsid w:val="00625EE6"/>
    <w:rsid w:val="0068182A"/>
    <w:rsid w:val="00951556"/>
    <w:rsid w:val="00A55367"/>
    <w:rsid w:val="00B2192A"/>
    <w:rsid w:val="00B5245A"/>
    <w:rsid w:val="00BE6BE4"/>
    <w:rsid w:val="00C856B5"/>
    <w:rsid w:val="00D3220C"/>
    <w:rsid w:val="00EB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42202A"/>
  <w15:chartTrackingRefBased/>
  <w15:docId w15:val="{31336ECF-D730-7144-9600-B24B97B7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2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2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2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2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2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2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2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2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2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2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2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2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22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22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22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22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22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22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2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2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2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2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2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22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22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22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2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22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220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B125B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3B12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2025-04-16T14:32:00Z</dcterms:created>
  <dcterms:modified xsi:type="dcterms:W3CDTF">2025-04-28T11:38:00Z</dcterms:modified>
</cp:coreProperties>
</file>